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97564" w14:paraId="08FD526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FDAA84" w14:textId="77777777" w:rsidR="0009756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835269" w14:textId="77777777" w:rsidR="00097564" w:rsidRDefault="00000000">
            <w:pPr>
              <w:spacing w:after="0" w:line="240" w:lineRule="auto"/>
            </w:pPr>
            <w:r>
              <w:t>36854</w:t>
            </w:r>
          </w:p>
        </w:tc>
      </w:tr>
      <w:tr w:rsidR="00097564" w14:paraId="0DDC46D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4FCFA0" w14:textId="77777777" w:rsidR="0009756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5DD1787" w14:textId="77777777" w:rsidR="00097564" w:rsidRDefault="00000000">
            <w:pPr>
              <w:spacing w:after="0" w:line="240" w:lineRule="auto"/>
            </w:pPr>
            <w:r>
              <w:t>OPĆINA GORNJI BOGIĆEVCI</w:t>
            </w:r>
          </w:p>
        </w:tc>
      </w:tr>
      <w:tr w:rsidR="00097564" w14:paraId="12CE4B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95C9A5" w14:textId="77777777" w:rsidR="0009756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B65933C" w14:textId="77777777" w:rsidR="00097564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F428E00" w14:textId="77777777" w:rsidR="00097564" w:rsidRDefault="00000000">
      <w:r>
        <w:br/>
      </w:r>
    </w:p>
    <w:p w14:paraId="074E4881" w14:textId="77777777" w:rsidR="0009756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14040AC" w14:textId="77777777" w:rsidR="0009756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8FDEF15" w14:textId="77777777" w:rsidR="0009756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0C9E859" w14:textId="77777777" w:rsidR="00097564" w:rsidRDefault="00097564"/>
    <w:p w14:paraId="1CE37194" w14:textId="77777777" w:rsidR="0009756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C890D09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41DB7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5FD0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9629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9162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385F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776F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B2BC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680D01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FD85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7AC057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1C1C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449B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1.021.691,68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C911B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1.037.554,77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76A7C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  <w:tr w:rsidR="00097564" w14:paraId="40CBBF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789D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6EDC2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0E47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88AD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741.215,13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2E7D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940.109,82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41FFC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  <w:tr w:rsidR="00097564" w14:paraId="723838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FC10E" w14:textId="77777777" w:rsidR="00097564" w:rsidRDefault="000975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E2A2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3DB81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8CCB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280.476,55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15A3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97.444,95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E1D5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34,7</w:t>
            </w:r>
          </w:p>
        </w:tc>
      </w:tr>
      <w:tr w:rsidR="00097564" w14:paraId="2D4C6C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2DC7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300A0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CCDA8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AAB8E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55.613,66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4347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C7BF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4,5</w:t>
            </w:r>
          </w:p>
        </w:tc>
      </w:tr>
      <w:tr w:rsidR="00097564" w14:paraId="1FC1B5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C854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227A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7D4E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ECA2E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675.790,77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F05A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179.775,07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8A15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26,6</w:t>
            </w:r>
          </w:p>
        </w:tc>
      </w:tr>
      <w:tr w:rsidR="00097564" w14:paraId="493832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98D8F" w14:textId="77777777" w:rsidR="00097564" w:rsidRDefault="000975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89758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2D02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74E9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620.177,11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DDC9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177.275,07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3F3AD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28,6</w:t>
            </w:r>
          </w:p>
        </w:tc>
      </w:tr>
      <w:tr w:rsidR="00097564" w14:paraId="0C6810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3AA78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AF65D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2649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A926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F829D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28AE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97564" w14:paraId="50FFF8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16C0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A86C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1ADF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C2B4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14.916,48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64739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7212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97564" w14:paraId="45DD72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7D2CB" w14:textId="77777777" w:rsidR="00097564" w:rsidRDefault="000975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E6268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1ED2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39B9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14.916,48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44F4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196A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097564" w14:paraId="606D5F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650C1" w14:textId="77777777" w:rsidR="00097564" w:rsidRDefault="000975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4EE1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E59A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2DE3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354.617,04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4EAA9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79.830,12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B0BB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22,5</w:t>
            </w:r>
          </w:p>
        </w:tc>
      </w:tr>
    </w:tbl>
    <w:p w14:paraId="5EFFDECF" w14:textId="77777777" w:rsidR="00097564" w:rsidRDefault="00097564">
      <w:pPr>
        <w:spacing w:after="0"/>
      </w:pPr>
    </w:p>
    <w:p w14:paraId="191387AA" w14:textId="77777777" w:rsidR="00097564" w:rsidRDefault="00000000">
      <w:r>
        <w:t xml:space="preserve">U 2025. godini Općina je ostvarila ukupne prihode poslovanja u iznosu od 1.037.554,77 €, dok rashodi poslovanja iznose  940.109,82 €, time je ostvaren višak prihoda poslovanja u iznosu od 97.444,95 €. Evidentirani su rashodi za nabavu nefinancijske imovine u iznosu 179.775,07 eura i prihodi od prodaje nefinancijske imovine  iznosu 2.500,00 €, što rezultira manjkom prihoda od nefinancijske imovine u iznosu od 177.275,07€. U izvještajnom razdoblju nema zaduživanja, financijskih rashoda ni ulaganja u financijsku imovinu kao ni </w:t>
      </w:r>
      <w:r>
        <w:lastRenderedPageBreak/>
        <w:t>drugih izvanrednih primitaka i izdataka. Evidentiran je manjak prihoda i primitaka u iznosu 79.830,12 €.</w:t>
      </w:r>
    </w:p>
    <w:p w14:paraId="1D483DC8" w14:textId="77777777" w:rsidR="00097564" w:rsidRDefault="00000000">
      <w:r>
        <w:br/>
      </w:r>
    </w:p>
    <w:p w14:paraId="7776DDE5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729E12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B9BE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863D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B7CD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1D5A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EE17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CF5C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58D558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8F40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73CB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0EF7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0019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186.773,13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A222C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256.553,58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DD8DD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14:paraId="0BBD5585" w14:textId="77777777" w:rsidR="00097564" w:rsidRDefault="00097564">
      <w:pPr>
        <w:spacing w:after="0"/>
      </w:pPr>
    </w:p>
    <w:p w14:paraId="79869200" w14:textId="77777777" w:rsidR="00097564" w:rsidRDefault="00000000">
      <w:r>
        <w:t>Povećanje se odnosi na povećanje od poreza i prireza na dohodak od nesamostalnog rada te od samostalnih djelatnosti  te porez i prirez na dohodak od imovine.</w:t>
      </w:r>
    </w:p>
    <w:p w14:paraId="3A9BFD2A" w14:textId="77777777" w:rsidR="00097564" w:rsidRDefault="00097564"/>
    <w:p w14:paraId="0D4C1525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0D612B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3DA9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5F53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D7D2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6F4F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FAF1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D1AF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7D3BA5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3C9E1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4A96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2FCF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FDDA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66F6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BF324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171,4</w:t>
            </w:r>
          </w:p>
        </w:tc>
      </w:tr>
    </w:tbl>
    <w:p w14:paraId="744A638A" w14:textId="77777777" w:rsidR="00097564" w:rsidRDefault="00097564">
      <w:pPr>
        <w:spacing w:after="0"/>
      </w:pPr>
    </w:p>
    <w:p w14:paraId="64D99F30" w14:textId="77777777" w:rsidR="00097564" w:rsidRDefault="00000000">
      <w:r>
        <w:t>Povećanje zbog toga što se uveo porez na stambene objekte koji nisu prva nekretnina za stanovanje.</w:t>
      </w:r>
    </w:p>
    <w:p w14:paraId="0BBCF099" w14:textId="77777777" w:rsidR="00097564" w:rsidRDefault="00097564"/>
    <w:p w14:paraId="6A66D03B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03B68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F5F8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137D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896A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8C3E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FA3E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0610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14A8DD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2071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687C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373E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2F90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868A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3596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2D450868" w14:textId="77777777" w:rsidR="00097564" w:rsidRDefault="00097564">
      <w:pPr>
        <w:spacing w:after="0"/>
      </w:pPr>
    </w:p>
    <w:p w14:paraId="4C604004" w14:textId="77777777" w:rsidR="00097564" w:rsidRDefault="00000000">
      <w:r>
        <w:t>Povećanje jer je bio veće prometovanje  nekretninama.</w:t>
      </w:r>
    </w:p>
    <w:p w14:paraId="2384C92C" w14:textId="77777777" w:rsidR="00097564" w:rsidRDefault="00097564"/>
    <w:p w14:paraId="38267028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6FCFE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979D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3CF4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383A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F561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7A7A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8451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7A87AD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CA33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5D6B57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BA89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FADB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7AE1B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13.316,31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F01E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217,9</w:t>
            </w:r>
          </w:p>
        </w:tc>
      </w:tr>
    </w:tbl>
    <w:p w14:paraId="421685D2" w14:textId="77777777" w:rsidR="00097564" w:rsidRDefault="00097564">
      <w:pPr>
        <w:spacing w:after="0"/>
      </w:pPr>
    </w:p>
    <w:p w14:paraId="7518B02A" w14:textId="7FC8C88B" w:rsidR="00097564" w:rsidRDefault="00000000">
      <w:r>
        <w:t>Povećanje se odnosi na sredstva koje dobijemo od HZZ-a za zapošlj</w:t>
      </w:r>
      <w:r w:rsidR="004C0D29">
        <w:t>a</w:t>
      </w:r>
      <w:r>
        <w:t>vanje osoba sa invaliditetom ili u nepovoljnom položaju-javni radovi</w:t>
      </w:r>
    </w:p>
    <w:p w14:paraId="4F2B2428" w14:textId="77777777" w:rsidR="00097564" w:rsidRDefault="00097564"/>
    <w:p w14:paraId="4516F7C2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0F918E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BB68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625D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6B04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5615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446B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A650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1001EC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7E54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4F937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993F1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D39AD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A735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20.226,97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8DA7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5791,9</w:t>
            </w:r>
          </w:p>
        </w:tc>
      </w:tr>
    </w:tbl>
    <w:p w14:paraId="34D64DD5" w14:textId="77777777" w:rsidR="00097564" w:rsidRDefault="00097564">
      <w:pPr>
        <w:spacing w:after="0"/>
      </w:pPr>
    </w:p>
    <w:p w14:paraId="1C74C33E" w14:textId="77777777" w:rsidR="00097564" w:rsidRDefault="00000000">
      <w:r>
        <w:t xml:space="preserve"> Povećanje se odnosi na šumski doprinos koji ovisi o sječi šuma. Pravne i fizičke osobe, osim malih </w:t>
      </w:r>
      <w:proofErr w:type="spellStart"/>
      <w:r>
        <w:t>šumoposjednika</w:t>
      </w:r>
      <w:proofErr w:type="spellEnd"/>
      <w:r>
        <w:t>, koje obavljaju prodaju proizvoda iskorištavanja šuma (drvni sortimenti) su obveznici plaćanja šumskog doprinosa. Šumski doprinos uplaćuje se na račun jedinice lokalne samouprave s područja na kojem je obavljena sječa šume i koristi se isključivo za financiranje izgradnje i održavanja komunalne infrastrukture.</w:t>
      </w:r>
    </w:p>
    <w:p w14:paraId="4672D35A" w14:textId="77777777" w:rsidR="00097564" w:rsidRDefault="00097564"/>
    <w:p w14:paraId="3E22F584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1501D9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1B04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4802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4B19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D660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151D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DCA2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415EE2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E0CF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4BBC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546F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F877C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D642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25.314,99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830A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418,7</w:t>
            </w:r>
          </w:p>
        </w:tc>
      </w:tr>
    </w:tbl>
    <w:p w14:paraId="70301A3B" w14:textId="77777777" w:rsidR="00097564" w:rsidRDefault="00097564">
      <w:pPr>
        <w:spacing w:after="0"/>
      </w:pPr>
    </w:p>
    <w:p w14:paraId="006B2D04" w14:textId="77777777" w:rsidR="00097564" w:rsidRDefault="00000000">
      <w:r>
        <w:t>Odnosi se na sredstva koja smo dobili po rješenju  ostavinske rasprave -</w:t>
      </w:r>
      <w:proofErr w:type="spellStart"/>
      <w:r>
        <w:t>ošasna</w:t>
      </w:r>
      <w:proofErr w:type="spellEnd"/>
      <w:r>
        <w:t xml:space="preserve"> imovina</w:t>
      </w:r>
    </w:p>
    <w:p w14:paraId="2AAAB55E" w14:textId="77777777" w:rsidR="00097564" w:rsidRDefault="00097564"/>
    <w:p w14:paraId="71FC927D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4FA98C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CCBB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02F4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2A40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BF28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413E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C418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1EE6A5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5A6E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604E3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6A36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84C9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10.091,94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EF4F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8F689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</w:tbl>
    <w:p w14:paraId="1174C1D6" w14:textId="77777777" w:rsidR="00097564" w:rsidRDefault="00097564">
      <w:pPr>
        <w:spacing w:after="0"/>
      </w:pPr>
    </w:p>
    <w:p w14:paraId="473CDFF8" w14:textId="54C26B17" w:rsidR="00097564" w:rsidRDefault="00000000">
      <w:r>
        <w:t>Povećanje se odnosi na pružanje usluga-u ovom slučaju usluge ukopa</w:t>
      </w:r>
    </w:p>
    <w:p w14:paraId="056913E6" w14:textId="77777777" w:rsidR="00097564" w:rsidRDefault="00097564"/>
    <w:p w14:paraId="2B2D1A20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4A70EB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0009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4495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EABB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EFAF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E2A3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5ABE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4DA500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9108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BE61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681B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ABA9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140.810,76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4474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178.458,75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E8F1C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4E1A04C9" w14:textId="77777777" w:rsidR="00097564" w:rsidRDefault="00097564">
      <w:pPr>
        <w:spacing w:after="0"/>
      </w:pPr>
    </w:p>
    <w:p w14:paraId="573680B7" w14:textId="77777777" w:rsidR="00097564" w:rsidRDefault="00000000">
      <w:r>
        <w:t>Rashodi za zaposlene su povećani zbog povećanja plaće i ostali potreba zaposlenika. </w:t>
      </w:r>
    </w:p>
    <w:p w14:paraId="60F4C352" w14:textId="77777777" w:rsidR="00097564" w:rsidRDefault="00000000">
      <w:r>
        <w:t> </w:t>
      </w:r>
    </w:p>
    <w:p w14:paraId="28F60EA3" w14:textId="77777777" w:rsidR="00097564" w:rsidRDefault="00097564"/>
    <w:p w14:paraId="029C41A2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38F42D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EA31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38EE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D69A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B786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5B7A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2F45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5AC691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4CC9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90DCE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3489E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5926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DDAA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8ECF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563,7</w:t>
            </w:r>
          </w:p>
        </w:tc>
      </w:tr>
    </w:tbl>
    <w:p w14:paraId="0ECC6F54" w14:textId="77777777" w:rsidR="00097564" w:rsidRDefault="00097564">
      <w:pPr>
        <w:spacing w:after="0"/>
      </w:pPr>
    </w:p>
    <w:p w14:paraId="53D7ADB3" w14:textId="77777777" w:rsidR="00097564" w:rsidRDefault="00000000">
      <w:r>
        <w:t>Iznos od 317,10 eura odnosi se na radnu odjeću i obuću za djelatnike komunalnog pogona</w:t>
      </w:r>
    </w:p>
    <w:p w14:paraId="142F911C" w14:textId="77777777" w:rsidR="00097564" w:rsidRDefault="00097564"/>
    <w:p w14:paraId="7FDE93EB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33E42D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D99C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1476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DFC2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F896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6624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5D47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65E772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7118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28C0BD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6D1D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C6A3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5.287,99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37C4B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10.588,44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451EB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200,2</w:t>
            </w:r>
          </w:p>
        </w:tc>
      </w:tr>
    </w:tbl>
    <w:p w14:paraId="7B15C3FA" w14:textId="77777777" w:rsidR="00097564" w:rsidRDefault="00097564">
      <w:pPr>
        <w:spacing w:after="0"/>
      </w:pPr>
    </w:p>
    <w:p w14:paraId="0D0C54C5" w14:textId="77777777" w:rsidR="00097564" w:rsidRDefault="00000000">
      <w:r>
        <w:t>Odnosi se na usluge odvjetnika, javnog bilježnika, ugovora o djelu te usluge IN Konzaltinga za izradu  procjenu rizika od velikih nesreća koju smo po zakonu dužni imati.</w:t>
      </w:r>
    </w:p>
    <w:p w14:paraId="2D1CC24A" w14:textId="77777777" w:rsidR="00097564" w:rsidRDefault="00097564"/>
    <w:p w14:paraId="4356579E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43D8C6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C0DD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C730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4F58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B57A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DF92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B5CE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19E72F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8145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09BC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5033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98B2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B60A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11.569,88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6F30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175,1</w:t>
            </w:r>
          </w:p>
        </w:tc>
      </w:tr>
    </w:tbl>
    <w:p w14:paraId="55167CBF" w14:textId="77777777" w:rsidR="00097564" w:rsidRDefault="00097564">
      <w:pPr>
        <w:spacing w:after="0"/>
      </w:pPr>
    </w:p>
    <w:p w14:paraId="5ABC8DA7" w14:textId="77777777" w:rsidR="00097564" w:rsidRDefault="00000000">
      <w:r>
        <w:t>Povećanje  zbog prelaska na novi softverski program-računovodstveni program te povećanje održavanja tog programa.</w:t>
      </w:r>
    </w:p>
    <w:p w14:paraId="0E933529" w14:textId="77777777" w:rsidR="00097564" w:rsidRDefault="00097564"/>
    <w:p w14:paraId="406B122D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702CBA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52F9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FE5F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5DEF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87AD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D1EE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8A3B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253A4A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EB49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2728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F5F2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2666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EAA2D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33B6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483FCB80" w14:textId="77777777" w:rsidR="00097564" w:rsidRDefault="00097564">
      <w:pPr>
        <w:spacing w:after="0"/>
      </w:pPr>
    </w:p>
    <w:p w14:paraId="526EBB33" w14:textId="77777777" w:rsidR="00097564" w:rsidRDefault="00000000">
      <w:r>
        <w:t>Povećanje se odnosi na registraciju i tehnički prijevoz vozila.</w:t>
      </w:r>
    </w:p>
    <w:p w14:paraId="7D107B3A" w14:textId="77777777" w:rsidR="00097564" w:rsidRDefault="00097564"/>
    <w:p w14:paraId="7C5448E4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37F1F0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D578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3A3E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3577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F50D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C1A9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4392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65CC59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B9C8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18F0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82C0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CC18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96DD4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47.856,74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7156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931,5</w:t>
            </w:r>
          </w:p>
        </w:tc>
      </w:tr>
    </w:tbl>
    <w:p w14:paraId="6B9AD144" w14:textId="77777777" w:rsidR="00097564" w:rsidRDefault="00097564">
      <w:pPr>
        <w:spacing w:after="0"/>
      </w:pPr>
    </w:p>
    <w:p w14:paraId="2D5B0D59" w14:textId="77777777" w:rsidR="00097564" w:rsidRDefault="00000000">
      <w:r>
        <w:t>Iznos od 47.856,74se odnosi na troškove izbora 2025, vijećničke naknade i volonterska naknada načelnice.</w:t>
      </w:r>
    </w:p>
    <w:p w14:paraId="191BDBB0" w14:textId="77777777" w:rsidR="00097564" w:rsidRDefault="00097564"/>
    <w:p w14:paraId="5CC7A5EF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084FF5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5A81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EC4F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6F13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0179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571B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94BD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29D10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9899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01CC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CDDAD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1188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6D559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39D2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174,7</w:t>
            </w:r>
          </w:p>
        </w:tc>
      </w:tr>
    </w:tbl>
    <w:p w14:paraId="524532ED" w14:textId="77777777" w:rsidR="00097564" w:rsidRDefault="00097564">
      <w:pPr>
        <w:spacing w:after="0"/>
      </w:pPr>
    </w:p>
    <w:p w14:paraId="43BF91E7" w14:textId="77777777" w:rsidR="00097564" w:rsidRDefault="00000000">
      <w:r>
        <w:t>Povećanje zbog povećanja iznosa  osiguranja vozila i imovine od šteta i odgovornosti.</w:t>
      </w:r>
    </w:p>
    <w:p w14:paraId="274D22A9" w14:textId="77777777" w:rsidR="00097564" w:rsidRDefault="00097564"/>
    <w:p w14:paraId="55377BC5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57DB70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40E4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3BDB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1D0C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2233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E3AD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5257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3E34C6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81A18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DC83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7848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3397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0FDC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36EF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220,4</w:t>
            </w:r>
          </w:p>
        </w:tc>
      </w:tr>
    </w:tbl>
    <w:p w14:paraId="09B9CFD4" w14:textId="77777777" w:rsidR="00097564" w:rsidRDefault="00097564">
      <w:pPr>
        <w:spacing w:after="0"/>
      </w:pPr>
    </w:p>
    <w:p w14:paraId="3866B934" w14:textId="77777777" w:rsidR="00097564" w:rsidRDefault="00000000">
      <w:r>
        <w:t>Iznos  od 4.676,08 se odnosi na reprezentaciju- razna ugošćavanja</w:t>
      </w:r>
    </w:p>
    <w:p w14:paraId="57DBDAC7" w14:textId="77777777" w:rsidR="00097564" w:rsidRDefault="00097564"/>
    <w:p w14:paraId="2864EACC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5B1C0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05A2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FF71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7148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B83D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CBDA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533A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53B77E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CDBA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2F7A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26ED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242E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CB4B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D976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295,5</w:t>
            </w:r>
          </w:p>
        </w:tc>
      </w:tr>
    </w:tbl>
    <w:p w14:paraId="416B94F6" w14:textId="77777777" w:rsidR="00097564" w:rsidRDefault="00097564">
      <w:pPr>
        <w:spacing w:after="0"/>
      </w:pPr>
    </w:p>
    <w:p w14:paraId="573E6BD8" w14:textId="67C76FB4" w:rsidR="00097564" w:rsidRDefault="00000000">
      <w:r>
        <w:t>Rashod za pristojbe i naknade iznosi 7.452,71 eura te se odnosi na sudske pristojbe, javnobilježničke naknade,</w:t>
      </w:r>
      <w:r w:rsidR="004C0D29">
        <w:t xml:space="preserve"> </w:t>
      </w:r>
      <w:r>
        <w:t>HRT pristojbe,  naknadu koja se plaća za odlaganje komunalnog otpada  te naknadu tj</w:t>
      </w:r>
      <w:r w:rsidR="004C0D29">
        <w:t xml:space="preserve">. </w:t>
      </w:r>
      <w:r>
        <w:t>kaznu za nedovoljno razvrstavanje komunalnog otpada</w:t>
      </w:r>
    </w:p>
    <w:p w14:paraId="10BC2C71" w14:textId="77777777" w:rsidR="00097564" w:rsidRDefault="00097564"/>
    <w:p w14:paraId="1E019EE7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29CC38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9D21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CC15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15D4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340C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82A8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3F43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0B0BE4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0DC5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0E2F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0323E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4287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098E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6703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9052,2</w:t>
            </w:r>
          </w:p>
        </w:tc>
      </w:tr>
    </w:tbl>
    <w:p w14:paraId="625602E9" w14:textId="77777777" w:rsidR="00097564" w:rsidRDefault="00097564">
      <w:pPr>
        <w:spacing w:after="0"/>
      </w:pPr>
    </w:p>
    <w:p w14:paraId="18BA8E72" w14:textId="41932F17" w:rsidR="00097564" w:rsidRDefault="00000000">
      <w:r>
        <w:t>Iznos se odnosi na kamate za račune tj.</w:t>
      </w:r>
      <w:r w:rsidR="004C0D29">
        <w:t xml:space="preserve"> </w:t>
      </w:r>
      <w:r>
        <w:t>prekoračenje roka dospjelosti računa</w:t>
      </w:r>
    </w:p>
    <w:p w14:paraId="47F7712C" w14:textId="77777777" w:rsidR="00097564" w:rsidRDefault="00097564"/>
    <w:p w14:paraId="7ABD82F1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02E8D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54F3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CA79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6A8B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46D2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C026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4FAD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6A40EA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E61D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B2F1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9B37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67B4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327BB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816D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14:paraId="577BC8BB" w14:textId="77777777" w:rsidR="00097564" w:rsidRDefault="00097564">
      <w:pPr>
        <w:spacing w:after="0"/>
      </w:pPr>
    </w:p>
    <w:p w14:paraId="42D0921D" w14:textId="77777777" w:rsidR="00097564" w:rsidRDefault="00000000">
      <w:r>
        <w:t>Iznos od 6.956,04 se odnosi na  plaću i ostale troškove komunalnog redara koji obavlja posao u našoj općini prema sporazumu o financiranju</w:t>
      </w:r>
    </w:p>
    <w:p w14:paraId="568236C1" w14:textId="77777777" w:rsidR="00097564" w:rsidRDefault="00097564"/>
    <w:p w14:paraId="5C7B6A3F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2152D3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7CE7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7EA4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3206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EBFE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4A21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BF7E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47EC7C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6381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2F21E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F5D56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C9BF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26.116,34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7FF89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34.604,18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31C9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14:paraId="5682B45F" w14:textId="77777777" w:rsidR="00097564" w:rsidRDefault="00097564">
      <w:pPr>
        <w:spacing w:after="0"/>
      </w:pPr>
    </w:p>
    <w:p w14:paraId="6F4E7388" w14:textId="77777777" w:rsidR="00097564" w:rsidRDefault="00000000">
      <w:r>
        <w:t>Odnosi se na  financiranje cjelokupnog trošak vrtića za jednu grupu djece od plaće tete do materijalnih troškova.</w:t>
      </w:r>
    </w:p>
    <w:p w14:paraId="2FB30C23" w14:textId="77777777" w:rsidR="00097564" w:rsidRDefault="00097564"/>
    <w:p w14:paraId="02E56B91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2E43C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C4CC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A437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BF10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B1CA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6C42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EE5D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3E2DE4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5664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1246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D89C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CAB9B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27.237,16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0383E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31.465,30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A81A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019B3922" w14:textId="77777777" w:rsidR="00097564" w:rsidRDefault="00097564">
      <w:pPr>
        <w:spacing w:after="0"/>
      </w:pPr>
    </w:p>
    <w:p w14:paraId="3AEB8FD0" w14:textId="77777777" w:rsidR="00097564" w:rsidRDefault="00000000">
      <w:r>
        <w:t>Odnosi se na troškove  proračunskog korisnika. </w:t>
      </w:r>
    </w:p>
    <w:p w14:paraId="79F8FCD2" w14:textId="77777777" w:rsidR="00097564" w:rsidRDefault="00097564"/>
    <w:p w14:paraId="6007FCEC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7D420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ED4A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1129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2F15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253C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4CEB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AF8A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4EA9BF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76F4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5B8C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DD7D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F675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191.340,54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C72E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374.522,33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21E1C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</w:t>
            </w:r>
          </w:p>
        </w:tc>
      </w:tr>
    </w:tbl>
    <w:p w14:paraId="61194671" w14:textId="77777777" w:rsidR="00097564" w:rsidRDefault="00097564">
      <w:pPr>
        <w:spacing w:after="0"/>
      </w:pPr>
    </w:p>
    <w:p w14:paraId="21B0565D" w14:textId="6F7BE828" w:rsidR="00097564" w:rsidRDefault="00000000">
      <w:r>
        <w:t>Povećanje  se najvećim dijelom odnosi na veći broj prijavitelja (mladih obitelji) na mjeru stambenog zbrinjavanja odnosno stjecanja prve nekretnine a ostalo na  kapitalne donacije i tekuće donacije udrugama i vjerskim zajednicama koje djeluju na p</w:t>
      </w:r>
      <w:r w:rsidR="004C0D29">
        <w:t>o</w:t>
      </w:r>
      <w:r>
        <w:t>dručju općine</w:t>
      </w:r>
    </w:p>
    <w:p w14:paraId="04EDE430" w14:textId="77777777" w:rsidR="00097564" w:rsidRDefault="00097564"/>
    <w:p w14:paraId="3557B3F8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40D3A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0033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831D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BFAC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0F0E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5FA1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77AE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3A59F8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5DC61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438C0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1EA7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D242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78.653,77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10A9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254.274,46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F361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323,3</w:t>
            </w:r>
          </w:p>
        </w:tc>
      </w:tr>
    </w:tbl>
    <w:p w14:paraId="289B532C" w14:textId="77777777" w:rsidR="00097564" w:rsidRDefault="00097564">
      <w:pPr>
        <w:spacing w:after="0"/>
      </w:pPr>
    </w:p>
    <w:p w14:paraId="69D28AF6" w14:textId="77777777" w:rsidR="00097564" w:rsidRDefault="00000000">
      <w:r>
        <w:t>Iznos od 254.274,46 se odnosi na financiranje troškova  izgradnje odvodnje ( kanalizacije) u naseljima općine </w:t>
      </w:r>
    </w:p>
    <w:p w14:paraId="4D29E040" w14:textId="77777777" w:rsidR="00097564" w:rsidRDefault="00097564"/>
    <w:p w14:paraId="5A8CCBC5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252A77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21A3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454B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20AA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F884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BDCF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7D88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11C257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6AFF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DA32E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0D33D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4B1E4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92C6D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A3F1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67A59709" w14:textId="77777777" w:rsidR="00097564" w:rsidRDefault="00097564">
      <w:pPr>
        <w:spacing w:after="0"/>
      </w:pPr>
    </w:p>
    <w:p w14:paraId="56A013CD" w14:textId="77777777" w:rsidR="00097564" w:rsidRDefault="00000000">
      <w:r>
        <w:t xml:space="preserve">Iznos se odnosi na arheološko istraživanje utvrde Sv. Ivan </w:t>
      </w:r>
      <w:proofErr w:type="spellStart"/>
      <w:r>
        <w:t>Trnava</w:t>
      </w:r>
      <w:proofErr w:type="spellEnd"/>
      <w:r>
        <w:t xml:space="preserve"> koje  obavlja gradski muzej Nova Gradiška</w:t>
      </w:r>
    </w:p>
    <w:p w14:paraId="56249004" w14:textId="77777777" w:rsidR="00097564" w:rsidRDefault="00097564"/>
    <w:p w14:paraId="53B5BC8C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1ABB6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F318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D079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971E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3149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9B9C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7CCD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6ABA2A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257C5" w14:textId="77777777" w:rsidR="00097564" w:rsidRDefault="000975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1DF588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161D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40DA3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C0274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6E69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02F8325E" w14:textId="77777777" w:rsidR="00097564" w:rsidRDefault="00097564">
      <w:pPr>
        <w:spacing w:after="0"/>
      </w:pPr>
    </w:p>
    <w:p w14:paraId="06B0E7F0" w14:textId="11725916" w:rsidR="00097564" w:rsidRDefault="00000000">
      <w:r>
        <w:t>Povećanje zbog javnih radova  i zamjene jedne djelatnice koja je bila na porodiljnom i rodi</w:t>
      </w:r>
      <w:r w:rsidR="004C0D29">
        <w:t xml:space="preserve">teljskom </w:t>
      </w:r>
      <w:r>
        <w:t>dopustu</w:t>
      </w:r>
    </w:p>
    <w:p w14:paraId="4BBEA6F9" w14:textId="77777777" w:rsidR="00097564" w:rsidRDefault="00097564"/>
    <w:p w14:paraId="6C18858C" w14:textId="77777777" w:rsidR="00097564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3C83A62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5978B1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4721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9571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FB1F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A9CE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1494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4944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0A5CB7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BFA97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392A4D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8B5B3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F52D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124.489,14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8FE0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138.489,14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563A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14:paraId="22019ECF" w14:textId="77777777" w:rsidR="00097564" w:rsidRDefault="00097564">
      <w:pPr>
        <w:spacing w:after="0"/>
      </w:pPr>
    </w:p>
    <w:p w14:paraId="33363A2D" w14:textId="77777777" w:rsidR="00097564" w:rsidRDefault="00000000">
      <w:r>
        <w:t xml:space="preserve">Odnosi se na ulaganje na tuđoj imovini radi prava korištenja-arheološko istraživanje utvrde SV. Ivan </w:t>
      </w:r>
      <w:proofErr w:type="spellStart"/>
      <w:r>
        <w:t>Trnava</w:t>
      </w:r>
      <w:proofErr w:type="spellEnd"/>
      <w:r>
        <w:t> </w:t>
      </w:r>
    </w:p>
    <w:p w14:paraId="4262950F" w14:textId="77777777" w:rsidR="00097564" w:rsidRDefault="00097564"/>
    <w:p w14:paraId="5AFD2994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120B2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0F76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FB55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D51D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90FD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0FB6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8770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6E7C16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8B00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69CC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9E8D1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5887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0542E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A4F9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219,5</w:t>
            </w:r>
          </w:p>
        </w:tc>
      </w:tr>
    </w:tbl>
    <w:p w14:paraId="2976BF6E" w14:textId="77777777" w:rsidR="00097564" w:rsidRDefault="00097564">
      <w:pPr>
        <w:spacing w:after="0"/>
      </w:pPr>
    </w:p>
    <w:p w14:paraId="4B9A9D87" w14:textId="77777777" w:rsidR="00097564" w:rsidRDefault="00000000">
      <w:r>
        <w:t>Povećanje zbog ulaganja u novi softverski program-računovodstveni program</w:t>
      </w:r>
    </w:p>
    <w:p w14:paraId="059A1139" w14:textId="77777777" w:rsidR="00097564" w:rsidRDefault="00097564"/>
    <w:p w14:paraId="02936EA2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1C4ED2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7F5C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D6EB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E8BD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7E45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FB5A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8653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095A0C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B5BF7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3BFE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63BC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08ED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38.164,44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3F15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46.914,44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E9BC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14:paraId="5E98152F" w14:textId="77777777" w:rsidR="00097564" w:rsidRDefault="00097564">
      <w:pPr>
        <w:spacing w:after="0"/>
      </w:pPr>
    </w:p>
    <w:p w14:paraId="0B719307" w14:textId="77777777" w:rsidR="00097564" w:rsidRDefault="00000000">
      <w:r>
        <w:t>Odnosi se na dokumentaciju i radnje vezane za izmjenu i dopunu prostornog plana općine</w:t>
      </w:r>
    </w:p>
    <w:p w14:paraId="1F223D0D" w14:textId="77777777" w:rsidR="00097564" w:rsidRDefault="00097564"/>
    <w:p w14:paraId="7F8CD676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4244B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C7CA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7026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3632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F010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6E55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95A9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785483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EEE31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4AF5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822EE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0DB60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CE6B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ACE98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14:paraId="5D39F73E" w14:textId="77777777" w:rsidR="00097564" w:rsidRDefault="00097564">
      <w:pPr>
        <w:spacing w:after="0"/>
      </w:pPr>
    </w:p>
    <w:p w14:paraId="13CEFCE3" w14:textId="7F864681" w:rsidR="00097564" w:rsidRDefault="00000000">
      <w:r>
        <w:t>Iznos se odnosi na potraživanja za naknade koje se refundiraju, te ostale naknade npr. potraživanja za el.</w:t>
      </w:r>
      <w:r w:rsidR="004C0D29">
        <w:t xml:space="preserve"> </w:t>
      </w:r>
      <w:r>
        <w:t>energiju PZ Brezine</w:t>
      </w:r>
    </w:p>
    <w:p w14:paraId="06C85182" w14:textId="77777777" w:rsidR="00097564" w:rsidRDefault="00097564"/>
    <w:p w14:paraId="4DEB8ED0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210EB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2B04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28C0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2033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3252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656C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D422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55C4CD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D7B9A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4BB12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8798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A8DF4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44.382,05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48AA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55.203,51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9022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14:paraId="7A11D1E2" w14:textId="77777777" w:rsidR="00097564" w:rsidRDefault="00097564">
      <w:pPr>
        <w:spacing w:after="0"/>
      </w:pPr>
    </w:p>
    <w:p w14:paraId="18ADCBFB" w14:textId="77777777" w:rsidR="00097564" w:rsidRDefault="00000000">
      <w:r>
        <w:t>Iznos se odnosi na potraživanja  za poreze na kuću za odmor, porez na promet nekretnina, porez na potrošnju alkoholnih pića, porez na tvrtku.</w:t>
      </w:r>
    </w:p>
    <w:p w14:paraId="5E771FD8" w14:textId="77777777" w:rsidR="00097564" w:rsidRDefault="00097564"/>
    <w:p w14:paraId="1B0D7C22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43451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FF5F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B3DB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ACE5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C0440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C011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384A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47FC92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4D8E2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13B7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3AE4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2D14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2B289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7F84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14:paraId="3F951E91" w14:textId="77777777" w:rsidR="00097564" w:rsidRDefault="00097564">
      <w:pPr>
        <w:spacing w:after="0"/>
      </w:pPr>
    </w:p>
    <w:p w14:paraId="56C28155" w14:textId="5919852A" w:rsidR="00097564" w:rsidRDefault="00000000">
      <w:r>
        <w:t>Iznos se odnosi na zakupe poljoprivrednog zemljišta u vlasništvu RH, zakupe poslovnih prostora, te najmove sala, hladnjače i inventara</w:t>
      </w:r>
    </w:p>
    <w:p w14:paraId="7EE87FDA" w14:textId="77777777" w:rsidR="00097564" w:rsidRDefault="00097564"/>
    <w:p w14:paraId="387DD691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7E4751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D42A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1FF0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219B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08D3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5853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4FD5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0FF546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3B70E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249A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0AD5E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7A1E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30.166,38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9E71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40.272,48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3399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4FA609C8" w14:textId="77777777" w:rsidR="00097564" w:rsidRDefault="00097564">
      <w:pPr>
        <w:spacing w:after="0"/>
      </w:pPr>
    </w:p>
    <w:p w14:paraId="2FD225CF" w14:textId="51CE56F5" w:rsidR="00097564" w:rsidRDefault="00000000">
      <w:r>
        <w:t xml:space="preserve">Potraživanja za iznose komunalne naknade, naknade za odvodnju, </w:t>
      </w:r>
      <w:proofErr w:type="spellStart"/>
      <w:r>
        <w:t>grobarin</w:t>
      </w:r>
      <w:r w:rsidR="004C0D29">
        <w:t>e</w:t>
      </w:r>
      <w:proofErr w:type="spellEnd"/>
      <w:r>
        <w:t>, potraživanja za šumski doprinos, komunalni doprinos</w:t>
      </w:r>
    </w:p>
    <w:p w14:paraId="2C013C1C" w14:textId="77777777" w:rsidR="00097564" w:rsidRDefault="00097564"/>
    <w:p w14:paraId="466BC3B5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6F59C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FBFC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E45D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AE4B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4E12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E5023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526A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6C00F1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3E32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F0141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FCE2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4F9E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9.701,83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3C1E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20.392,27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26A3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210,2</w:t>
            </w:r>
          </w:p>
        </w:tc>
      </w:tr>
    </w:tbl>
    <w:p w14:paraId="7B44812A" w14:textId="77777777" w:rsidR="00097564" w:rsidRDefault="00097564">
      <w:pPr>
        <w:spacing w:after="0"/>
      </w:pPr>
    </w:p>
    <w:p w14:paraId="0E1C2A43" w14:textId="77777777" w:rsidR="00097564" w:rsidRDefault="00000000">
      <w:r>
        <w:t>Iznos se odnosi na razne materijalne troškove, troškove električne energije, goriva, usluge telefona, pošte, razna održavanja objekata, komunalne usluge, članarine LAD-u, naknade vijećnicima i volonterima</w:t>
      </w:r>
    </w:p>
    <w:p w14:paraId="698E0582" w14:textId="77777777" w:rsidR="00097564" w:rsidRDefault="00097564"/>
    <w:p w14:paraId="08763CC6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1DBA8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624A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9521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F2F5E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92275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BBF44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5689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2B31B2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4E13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149E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E23D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132DE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920A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579E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188,9</w:t>
            </w:r>
          </w:p>
        </w:tc>
      </w:tr>
    </w:tbl>
    <w:p w14:paraId="2C8DA22C" w14:textId="77777777" w:rsidR="00097564" w:rsidRDefault="00097564">
      <w:pPr>
        <w:spacing w:after="0"/>
      </w:pPr>
    </w:p>
    <w:p w14:paraId="50933771" w14:textId="6AD06E04" w:rsidR="00097564" w:rsidRDefault="00000000">
      <w:r>
        <w:t>Iznos se odnosi na kamate po prekoračenjima dosp</w:t>
      </w:r>
      <w:r w:rsidR="004C0D29">
        <w:t>i</w:t>
      </w:r>
      <w:r>
        <w:t>jeća</w:t>
      </w:r>
    </w:p>
    <w:p w14:paraId="3AC2D280" w14:textId="77777777" w:rsidR="00097564" w:rsidRDefault="00097564"/>
    <w:p w14:paraId="5F125A48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7CD761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E579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2469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B04C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3B5D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3C7A1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E531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4E0FD3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01BB5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3DB9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D601F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D3464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11.919,53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FC3D5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73.630,36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8A49C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617,7</w:t>
            </w:r>
          </w:p>
        </w:tc>
      </w:tr>
    </w:tbl>
    <w:p w14:paraId="5032E099" w14:textId="77777777" w:rsidR="00097564" w:rsidRDefault="00097564">
      <w:pPr>
        <w:spacing w:after="0"/>
      </w:pPr>
    </w:p>
    <w:p w14:paraId="4ADF1F67" w14:textId="77777777" w:rsidR="00097564" w:rsidRDefault="00000000">
      <w:r>
        <w:t>Najveći dio tih obaveza je financiranje izgradnje odvodnje(kanalizacije) u naseljima općine</w:t>
      </w:r>
    </w:p>
    <w:p w14:paraId="6CC499BE" w14:textId="77777777" w:rsidR="00097564" w:rsidRDefault="00097564"/>
    <w:p w14:paraId="4D4AFA5F" w14:textId="77777777" w:rsidR="00097564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073DB2A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97564" w14:paraId="22A58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BAD22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DA0C8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DF1A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D253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A28DD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E9DBA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0C3A44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9E88D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B5019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CB7FC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AFD6A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88E31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17.146,37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3E0F7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670F8E" w14:textId="77777777" w:rsidR="00097564" w:rsidRDefault="00097564">
      <w:pPr>
        <w:spacing w:after="0"/>
      </w:pPr>
    </w:p>
    <w:p w14:paraId="36CC903B" w14:textId="77777777" w:rsidR="00097564" w:rsidRDefault="00000000">
      <w:r>
        <w:t>U 2025. je bila  promjena u vrijednosti i obujmu imovine u iznosu 17.146,37</w:t>
      </w:r>
    </w:p>
    <w:p w14:paraId="60C5F283" w14:textId="77777777" w:rsidR="00097564" w:rsidRDefault="00097564"/>
    <w:p w14:paraId="24F56595" w14:textId="77777777" w:rsidR="0009756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546BE5F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97564" w14:paraId="0E1EA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23A0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8C73B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FEE1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E938C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F207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7D085F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26D2E" w14:textId="77777777" w:rsidR="00097564" w:rsidRDefault="000975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3645D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E17C7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31EE2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235.809,80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4AC06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543FB1" w14:textId="77777777" w:rsidR="00097564" w:rsidRDefault="00097564">
      <w:pPr>
        <w:spacing w:after="0"/>
      </w:pPr>
    </w:p>
    <w:p w14:paraId="4C1C3F3E" w14:textId="77777777" w:rsidR="00097564" w:rsidRDefault="00000000">
      <w:r>
        <w:t>Iznos od 235.809,80 je stanje obveza dospjelih i nedospjelih  na dan 31.12.2025. od toga dospjelih obveza je 151.384,93,a nedospjelih 84.424,87 eura</w:t>
      </w:r>
    </w:p>
    <w:p w14:paraId="72B31479" w14:textId="77777777" w:rsidR="00097564" w:rsidRDefault="00097564"/>
    <w:p w14:paraId="5B2555D3" w14:textId="77777777" w:rsidR="0009756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97564" w14:paraId="2D82F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A60D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1BBC6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6017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C1EEF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B82B9" w14:textId="77777777" w:rsidR="0009756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7564" w14:paraId="2003DD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3B4B1" w14:textId="77777777" w:rsidR="00097564" w:rsidRDefault="000975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F79934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D54DB" w14:textId="77777777" w:rsidR="0009756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D1DC9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151.384,93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CAC1F" w14:textId="77777777" w:rsidR="0009756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5E18D0" w14:textId="77777777" w:rsidR="00097564" w:rsidRDefault="00097564">
      <w:pPr>
        <w:spacing w:after="0"/>
      </w:pPr>
    </w:p>
    <w:p w14:paraId="67EAC125" w14:textId="1FCE8F59" w:rsidR="00097564" w:rsidRDefault="00000000">
      <w:r>
        <w:t>Iznos se odnosi na račune najvećim djelom za financiranje izgradnje odvodnje ( kanalizacije), javne r</w:t>
      </w:r>
      <w:r w:rsidR="004C0D29">
        <w:t>as</w:t>
      </w:r>
      <w:r>
        <w:t>vjete koji su dospjeli, a koji nisu bili plaćeni do 31.12.</w:t>
      </w:r>
    </w:p>
    <w:p w14:paraId="3400A3A0" w14:textId="77777777" w:rsidR="00097564" w:rsidRDefault="00097564"/>
    <w:sectPr w:rsidR="0009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4"/>
    <w:rsid w:val="00097564"/>
    <w:rsid w:val="004C0D29"/>
    <w:rsid w:val="009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02AE"/>
  <w15:docId w15:val="{B3D8D3EB-113A-47BA-9BB1-5F5EE2A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2179</Words>
  <Characters>12425</Characters>
  <Application>Microsoft Office Word</Application>
  <DocSecurity>0</DocSecurity>
  <Lines>103</Lines>
  <Paragraphs>29</Paragraphs>
  <ScaleCrop>false</ScaleCrop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opcinagb22@outlook.com</cp:lastModifiedBy>
  <cp:revision>2</cp:revision>
  <dcterms:created xsi:type="dcterms:W3CDTF">2026-02-16T11:48:00Z</dcterms:created>
  <dcterms:modified xsi:type="dcterms:W3CDTF">2026-02-16T11:48:00Z</dcterms:modified>
</cp:coreProperties>
</file>