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74B5C" w14:paraId="5DCFE810" w14:textId="77777777">
        <w:tblPrEx>
          <w:tblCellMar>
            <w:top w:w="0" w:type="dxa"/>
            <w:bottom w:w="0" w:type="dxa"/>
          </w:tblCellMar>
        </w:tblPrEx>
        <w:trPr>
          <w:tblCellSpacing w:w="60" w:type="dxa"/>
        </w:trPr>
        <w:tc>
          <w:tcPr>
            <w:tcW w:w="1200" w:type="pct"/>
            <w:shd w:val="clear" w:color="auto" w:fill="E7F0F9"/>
          </w:tcPr>
          <w:p w14:paraId="1312CF7A" w14:textId="77777777" w:rsidR="00974B5C" w:rsidRDefault="00000000">
            <w:pPr>
              <w:spacing w:after="0" w:line="240" w:lineRule="auto"/>
            </w:pPr>
            <w:r>
              <w:rPr>
                <w:b/>
              </w:rPr>
              <w:t>RKP broj</w:t>
            </w:r>
          </w:p>
        </w:tc>
        <w:tc>
          <w:tcPr>
            <w:tcW w:w="0" w:type="auto"/>
            <w:shd w:val="clear" w:color="auto" w:fill="E7F0F9"/>
          </w:tcPr>
          <w:p w14:paraId="53AE390F" w14:textId="77777777" w:rsidR="00974B5C" w:rsidRDefault="00000000">
            <w:pPr>
              <w:spacing w:after="0" w:line="240" w:lineRule="auto"/>
            </w:pPr>
            <w:r>
              <w:t>36854</w:t>
            </w:r>
          </w:p>
        </w:tc>
      </w:tr>
      <w:tr w:rsidR="00974B5C" w14:paraId="71EFD8CB" w14:textId="77777777">
        <w:tblPrEx>
          <w:tblCellMar>
            <w:top w:w="0" w:type="dxa"/>
            <w:bottom w:w="0" w:type="dxa"/>
          </w:tblCellMar>
        </w:tblPrEx>
        <w:trPr>
          <w:tblCellSpacing w:w="60" w:type="dxa"/>
        </w:trPr>
        <w:tc>
          <w:tcPr>
            <w:tcW w:w="1200" w:type="pct"/>
            <w:shd w:val="clear" w:color="auto" w:fill="E7F0F9"/>
          </w:tcPr>
          <w:p w14:paraId="0C069212" w14:textId="77777777" w:rsidR="00974B5C" w:rsidRDefault="00000000">
            <w:pPr>
              <w:spacing w:after="0" w:line="240" w:lineRule="auto"/>
            </w:pPr>
            <w:r>
              <w:rPr>
                <w:b/>
              </w:rPr>
              <w:t>Naziv obveznika</w:t>
            </w:r>
          </w:p>
        </w:tc>
        <w:tc>
          <w:tcPr>
            <w:tcW w:w="0" w:type="auto"/>
            <w:shd w:val="clear" w:color="auto" w:fill="E7F0F9"/>
          </w:tcPr>
          <w:p w14:paraId="731E715C" w14:textId="77777777" w:rsidR="00974B5C" w:rsidRDefault="00000000">
            <w:pPr>
              <w:spacing w:after="0" w:line="240" w:lineRule="auto"/>
            </w:pPr>
            <w:r>
              <w:t>OPĆINA GORNJI BOGIĆEVCI</w:t>
            </w:r>
          </w:p>
        </w:tc>
      </w:tr>
      <w:tr w:rsidR="00974B5C" w14:paraId="3511627A" w14:textId="77777777">
        <w:tblPrEx>
          <w:tblCellMar>
            <w:top w:w="0" w:type="dxa"/>
            <w:bottom w:w="0" w:type="dxa"/>
          </w:tblCellMar>
        </w:tblPrEx>
        <w:trPr>
          <w:tblCellSpacing w:w="60" w:type="dxa"/>
        </w:trPr>
        <w:tc>
          <w:tcPr>
            <w:tcW w:w="1200" w:type="pct"/>
            <w:shd w:val="clear" w:color="auto" w:fill="E7F0F9"/>
          </w:tcPr>
          <w:p w14:paraId="195CE60D" w14:textId="77777777" w:rsidR="00974B5C" w:rsidRDefault="00000000">
            <w:pPr>
              <w:spacing w:after="0" w:line="240" w:lineRule="auto"/>
            </w:pPr>
            <w:r>
              <w:rPr>
                <w:b/>
              </w:rPr>
              <w:t>Razina</w:t>
            </w:r>
          </w:p>
        </w:tc>
        <w:tc>
          <w:tcPr>
            <w:tcW w:w="0" w:type="auto"/>
            <w:shd w:val="clear" w:color="auto" w:fill="E7F0F9"/>
          </w:tcPr>
          <w:p w14:paraId="1BF22F68" w14:textId="77777777" w:rsidR="00974B5C" w:rsidRDefault="00000000">
            <w:pPr>
              <w:spacing w:after="0" w:line="240" w:lineRule="auto"/>
            </w:pPr>
            <w:r>
              <w:t>23</w:t>
            </w:r>
          </w:p>
        </w:tc>
      </w:tr>
    </w:tbl>
    <w:p w14:paraId="76FBB6E9" w14:textId="77777777" w:rsidR="00974B5C" w:rsidRDefault="00000000">
      <w:r>
        <w:br/>
      </w:r>
    </w:p>
    <w:p w14:paraId="31A50B9F" w14:textId="77777777" w:rsidR="00974B5C" w:rsidRDefault="00000000">
      <w:pPr>
        <w:spacing w:line="240" w:lineRule="auto"/>
        <w:jc w:val="center"/>
      </w:pPr>
      <w:r>
        <w:rPr>
          <w:b/>
          <w:sz w:val="28"/>
        </w:rPr>
        <w:t>BILJEŠKE UZ FINANCIJSKE IZVJEŠTAJE</w:t>
      </w:r>
    </w:p>
    <w:p w14:paraId="23BB99B9" w14:textId="77777777" w:rsidR="00974B5C" w:rsidRDefault="00000000">
      <w:pPr>
        <w:spacing w:line="240" w:lineRule="auto"/>
        <w:jc w:val="center"/>
      </w:pPr>
      <w:r>
        <w:rPr>
          <w:b/>
          <w:sz w:val="28"/>
        </w:rPr>
        <w:t>ZA RAZDOBLJE</w:t>
      </w:r>
    </w:p>
    <w:p w14:paraId="6F050234" w14:textId="77777777" w:rsidR="00974B5C" w:rsidRDefault="00000000">
      <w:pPr>
        <w:spacing w:line="240" w:lineRule="auto"/>
        <w:jc w:val="center"/>
      </w:pPr>
      <w:r>
        <w:rPr>
          <w:b/>
          <w:sz w:val="28"/>
        </w:rPr>
        <w:t>I - XII 2025.</w:t>
      </w:r>
    </w:p>
    <w:p w14:paraId="2E328758" w14:textId="77777777" w:rsidR="00974B5C" w:rsidRDefault="00974B5C"/>
    <w:p w14:paraId="637EF795" w14:textId="77777777" w:rsidR="00974B5C" w:rsidRDefault="00000000">
      <w:pPr>
        <w:keepNext/>
        <w:spacing w:line="240" w:lineRule="auto"/>
        <w:jc w:val="center"/>
      </w:pPr>
      <w:r>
        <w:rPr>
          <w:b/>
          <w:sz w:val="28"/>
        </w:rPr>
        <w:t>Izvještaj o prihodima i rashodima, primicima i izdacima</w:t>
      </w:r>
    </w:p>
    <w:p w14:paraId="18ED0D50" w14:textId="77777777" w:rsidR="00974B5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69F66D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24650B"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452C90"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CB7AC9"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324F21"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128438"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675360" w14:textId="77777777" w:rsidR="00974B5C" w:rsidRDefault="00000000">
            <w:pPr>
              <w:keepNext/>
              <w:keepLines/>
              <w:spacing w:after="0" w:line="240" w:lineRule="auto"/>
              <w:jc w:val="center"/>
            </w:pPr>
            <w:r>
              <w:rPr>
                <w:b/>
                <w:sz w:val="18"/>
              </w:rPr>
              <w:t>Indeks (%)</w:t>
            </w:r>
          </w:p>
        </w:tc>
      </w:tr>
      <w:tr w:rsidR="00974B5C" w14:paraId="57766493" w14:textId="77777777">
        <w:tblPrEx>
          <w:tblCellMar>
            <w:top w:w="0" w:type="dxa"/>
            <w:bottom w:w="0" w:type="dxa"/>
          </w:tblCellMar>
        </w:tblPrEx>
        <w:trPr>
          <w:cantSplit/>
          <w:trHeight w:val="560"/>
        </w:trPr>
        <w:tc>
          <w:tcPr>
            <w:tcW w:w="700" w:type="dxa"/>
            <w:tcMar>
              <w:top w:w="0" w:type="dxa"/>
              <w:bottom w:w="0" w:type="dxa"/>
            </w:tcMar>
            <w:vAlign w:val="center"/>
          </w:tcPr>
          <w:p w14:paraId="2DD1E46B" w14:textId="77777777" w:rsidR="00974B5C" w:rsidRDefault="00000000">
            <w:pPr>
              <w:keepNext/>
              <w:keepLines/>
              <w:spacing w:after="0" w:line="240" w:lineRule="auto"/>
            </w:pPr>
            <w:r>
              <w:rPr>
                <w:sz w:val="18"/>
              </w:rPr>
              <w:t>6</w:t>
            </w:r>
          </w:p>
        </w:tc>
        <w:tc>
          <w:tcPr>
            <w:tcW w:w="3180" w:type="dxa"/>
            <w:tcMar>
              <w:top w:w="0" w:type="dxa"/>
              <w:bottom w:w="0" w:type="dxa"/>
            </w:tcMar>
            <w:vAlign w:val="center"/>
          </w:tcPr>
          <w:p w14:paraId="68349836" w14:textId="77777777" w:rsidR="00974B5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4C04A6D" w14:textId="77777777" w:rsidR="00974B5C" w:rsidRDefault="00000000">
            <w:pPr>
              <w:keepNext/>
              <w:keepLines/>
              <w:spacing w:after="0" w:line="240" w:lineRule="auto"/>
            </w:pPr>
            <w:r>
              <w:rPr>
                <w:sz w:val="18"/>
              </w:rPr>
              <w:t>6</w:t>
            </w:r>
          </w:p>
        </w:tc>
        <w:tc>
          <w:tcPr>
            <w:tcW w:w="1860" w:type="dxa"/>
            <w:tcMar>
              <w:top w:w="0" w:type="dxa"/>
              <w:bottom w:w="0" w:type="dxa"/>
            </w:tcMar>
            <w:vAlign w:val="center"/>
          </w:tcPr>
          <w:p w14:paraId="1FF40646" w14:textId="77777777" w:rsidR="00974B5C" w:rsidRDefault="00000000">
            <w:pPr>
              <w:keepNext/>
              <w:keepLines/>
              <w:spacing w:after="0" w:line="240" w:lineRule="auto"/>
              <w:jc w:val="right"/>
            </w:pPr>
            <w:r>
              <w:rPr>
                <w:sz w:val="18"/>
              </w:rPr>
              <w:t>1.029.834,63</w:t>
            </w:r>
          </w:p>
        </w:tc>
        <w:tc>
          <w:tcPr>
            <w:tcW w:w="1860" w:type="dxa"/>
            <w:tcMar>
              <w:top w:w="0" w:type="dxa"/>
              <w:bottom w:w="0" w:type="dxa"/>
            </w:tcMar>
            <w:vAlign w:val="center"/>
          </w:tcPr>
          <w:p w14:paraId="6FA17AA0" w14:textId="77777777" w:rsidR="00974B5C" w:rsidRDefault="00000000">
            <w:pPr>
              <w:keepNext/>
              <w:keepLines/>
              <w:spacing w:after="0" w:line="240" w:lineRule="auto"/>
              <w:jc w:val="right"/>
            </w:pPr>
            <w:r>
              <w:rPr>
                <w:sz w:val="18"/>
              </w:rPr>
              <w:t>1.046.540,87</w:t>
            </w:r>
          </w:p>
        </w:tc>
        <w:tc>
          <w:tcPr>
            <w:tcW w:w="700" w:type="dxa"/>
            <w:tcMar>
              <w:top w:w="0" w:type="dxa"/>
              <w:bottom w:w="0" w:type="dxa"/>
            </w:tcMar>
            <w:vAlign w:val="center"/>
          </w:tcPr>
          <w:p w14:paraId="20EA4C1B" w14:textId="77777777" w:rsidR="00974B5C" w:rsidRDefault="00000000">
            <w:pPr>
              <w:keepNext/>
              <w:keepLines/>
              <w:spacing w:after="0" w:line="240" w:lineRule="auto"/>
              <w:jc w:val="right"/>
            </w:pPr>
            <w:r>
              <w:rPr>
                <w:sz w:val="18"/>
              </w:rPr>
              <w:t>101,6</w:t>
            </w:r>
          </w:p>
        </w:tc>
      </w:tr>
      <w:tr w:rsidR="00974B5C" w14:paraId="4489CB3A" w14:textId="77777777">
        <w:tblPrEx>
          <w:tblCellMar>
            <w:top w:w="0" w:type="dxa"/>
            <w:bottom w:w="0" w:type="dxa"/>
          </w:tblCellMar>
        </w:tblPrEx>
        <w:trPr>
          <w:cantSplit/>
          <w:trHeight w:val="560"/>
        </w:trPr>
        <w:tc>
          <w:tcPr>
            <w:tcW w:w="700" w:type="dxa"/>
            <w:tcMar>
              <w:top w:w="0" w:type="dxa"/>
              <w:bottom w:w="0" w:type="dxa"/>
            </w:tcMar>
            <w:vAlign w:val="center"/>
          </w:tcPr>
          <w:p w14:paraId="73FD4127" w14:textId="77777777" w:rsidR="00974B5C" w:rsidRDefault="00000000">
            <w:pPr>
              <w:keepNext/>
              <w:keepLines/>
              <w:spacing w:after="0" w:line="240" w:lineRule="auto"/>
            </w:pPr>
            <w:r>
              <w:rPr>
                <w:sz w:val="18"/>
              </w:rPr>
              <w:t>3</w:t>
            </w:r>
          </w:p>
        </w:tc>
        <w:tc>
          <w:tcPr>
            <w:tcW w:w="3180" w:type="dxa"/>
            <w:tcMar>
              <w:top w:w="0" w:type="dxa"/>
              <w:bottom w:w="0" w:type="dxa"/>
            </w:tcMar>
            <w:vAlign w:val="center"/>
          </w:tcPr>
          <w:p w14:paraId="55B968A2" w14:textId="77777777" w:rsidR="00974B5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4EFE53E" w14:textId="77777777" w:rsidR="00974B5C" w:rsidRDefault="00000000">
            <w:pPr>
              <w:keepNext/>
              <w:keepLines/>
              <w:spacing w:after="0" w:line="240" w:lineRule="auto"/>
            </w:pPr>
            <w:r>
              <w:rPr>
                <w:sz w:val="18"/>
              </w:rPr>
              <w:t>3</w:t>
            </w:r>
          </w:p>
        </w:tc>
        <w:tc>
          <w:tcPr>
            <w:tcW w:w="1860" w:type="dxa"/>
            <w:tcMar>
              <w:top w:w="0" w:type="dxa"/>
              <w:bottom w:w="0" w:type="dxa"/>
            </w:tcMar>
            <w:vAlign w:val="center"/>
          </w:tcPr>
          <w:p w14:paraId="423A65EC" w14:textId="77777777" w:rsidR="00974B5C" w:rsidRDefault="00000000">
            <w:pPr>
              <w:keepNext/>
              <w:keepLines/>
              <w:spacing w:after="0" w:line="240" w:lineRule="auto"/>
              <w:jc w:val="right"/>
            </w:pPr>
            <w:r>
              <w:rPr>
                <w:sz w:val="18"/>
              </w:rPr>
              <w:t>740.907,58</w:t>
            </w:r>
          </w:p>
        </w:tc>
        <w:tc>
          <w:tcPr>
            <w:tcW w:w="1860" w:type="dxa"/>
            <w:tcMar>
              <w:top w:w="0" w:type="dxa"/>
              <w:bottom w:w="0" w:type="dxa"/>
            </w:tcMar>
            <w:vAlign w:val="center"/>
          </w:tcPr>
          <w:p w14:paraId="5564E5E0" w14:textId="77777777" w:rsidR="00974B5C" w:rsidRDefault="00000000">
            <w:pPr>
              <w:keepNext/>
              <w:keepLines/>
              <w:spacing w:after="0" w:line="240" w:lineRule="auto"/>
              <w:jc w:val="right"/>
            </w:pPr>
            <w:r>
              <w:rPr>
                <w:sz w:val="18"/>
              </w:rPr>
              <w:t>943.699,09</w:t>
            </w:r>
          </w:p>
        </w:tc>
        <w:tc>
          <w:tcPr>
            <w:tcW w:w="700" w:type="dxa"/>
            <w:tcMar>
              <w:top w:w="0" w:type="dxa"/>
              <w:bottom w:w="0" w:type="dxa"/>
            </w:tcMar>
            <w:vAlign w:val="center"/>
          </w:tcPr>
          <w:p w14:paraId="1AD3A5BC" w14:textId="77777777" w:rsidR="00974B5C" w:rsidRDefault="00000000">
            <w:pPr>
              <w:keepNext/>
              <w:keepLines/>
              <w:spacing w:after="0" w:line="240" w:lineRule="auto"/>
              <w:jc w:val="right"/>
            </w:pPr>
            <w:r>
              <w:rPr>
                <w:sz w:val="18"/>
              </w:rPr>
              <w:t>127,4</w:t>
            </w:r>
          </w:p>
        </w:tc>
      </w:tr>
      <w:tr w:rsidR="00974B5C" w14:paraId="6DC442B4" w14:textId="77777777">
        <w:tblPrEx>
          <w:tblCellMar>
            <w:top w:w="0" w:type="dxa"/>
            <w:bottom w:w="0" w:type="dxa"/>
          </w:tblCellMar>
        </w:tblPrEx>
        <w:trPr>
          <w:cantSplit/>
          <w:trHeight w:val="560"/>
        </w:trPr>
        <w:tc>
          <w:tcPr>
            <w:tcW w:w="700" w:type="dxa"/>
            <w:tcMar>
              <w:top w:w="0" w:type="dxa"/>
              <w:bottom w:w="0" w:type="dxa"/>
            </w:tcMar>
            <w:vAlign w:val="center"/>
          </w:tcPr>
          <w:p w14:paraId="7546572B" w14:textId="77777777" w:rsidR="00974B5C" w:rsidRDefault="00974B5C">
            <w:pPr>
              <w:keepNext/>
              <w:keepLines/>
              <w:spacing w:after="0" w:line="240" w:lineRule="auto"/>
            </w:pPr>
          </w:p>
        </w:tc>
        <w:tc>
          <w:tcPr>
            <w:tcW w:w="3180" w:type="dxa"/>
            <w:tcMar>
              <w:top w:w="0" w:type="dxa"/>
              <w:bottom w:w="0" w:type="dxa"/>
            </w:tcMar>
            <w:vAlign w:val="center"/>
          </w:tcPr>
          <w:p w14:paraId="268B0A6D" w14:textId="77777777" w:rsidR="00974B5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F1BD08A" w14:textId="77777777" w:rsidR="00974B5C" w:rsidRDefault="00000000">
            <w:pPr>
              <w:keepNext/>
              <w:keepLines/>
              <w:spacing w:after="0" w:line="240" w:lineRule="auto"/>
            </w:pPr>
            <w:r>
              <w:rPr>
                <w:b/>
                <w:sz w:val="18"/>
              </w:rPr>
              <w:t>X001</w:t>
            </w:r>
          </w:p>
        </w:tc>
        <w:tc>
          <w:tcPr>
            <w:tcW w:w="1860" w:type="dxa"/>
            <w:tcMar>
              <w:top w:w="0" w:type="dxa"/>
              <w:bottom w:w="0" w:type="dxa"/>
            </w:tcMar>
            <w:vAlign w:val="center"/>
          </w:tcPr>
          <w:p w14:paraId="291C08EA" w14:textId="77777777" w:rsidR="00974B5C" w:rsidRDefault="00000000">
            <w:pPr>
              <w:keepNext/>
              <w:keepLines/>
              <w:spacing w:after="0" w:line="240" w:lineRule="auto"/>
              <w:jc w:val="right"/>
            </w:pPr>
            <w:r>
              <w:rPr>
                <w:b/>
                <w:sz w:val="18"/>
              </w:rPr>
              <w:t>288.927,05</w:t>
            </w:r>
          </w:p>
        </w:tc>
        <w:tc>
          <w:tcPr>
            <w:tcW w:w="1860" w:type="dxa"/>
            <w:tcMar>
              <w:top w:w="0" w:type="dxa"/>
              <w:bottom w:w="0" w:type="dxa"/>
            </w:tcMar>
            <w:vAlign w:val="center"/>
          </w:tcPr>
          <w:p w14:paraId="338EB720" w14:textId="77777777" w:rsidR="00974B5C" w:rsidRDefault="00000000">
            <w:pPr>
              <w:keepNext/>
              <w:keepLines/>
              <w:spacing w:after="0" w:line="240" w:lineRule="auto"/>
              <w:jc w:val="right"/>
            </w:pPr>
            <w:r>
              <w:rPr>
                <w:b/>
                <w:sz w:val="18"/>
              </w:rPr>
              <w:t>102.841,78</w:t>
            </w:r>
          </w:p>
        </w:tc>
        <w:tc>
          <w:tcPr>
            <w:tcW w:w="700" w:type="dxa"/>
            <w:tcMar>
              <w:top w:w="0" w:type="dxa"/>
              <w:bottom w:w="0" w:type="dxa"/>
            </w:tcMar>
            <w:vAlign w:val="center"/>
          </w:tcPr>
          <w:p w14:paraId="0514105C" w14:textId="77777777" w:rsidR="00974B5C" w:rsidRDefault="00000000">
            <w:pPr>
              <w:keepNext/>
              <w:keepLines/>
              <w:spacing w:after="0" w:line="240" w:lineRule="auto"/>
              <w:jc w:val="right"/>
            </w:pPr>
            <w:r>
              <w:rPr>
                <w:b/>
                <w:sz w:val="18"/>
              </w:rPr>
              <w:t>35,6</w:t>
            </w:r>
          </w:p>
        </w:tc>
      </w:tr>
      <w:tr w:rsidR="00974B5C" w14:paraId="683E1E8B" w14:textId="77777777">
        <w:tblPrEx>
          <w:tblCellMar>
            <w:top w:w="0" w:type="dxa"/>
            <w:bottom w:w="0" w:type="dxa"/>
          </w:tblCellMar>
        </w:tblPrEx>
        <w:trPr>
          <w:cantSplit/>
          <w:trHeight w:val="560"/>
        </w:trPr>
        <w:tc>
          <w:tcPr>
            <w:tcW w:w="700" w:type="dxa"/>
            <w:tcMar>
              <w:top w:w="0" w:type="dxa"/>
              <w:bottom w:w="0" w:type="dxa"/>
            </w:tcMar>
            <w:vAlign w:val="center"/>
          </w:tcPr>
          <w:p w14:paraId="1D3FF6D1" w14:textId="77777777" w:rsidR="00974B5C" w:rsidRDefault="00000000">
            <w:pPr>
              <w:keepNext/>
              <w:keepLines/>
              <w:spacing w:after="0" w:line="240" w:lineRule="auto"/>
            </w:pPr>
            <w:r>
              <w:rPr>
                <w:sz w:val="18"/>
              </w:rPr>
              <w:t>7</w:t>
            </w:r>
          </w:p>
        </w:tc>
        <w:tc>
          <w:tcPr>
            <w:tcW w:w="3180" w:type="dxa"/>
            <w:tcMar>
              <w:top w:w="0" w:type="dxa"/>
              <w:bottom w:w="0" w:type="dxa"/>
            </w:tcMar>
            <w:vAlign w:val="center"/>
          </w:tcPr>
          <w:p w14:paraId="39EC7A7B" w14:textId="77777777" w:rsidR="00974B5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0239042" w14:textId="77777777" w:rsidR="00974B5C" w:rsidRDefault="00000000">
            <w:pPr>
              <w:keepNext/>
              <w:keepLines/>
              <w:spacing w:after="0" w:line="240" w:lineRule="auto"/>
            </w:pPr>
            <w:r>
              <w:rPr>
                <w:sz w:val="18"/>
              </w:rPr>
              <w:t>7</w:t>
            </w:r>
          </w:p>
        </w:tc>
        <w:tc>
          <w:tcPr>
            <w:tcW w:w="1860" w:type="dxa"/>
            <w:tcMar>
              <w:top w:w="0" w:type="dxa"/>
              <w:bottom w:w="0" w:type="dxa"/>
            </w:tcMar>
            <w:vAlign w:val="center"/>
          </w:tcPr>
          <w:p w14:paraId="2F620A12" w14:textId="77777777" w:rsidR="00974B5C" w:rsidRDefault="00000000">
            <w:pPr>
              <w:keepNext/>
              <w:keepLines/>
              <w:spacing w:after="0" w:line="240" w:lineRule="auto"/>
              <w:jc w:val="right"/>
            </w:pPr>
            <w:r>
              <w:rPr>
                <w:sz w:val="18"/>
              </w:rPr>
              <w:t>55.613,66</w:t>
            </w:r>
          </w:p>
        </w:tc>
        <w:tc>
          <w:tcPr>
            <w:tcW w:w="1860" w:type="dxa"/>
            <w:tcMar>
              <w:top w:w="0" w:type="dxa"/>
              <w:bottom w:w="0" w:type="dxa"/>
            </w:tcMar>
            <w:vAlign w:val="center"/>
          </w:tcPr>
          <w:p w14:paraId="5F292310" w14:textId="77777777" w:rsidR="00974B5C" w:rsidRDefault="00000000">
            <w:pPr>
              <w:keepNext/>
              <w:keepLines/>
              <w:spacing w:after="0" w:line="240" w:lineRule="auto"/>
              <w:jc w:val="right"/>
            </w:pPr>
            <w:r>
              <w:rPr>
                <w:sz w:val="18"/>
              </w:rPr>
              <w:t>2.500,00</w:t>
            </w:r>
          </w:p>
        </w:tc>
        <w:tc>
          <w:tcPr>
            <w:tcW w:w="700" w:type="dxa"/>
            <w:tcMar>
              <w:top w:w="0" w:type="dxa"/>
              <w:bottom w:w="0" w:type="dxa"/>
            </w:tcMar>
            <w:vAlign w:val="center"/>
          </w:tcPr>
          <w:p w14:paraId="48330470" w14:textId="77777777" w:rsidR="00974B5C" w:rsidRDefault="00000000">
            <w:pPr>
              <w:keepNext/>
              <w:keepLines/>
              <w:spacing w:after="0" w:line="240" w:lineRule="auto"/>
              <w:jc w:val="right"/>
            </w:pPr>
            <w:r>
              <w:rPr>
                <w:sz w:val="18"/>
              </w:rPr>
              <w:t>4,5</w:t>
            </w:r>
          </w:p>
        </w:tc>
      </w:tr>
      <w:tr w:rsidR="00974B5C" w14:paraId="5208F640" w14:textId="77777777">
        <w:tblPrEx>
          <w:tblCellMar>
            <w:top w:w="0" w:type="dxa"/>
            <w:bottom w:w="0" w:type="dxa"/>
          </w:tblCellMar>
        </w:tblPrEx>
        <w:trPr>
          <w:cantSplit/>
          <w:trHeight w:val="560"/>
        </w:trPr>
        <w:tc>
          <w:tcPr>
            <w:tcW w:w="700" w:type="dxa"/>
            <w:tcMar>
              <w:top w:w="0" w:type="dxa"/>
              <w:bottom w:w="0" w:type="dxa"/>
            </w:tcMar>
            <w:vAlign w:val="center"/>
          </w:tcPr>
          <w:p w14:paraId="32269CE1" w14:textId="77777777" w:rsidR="00974B5C" w:rsidRDefault="00000000">
            <w:pPr>
              <w:keepNext/>
              <w:keepLines/>
              <w:spacing w:after="0" w:line="240" w:lineRule="auto"/>
            </w:pPr>
            <w:r>
              <w:rPr>
                <w:sz w:val="18"/>
              </w:rPr>
              <w:t>4</w:t>
            </w:r>
          </w:p>
        </w:tc>
        <w:tc>
          <w:tcPr>
            <w:tcW w:w="3180" w:type="dxa"/>
            <w:tcMar>
              <w:top w:w="0" w:type="dxa"/>
              <w:bottom w:w="0" w:type="dxa"/>
            </w:tcMar>
            <w:vAlign w:val="center"/>
          </w:tcPr>
          <w:p w14:paraId="0E5D2A2D" w14:textId="77777777" w:rsidR="00974B5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727A9EF" w14:textId="77777777" w:rsidR="00974B5C" w:rsidRDefault="00000000">
            <w:pPr>
              <w:keepNext/>
              <w:keepLines/>
              <w:spacing w:after="0" w:line="240" w:lineRule="auto"/>
            </w:pPr>
            <w:r>
              <w:rPr>
                <w:sz w:val="18"/>
              </w:rPr>
              <w:t>4</w:t>
            </w:r>
          </w:p>
        </w:tc>
        <w:tc>
          <w:tcPr>
            <w:tcW w:w="1860" w:type="dxa"/>
            <w:tcMar>
              <w:top w:w="0" w:type="dxa"/>
              <w:bottom w:w="0" w:type="dxa"/>
            </w:tcMar>
            <w:vAlign w:val="center"/>
          </w:tcPr>
          <w:p w14:paraId="37AF0865" w14:textId="77777777" w:rsidR="00974B5C" w:rsidRDefault="00000000">
            <w:pPr>
              <w:keepNext/>
              <w:keepLines/>
              <w:spacing w:after="0" w:line="240" w:lineRule="auto"/>
              <w:jc w:val="right"/>
            </w:pPr>
            <w:r>
              <w:rPr>
                <w:sz w:val="18"/>
              </w:rPr>
              <w:t>685.511,34</w:t>
            </w:r>
          </w:p>
        </w:tc>
        <w:tc>
          <w:tcPr>
            <w:tcW w:w="1860" w:type="dxa"/>
            <w:tcMar>
              <w:top w:w="0" w:type="dxa"/>
              <w:bottom w:w="0" w:type="dxa"/>
            </w:tcMar>
            <w:vAlign w:val="center"/>
          </w:tcPr>
          <w:p w14:paraId="50E1EAF9" w14:textId="77777777" w:rsidR="00974B5C" w:rsidRDefault="00000000">
            <w:pPr>
              <w:keepNext/>
              <w:keepLines/>
              <w:spacing w:after="0" w:line="240" w:lineRule="auto"/>
              <w:jc w:val="right"/>
            </w:pPr>
            <w:r>
              <w:rPr>
                <w:sz w:val="18"/>
              </w:rPr>
              <w:t>188.394,33</w:t>
            </w:r>
          </w:p>
        </w:tc>
        <w:tc>
          <w:tcPr>
            <w:tcW w:w="700" w:type="dxa"/>
            <w:tcMar>
              <w:top w:w="0" w:type="dxa"/>
              <w:bottom w:w="0" w:type="dxa"/>
            </w:tcMar>
            <w:vAlign w:val="center"/>
          </w:tcPr>
          <w:p w14:paraId="06003BF6" w14:textId="77777777" w:rsidR="00974B5C" w:rsidRDefault="00000000">
            <w:pPr>
              <w:keepNext/>
              <w:keepLines/>
              <w:spacing w:after="0" w:line="240" w:lineRule="auto"/>
              <w:jc w:val="right"/>
            </w:pPr>
            <w:r>
              <w:rPr>
                <w:sz w:val="18"/>
              </w:rPr>
              <w:t>27,5</w:t>
            </w:r>
          </w:p>
        </w:tc>
      </w:tr>
      <w:tr w:rsidR="00974B5C" w14:paraId="57CA5C0B" w14:textId="77777777">
        <w:tblPrEx>
          <w:tblCellMar>
            <w:top w:w="0" w:type="dxa"/>
            <w:bottom w:w="0" w:type="dxa"/>
          </w:tblCellMar>
        </w:tblPrEx>
        <w:trPr>
          <w:cantSplit/>
          <w:trHeight w:val="560"/>
        </w:trPr>
        <w:tc>
          <w:tcPr>
            <w:tcW w:w="700" w:type="dxa"/>
            <w:tcMar>
              <w:top w:w="0" w:type="dxa"/>
              <w:bottom w:w="0" w:type="dxa"/>
            </w:tcMar>
            <w:vAlign w:val="center"/>
          </w:tcPr>
          <w:p w14:paraId="3CDBE3B2" w14:textId="77777777" w:rsidR="00974B5C" w:rsidRDefault="00974B5C">
            <w:pPr>
              <w:keepNext/>
              <w:keepLines/>
              <w:spacing w:after="0" w:line="240" w:lineRule="auto"/>
            </w:pPr>
          </w:p>
        </w:tc>
        <w:tc>
          <w:tcPr>
            <w:tcW w:w="3180" w:type="dxa"/>
            <w:tcMar>
              <w:top w:w="0" w:type="dxa"/>
              <w:bottom w:w="0" w:type="dxa"/>
            </w:tcMar>
            <w:vAlign w:val="center"/>
          </w:tcPr>
          <w:p w14:paraId="5ABAF376" w14:textId="77777777" w:rsidR="00974B5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11AE0DD" w14:textId="77777777" w:rsidR="00974B5C" w:rsidRDefault="00000000">
            <w:pPr>
              <w:keepNext/>
              <w:keepLines/>
              <w:spacing w:after="0" w:line="240" w:lineRule="auto"/>
            </w:pPr>
            <w:r>
              <w:rPr>
                <w:b/>
                <w:sz w:val="18"/>
              </w:rPr>
              <w:t>Y002</w:t>
            </w:r>
          </w:p>
        </w:tc>
        <w:tc>
          <w:tcPr>
            <w:tcW w:w="1860" w:type="dxa"/>
            <w:tcMar>
              <w:top w:w="0" w:type="dxa"/>
              <w:bottom w:w="0" w:type="dxa"/>
            </w:tcMar>
            <w:vAlign w:val="center"/>
          </w:tcPr>
          <w:p w14:paraId="0F3166D0" w14:textId="77777777" w:rsidR="00974B5C" w:rsidRDefault="00000000">
            <w:pPr>
              <w:keepNext/>
              <w:keepLines/>
              <w:spacing w:after="0" w:line="240" w:lineRule="auto"/>
              <w:jc w:val="right"/>
            </w:pPr>
            <w:r>
              <w:rPr>
                <w:b/>
                <w:sz w:val="18"/>
              </w:rPr>
              <w:t>629.897,68</w:t>
            </w:r>
          </w:p>
        </w:tc>
        <w:tc>
          <w:tcPr>
            <w:tcW w:w="1860" w:type="dxa"/>
            <w:tcMar>
              <w:top w:w="0" w:type="dxa"/>
              <w:bottom w:w="0" w:type="dxa"/>
            </w:tcMar>
            <w:vAlign w:val="center"/>
          </w:tcPr>
          <w:p w14:paraId="7541FBF2" w14:textId="77777777" w:rsidR="00974B5C" w:rsidRDefault="00000000">
            <w:pPr>
              <w:keepNext/>
              <w:keepLines/>
              <w:spacing w:after="0" w:line="240" w:lineRule="auto"/>
              <w:jc w:val="right"/>
            </w:pPr>
            <w:r>
              <w:rPr>
                <w:b/>
                <w:sz w:val="18"/>
              </w:rPr>
              <w:t>185.894,33</w:t>
            </w:r>
          </w:p>
        </w:tc>
        <w:tc>
          <w:tcPr>
            <w:tcW w:w="700" w:type="dxa"/>
            <w:tcMar>
              <w:top w:w="0" w:type="dxa"/>
              <w:bottom w:w="0" w:type="dxa"/>
            </w:tcMar>
            <w:vAlign w:val="center"/>
          </w:tcPr>
          <w:p w14:paraId="7F6B7091" w14:textId="77777777" w:rsidR="00974B5C" w:rsidRDefault="00000000">
            <w:pPr>
              <w:keepNext/>
              <w:keepLines/>
              <w:spacing w:after="0" w:line="240" w:lineRule="auto"/>
              <w:jc w:val="right"/>
            </w:pPr>
            <w:r>
              <w:rPr>
                <w:b/>
                <w:sz w:val="18"/>
              </w:rPr>
              <w:t>29,5</w:t>
            </w:r>
          </w:p>
        </w:tc>
      </w:tr>
      <w:tr w:rsidR="00974B5C" w14:paraId="6AFB623E" w14:textId="77777777">
        <w:tblPrEx>
          <w:tblCellMar>
            <w:top w:w="0" w:type="dxa"/>
            <w:bottom w:w="0" w:type="dxa"/>
          </w:tblCellMar>
        </w:tblPrEx>
        <w:trPr>
          <w:cantSplit/>
          <w:trHeight w:val="560"/>
        </w:trPr>
        <w:tc>
          <w:tcPr>
            <w:tcW w:w="700" w:type="dxa"/>
            <w:tcMar>
              <w:top w:w="0" w:type="dxa"/>
              <w:bottom w:w="0" w:type="dxa"/>
            </w:tcMar>
            <w:vAlign w:val="center"/>
          </w:tcPr>
          <w:p w14:paraId="0939E518" w14:textId="77777777" w:rsidR="00974B5C" w:rsidRDefault="00000000">
            <w:pPr>
              <w:keepNext/>
              <w:keepLines/>
              <w:spacing w:after="0" w:line="240" w:lineRule="auto"/>
            </w:pPr>
            <w:r>
              <w:rPr>
                <w:sz w:val="18"/>
              </w:rPr>
              <w:t>8</w:t>
            </w:r>
          </w:p>
        </w:tc>
        <w:tc>
          <w:tcPr>
            <w:tcW w:w="3180" w:type="dxa"/>
            <w:tcMar>
              <w:top w:w="0" w:type="dxa"/>
              <w:bottom w:w="0" w:type="dxa"/>
            </w:tcMar>
            <w:vAlign w:val="center"/>
          </w:tcPr>
          <w:p w14:paraId="0D168E0F" w14:textId="77777777" w:rsidR="00974B5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5547BBD" w14:textId="77777777" w:rsidR="00974B5C" w:rsidRDefault="00000000">
            <w:pPr>
              <w:keepNext/>
              <w:keepLines/>
              <w:spacing w:after="0" w:line="240" w:lineRule="auto"/>
            </w:pPr>
            <w:r>
              <w:rPr>
                <w:sz w:val="18"/>
              </w:rPr>
              <w:t>8</w:t>
            </w:r>
          </w:p>
        </w:tc>
        <w:tc>
          <w:tcPr>
            <w:tcW w:w="1860" w:type="dxa"/>
            <w:tcMar>
              <w:top w:w="0" w:type="dxa"/>
              <w:bottom w:w="0" w:type="dxa"/>
            </w:tcMar>
            <w:vAlign w:val="center"/>
          </w:tcPr>
          <w:p w14:paraId="051BD489" w14:textId="77777777" w:rsidR="00974B5C" w:rsidRDefault="00000000">
            <w:pPr>
              <w:keepNext/>
              <w:keepLines/>
              <w:spacing w:after="0" w:line="240" w:lineRule="auto"/>
              <w:jc w:val="right"/>
            </w:pPr>
            <w:r>
              <w:rPr>
                <w:sz w:val="18"/>
              </w:rPr>
              <w:t>0,00</w:t>
            </w:r>
          </w:p>
        </w:tc>
        <w:tc>
          <w:tcPr>
            <w:tcW w:w="1860" w:type="dxa"/>
            <w:tcMar>
              <w:top w:w="0" w:type="dxa"/>
              <w:bottom w:w="0" w:type="dxa"/>
            </w:tcMar>
            <w:vAlign w:val="center"/>
          </w:tcPr>
          <w:p w14:paraId="17B53B34" w14:textId="77777777" w:rsidR="00974B5C" w:rsidRDefault="00000000">
            <w:pPr>
              <w:keepNext/>
              <w:keepLines/>
              <w:spacing w:after="0" w:line="240" w:lineRule="auto"/>
              <w:jc w:val="right"/>
            </w:pPr>
            <w:r>
              <w:rPr>
                <w:sz w:val="18"/>
              </w:rPr>
              <w:t>0,00</w:t>
            </w:r>
          </w:p>
        </w:tc>
        <w:tc>
          <w:tcPr>
            <w:tcW w:w="700" w:type="dxa"/>
            <w:tcMar>
              <w:top w:w="0" w:type="dxa"/>
              <w:bottom w:w="0" w:type="dxa"/>
            </w:tcMar>
            <w:vAlign w:val="center"/>
          </w:tcPr>
          <w:p w14:paraId="1EACEC8B" w14:textId="77777777" w:rsidR="00974B5C" w:rsidRDefault="00000000">
            <w:pPr>
              <w:keepNext/>
              <w:keepLines/>
              <w:spacing w:after="0" w:line="240" w:lineRule="auto"/>
              <w:jc w:val="right"/>
            </w:pPr>
            <w:r>
              <w:rPr>
                <w:sz w:val="18"/>
              </w:rPr>
              <w:t>-</w:t>
            </w:r>
          </w:p>
        </w:tc>
      </w:tr>
      <w:tr w:rsidR="00974B5C" w14:paraId="1428A2FD" w14:textId="77777777">
        <w:tblPrEx>
          <w:tblCellMar>
            <w:top w:w="0" w:type="dxa"/>
            <w:bottom w:w="0" w:type="dxa"/>
          </w:tblCellMar>
        </w:tblPrEx>
        <w:trPr>
          <w:cantSplit/>
          <w:trHeight w:val="560"/>
        </w:trPr>
        <w:tc>
          <w:tcPr>
            <w:tcW w:w="700" w:type="dxa"/>
            <w:tcMar>
              <w:top w:w="0" w:type="dxa"/>
              <w:bottom w:w="0" w:type="dxa"/>
            </w:tcMar>
            <w:vAlign w:val="center"/>
          </w:tcPr>
          <w:p w14:paraId="48F4C4E2" w14:textId="77777777" w:rsidR="00974B5C" w:rsidRDefault="00000000">
            <w:pPr>
              <w:keepNext/>
              <w:keepLines/>
              <w:spacing w:after="0" w:line="240" w:lineRule="auto"/>
            </w:pPr>
            <w:r>
              <w:rPr>
                <w:sz w:val="18"/>
              </w:rPr>
              <w:t>5</w:t>
            </w:r>
          </w:p>
        </w:tc>
        <w:tc>
          <w:tcPr>
            <w:tcW w:w="3180" w:type="dxa"/>
            <w:tcMar>
              <w:top w:w="0" w:type="dxa"/>
              <w:bottom w:w="0" w:type="dxa"/>
            </w:tcMar>
            <w:vAlign w:val="center"/>
          </w:tcPr>
          <w:p w14:paraId="7131DC5A" w14:textId="77777777" w:rsidR="00974B5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0DF6920" w14:textId="77777777" w:rsidR="00974B5C" w:rsidRDefault="00000000">
            <w:pPr>
              <w:keepNext/>
              <w:keepLines/>
              <w:spacing w:after="0" w:line="240" w:lineRule="auto"/>
            </w:pPr>
            <w:r>
              <w:rPr>
                <w:sz w:val="18"/>
              </w:rPr>
              <w:t>5</w:t>
            </w:r>
          </w:p>
        </w:tc>
        <w:tc>
          <w:tcPr>
            <w:tcW w:w="1860" w:type="dxa"/>
            <w:tcMar>
              <w:top w:w="0" w:type="dxa"/>
              <w:bottom w:w="0" w:type="dxa"/>
            </w:tcMar>
            <w:vAlign w:val="center"/>
          </w:tcPr>
          <w:p w14:paraId="35D0B0FD" w14:textId="77777777" w:rsidR="00974B5C" w:rsidRDefault="00000000">
            <w:pPr>
              <w:keepNext/>
              <w:keepLines/>
              <w:spacing w:after="0" w:line="240" w:lineRule="auto"/>
              <w:jc w:val="right"/>
            </w:pPr>
            <w:r>
              <w:rPr>
                <w:sz w:val="18"/>
              </w:rPr>
              <w:t>14.916,48</w:t>
            </w:r>
          </w:p>
        </w:tc>
        <w:tc>
          <w:tcPr>
            <w:tcW w:w="1860" w:type="dxa"/>
            <w:tcMar>
              <w:top w:w="0" w:type="dxa"/>
              <w:bottom w:w="0" w:type="dxa"/>
            </w:tcMar>
            <w:vAlign w:val="center"/>
          </w:tcPr>
          <w:p w14:paraId="2222B4E0" w14:textId="77777777" w:rsidR="00974B5C" w:rsidRDefault="00000000">
            <w:pPr>
              <w:keepNext/>
              <w:keepLines/>
              <w:spacing w:after="0" w:line="240" w:lineRule="auto"/>
              <w:jc w:val="right"/>
            </w:pPr>
            <w:r>
              <w:rPr>
                <w:sz w:val="18"/>
              </w:rPr>
              <w:t>0,00</w:t>
            </w:r>
          </w:p>
        </w:tc>
        <w:tc>
          <w:tcPr>
            <w:tcW w:w="700" w:type="dxa"/>
            <w:tcMar>
              <w:top w:w="0" w:type="dxa"/>
              <w:bottom w:w="0" w:type="dxa"/>
            </w:tcMar>
            <w:vAlign w:val="center"/>
          </w:tcPr>
          <w:p w14:paraId="2881BC7C" w14:textId="77777777" w:rsidR="00974B5C" w:rsidRDefault="00000000">
            <w:pPr>
              <w:keepNext/>
              <w:keepLines/>
              <w:spacing w:after="0" w:line="240" w:lineRule="auto"/>
              <w:jc w:val="right"/>
            </w:pPr>
            <w:r>
              <w:rPr>
                <w:sz w:val="18"/>
              </w:rPr>
              <w:t>0</w:t>
            </w:r>
          </w:p>
        </w:tc>
      </w:tr>
      <w:tr w:rsidR="00974B5C" w14:paraId="642CC34B" w14:textId="77777777">
        <w:tblPrEx>
          <w:tblCellMar>
            <w:top w:w="0" w:type="dxa"/>
            <w:bottom w:w="0" w:type="dxa"/>
          </w:tblCellMar>
        </w:tblPrEx>
        <w:trPr>
          <w:cantSplit/>
          <w:trHeight w:val="560"/>
        </w:trPr>
        <w:tc>
          <w:tcPr>
            <w:tcW w:w="700" w:type="dxa"/>
            <w:tcMar>
              <w:top w:w="0" w:type="dxa"/>
              <w:bottom w:w="0" w:type="dxa"/>
            </w:tcMar>
            <w:vAlign w:val="center"/>
          </w:tcPr>
          <w:p w14:paraId="76017163" w14:textId="77777777" w:rsidR="00974B5C" w:rsidRDefault="00974B5C">
            <w:pPr>
              <w:keepNext/>
              <w:keepLines/>
              <w:spacing w:after="0" w:line="240" w:lineRule="auto"/>
            </w:pPr>
          </w:p>
        </w:tc>
        <w:tc>
          <w:tcPr>
            <w:tcW w:w="3180" w:type="dxa"/>
            <w:tcMar>
              <w:top w:w="0" w:type="dxa"/>
              <w:bottom w:w="0" w:type="dxa"/>
            </w:tcMar>
            <w:vAlign w:val="center"/>
          </w:tcPr>
          <w:p w14:paraId="3067ECFC" w14:textId="77777777" w:rsidR="00974B5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DFB4981" w14:textId="77777777" w:rsidR="00974B5C" w:rsidRDefault="00000000">
            <w:pPr>
              <w:keepNext/>
              <w:keepLines/>
              <w:spacing w:after="0" w:line="240" w:lineRule="auto"/>
            </w:pPr>
            <w:r>
              <w:rPr>
                <w:b/>
                <w:sz w:val="18"/>
              </w:rPr>
              <w:t>X003, Y003</w:t>
            </w:r>
          </w:p>
        </w:tc>
        <w:tc>
          <w:tcPr>
            <w:tcW w:w="1860" w:type="dxa"/>
            <w:tcMar>
              <w:top w:w="0" w:type="dxa"/>
              <w:bottom w:w="0" w:type="dxa"/>
            </w:tcMar>
            <w:vAlign w:val="center"/>
          </w:tcPr>
          <w:p w14:paraId="4C3F980E" w14:textId="77777777" w:rsidR="00974B5C" w:rsidRDefault="00000000">
            <w:pPr>
              <w:keepNext/>
              <w:keepLines/>
              <w:spacing w:after="0" w:line="240" w:lineRule="auto"/>
              <w:jc w:val="right"/>
            </w:pPr>
            <w:r>
              <w:rPr>
                <w:b/>
                <w:sz w:val="18"/>
              </w:rPr>
              <w:t>14.916,48</w:t>
            </w:r>
          </w:p>
        </w:tc>
        <w:tc>
          <w:tcPr>
            <w:tcW w:w="1860" w:type="dxa"/>
            <w:tcMar>
              <w:top w:w="0" w:type="dxa"/>
              <w:bottom w:w="0" w:type="dxa"/>
            </w:tcMar>
            <w:vAlign w:val="center"/>
          </w:tcPr>
          <w:p w14:paraId="3EB921C9" w14:textId="77777777" w:rsidR="00974B5C" w:rsidRDefault="00000000">
            <w:pPr>
              <w:keepNext/>
              <w:keepLines/>
              <w:spacing w:after="0" w:line="240" w:lineRule="auto"/>
              <w:jc w:val="right"/>
            </w:pPr>
            <w:r>
              <w:rPr>
                <w:b/>
                <w:sz w:val="18"/>
              </w:rPr>
              <w:t>0,00</w:t>
            </w:r>
          </w:p>
        </w:tc>
        <w:tc>
          <w:tcPr>
            <w:tcW w:w="700" w:type="dxa"/>
            <w:tcMar>
              <w:top w:w="0" w:type="dxa"/>
              <w:bottom w:w="0" w:type="dxa"/>
            </w:tcMar>
            <w:vAlign w:val="center"/>
          </w:tcPr>
          <w:p w14:paraId="5F51E78C" w14:textId="77777777" w:rsidR="00974B5C" w:rsidRDefault="00000000">
            <w:pPr>
              <w:keepNext/>
              <w:keepLines/>
              <w:spacing w:after="0" w:line="240" w:lineRule="auto"/>
              <w:jc w:val="right"/>
            </w:pPr>
            <w:r>
              <w:rPr>
                <w:b/>
                <w:sz w:val="18"/>
              </w:rPr>
              <w:t>0</w:t>
            </w:r>
          </w:p>
        </w:tc>
      </w:tr>
      <w:tr w:rsidR="00974B5C" w14:paraId="78349065" w14:textId="77777777">
        <w:tblPrEx>
          <w:tblCellMar>
            <w:top w:w="0" w:type="dxa"/>
            <w:bottom w:w="0" w:type="dxa"/>
          </w:tblCellMar>
        </w:tblPrEx>
        <w:trPr>
          <w:cantSplit/>
          <w:trHeight w:val="560"/>
        </w:trPr>
        <w:tc>
          <w:tcPr>
            <w:tcW w:w="700" w:type="dxa"/>
            <w:tcMar>
              <w:top w:w="0" w:type="dxa"/>
              <w:bottom w:w="0" w:type="dxa"/>
            </w:tcMar>
            <w:vAlign w:val="center"/>
          </w:tcPr>
          <w:p w14:paraId="244D017E" w14:textId="77777777" w:rsidR="00974B5C" w:rsidRDefault="00974B5C">
            <w:pPr>
              <w:keepNext/>
              <w:keepLines/>
              <w:spacing w:after="0" w:line="240" w:lineRule="auto"/>
            </w:pPr>
          </w:p>
        </w:tc>
        <w:tc>
          <w:tcPr>
            <w:tcW w:w="3180" w:type="dxa"/>
            <w:tcMar>
              <w:top w:w="0" w:type="dxa"/>
              <w:bottom w:w="0" w:type="dxa"/>
            </w:tcMar>
            <w:vAlign w:val="center"/>
          </w:tcPr>
          <w:p w14:paraId="393F122B" w14:textId="77777777" w:rsidR="00974B5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43A8DBD4" w14:textId="77777777" w:rsidR="00974B5C" w:rsidRDefault="00000000">
            <w:pPr>
              <w:keepNext/>
              <w:keepLines/>
              <w:spacing w:after="0" w:line="240" w:lineRule="auto"/>
            </w:pPr>
            <w:r>
              <w:rPr>
                <w:b/>
                <w:sz w:val="18"/>
              </w:rPr>
              <w:t>Y005</w:t>
            </w:r>
          </w:p>
        </w:tc>
        <w:tc>
          <w:tcPr>
            <w:tcW w:w="1860" w:type="dxa"/>
            <w:tcMar>
              <w:top w:w="0" w:type="dxa"/>
              <w:bottom w:w="0" w:type="dxa"/>
            </w:tcMar>
            <w:vAlign w:val="center"/>
          </w:tcPr>
          <w:p w14:paraId="4006368C" w14:textId="77777777" w:rsidR="00974B5C" w:rsidRDefault="00000000">
            <w:pPr>
              <w:keepNext/>
              <w:keepLines/>
              <w:spacing w:after="0" w:line="240" w:lineRule="auto"/>
              <w:jc w:val="right"/>
            </w:pPr>
            <w:r>
              <w:rPr>
                <w:b/>
                <w:sz w:val="18"/>
              </w:rPr>
              <w:t>355.887,11</w:t>
            </w:r>
          </w:p>
        </w:tc>
        <w:tc>
          <w:tcPr>
            <w:tcW w:w="1860" w:type="dxa"/>
            <w:tcMar>
              <w:top w:w="0" w:type="dxa"/>
              <w:bottom w:w="0" w:type="dxa"/>
            </w:tcMar>
            <w:vAlign w:val="center"/>
          </w:tcPr>
          <w:p w14:paraId="49676D3A" w14:textId="77777777" w:rsidR="00974B5C" w:rsidRDefault="00000000">
            <w:pPr>
              <w:keepNext/>
              <w:keepLines/>
              <w:spacing w:after="0" w:line="240" w:lineRule="auto"/>
              <w:jc w:val="right"/>
            </w:pPr>
            <w:r>
              <w:rPr>
                <w:b/>
                <w:sz w:val="18"/>
              </w:rPr>
              <w:t>83.052,55</w:t>
            </w:r>
          </w:p>
        </w:tc>
        <w:tc>
          <w:tcPr>
            <w:tcW w:w="700" w:type="dxa"/>
            <w:tcMar>
              <w:top w:w="0" w:type="dxa"/>
              <w:bottom w:w="0" w:type="dxa"/>
            </w:tcMar>
            <w:vAlign w:val="center"/>
          </w:tcPr>
          <w:p w14:paraId="1FD63824" w14:textId="77777777" w:rsidR="00974B5C" w:rsidRDefault="00000000">
            <w:pPr>
              <w:keepNext/>
              <w:keepLines/>
              <w:spacing w:after="0" w:line="240" w:lineRule="auto"/>
              <w:jc w:val="right"/>
            </w:pPr>
            <w:r>
              <w:rPr>
                <w:b/>
                <w:sz w:val="18"/>
              </w:rPr>
              <w:t>23,3</w:t>
            </w:r>
          </w:p>
        </w:tc>
      </w:tr>
    </w:tbl>
    <w:p w14:paraId="1394724C" w14:textId="77777777" w:rsidR="00974B5C" w:rsidRDefault="00974B5C">
      <w:pPr>
        <w:spacing w:after="0"/>
      </w:pPr>
    </w:p>
    <w:p w14:paraId="40F18DF9" w14:textId="77777777" w:rsidR="00974B5C" w:rsidRDefault="00000000">
      <w:r>
        <w:t xml:space="preserve">U 2025. godini ostvareni su ukupni prihodi poslovanja u iznosu od 1.037.540,87 €, dok rashodi poslovanja iznose  943.699,09 €, time je ostvaren višak prihoda poslovanja u iznosu od 102.841,78 €. Evidentirani su rashodi za nabavu nefinancijske imovine u iznosu 188.394,33 eura i prihodi od prodaje nefinancijske imovine  iznosu 2.500,00 €, što rezultira manjkom prihoda od nefinancijske imovine u iznosu od 185.894,33€. U izvještajnom razdoblju nema zaduživanja, financijskih rashoda ni ulaganja u financijsku imovinu kao ni </w:t>
      </w:r>
      <w:r>
        <w:lastRenderedPageBreak/>
        <w:t>drugih izvanrednih primitaka i izdataka. Evidentiran je manjak prihoda i primitaka u iznosu 83.052,55 €. koji će se pokriti u narednom razdoblju.</w:t>
      </w:r>
    </w:p>
    <w:p w14:paraId="0DE0646C" w14:textId="77777777" w:rsidR="00974B5C" w:rsidRDefault="00000000">
      <w:r>
        <w:t> </w:t>
      </w:r>
    </w:p>
    <w:p w14:paraId="74794A57" w14:textId="77777777" w:rsidR="00974B5C" w:rsidRDefault="00000000">
      <w:r>
        <w:t> </w:t>
      </w:r>
    </w:p>
    <w:p w14:paraId="6C25D3E7" w14:textId="77777777" w:rsidR="00974B5C" w:rsidRDefault="00000000">
      <w:r>
        <w:br/>
      </w:r>
    </w:p>
    <w:p w14:paraId="023F3F21" w14:textId="77777777" w:rsidR="00974B5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0F0C26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65925B"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AC7DD6"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643DE1"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A6B0FC"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E0A1FD"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B35D39" w14:textId="77777777" w:rsidR="00974B5C" w:rsidRDefault="00000000">
            <w:pPr>
              <w:keepNext/>
              <w:keepLines/>
              <w:spacing w:after="0" w:line="240" w:lineRule="auto"/>
              <w:jc w:val="center"/>
            </w:pPr>
            <w:r>
              <w:rPr>
                <w:b/>
                <w:sz w:val="18"/>
              </w:rPr>
              <w:t>Indeks (%)</w:t>
            </w:r>
          </w:p>
        </w:tc>
      </w:tr>
      <w:tr w:rsidR="00974B5C" w14:paraId="759A6C21" w14:textId="77777777">
        <w:tblPrEx>
          <w:tblCellMar>
            <w:top w:w="0" w:type="dxa"/>
            <w:bottom w:w="0" w:type="dxa"/>
          </w:tblCellMar>
        </w:tblPrEx>
        <w:trPr>
          <w:cantSplit/>
          <w:trHeight w:val="560"/>
        </w:trPr>
        <w:tc>
          <w:tcPr>
            <w:tcW w:w="700" w:type="dxa"/>
            <w:tcMar>
              <w:top w:w="0" w:type="dxa"/>
              <w:bottom w:w="0" w:type="dxa"/>
            </w:tcMar>
            <w:vAlign w:val="center"/>
          </w:tcPr>
          <w:p w14:paraId="60255213" w14:textId="77777777" w:rsidR="00974B5C" w:rsidRDefault="00000000">
            <w:pPr>
              <w:keepNext/>
              <w:keepLines/>
              <w:spacing w:after="0" w:line="240" w:lineRule="auto"/>
            </w:pPr>
            <w:r>
              <w:rPr>
                <w:sz w:val="18"/>
              </w:rPr>
              <w:t>61</w:t>
            </w:r>
          </w:p>
        </w:tc>
        <w:tc>
          <w:tcPr>
            <w:tcW w:w="3180" w:type="dxa"/>
            <w:tcMar>
              <w:top w:w="0" w:type="dxa"/>
              <w:bottom w:w="0" w:type="dxa"/>
            </w:tcMar>
            <w:vAlign w:val="center"/>
          </w:tcPr>
          <w:p w14:paraId="12CA8C68" w14:textId="77777777" w:rsidR="00974B5C"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7F791BAA" w14:textId="77777777" w:rsidR="00974B5C" w:rsidRDefault="00000000">
            <w:pPr>
              <w:keepNext/>
              <w:keepLines/>
              <w:spacing w:after="0" w:line="240" w:lineRule="auto"/>
            </w:pPr>
            <w:r>
              <w:rPr>
                <w:sz w:val="18"/>
              </w:rPr>
              <w:t>61</w:t>
            </w:r>
          </w:p>
        </w:tc>
        <w:tc>
          <w:tcPr>
            <w:tcW w:w="1860" w:type="dxa"/>
            <w:tcMar>
              <w:top w:w="0" w:type="dxa"/>
              <w:bottom w:w="0" w:type="dxa"/>
            </w:tcMar>
            <w:vAlign w:val="center"/>
          </w:tcPr>
          <w:p w14:paraId="64273733" w14:textId="77777777" w:rsidR="00974B5C" w:rsidRDefault="00000000">
            <w:pPr>
              <w:keepNext/>
              <w:keepLines/>
              <w:spacing w:after="0" w:line="240" w:lineRule="auto"/>
              <w:jc w:val="right"/>
            </w:pPr>
            <w:r>
              <w:rPr>
                <w:sz w:val="18"/>
              </w:rPr>
              <w:t>272.534,80</w:t>
            </w:r>
          </w:p>
        </w:tc>
        <w:tc>
          <w:tcPr>
            <w:tcW w:w="1860" w:type="dxa"/>
            <w:tcMar>
              <w:top w:w="0" w:type="dxa"/>
              <w:bottom w:w="0" w:type="dxa"/>
            </w:tcMar>
            <w:vAlign w:val="center"/>
          </w:tcPr>
          <w:p w14:paraId="4F7D95D7" w14:textId="77777777" w:rsidR="00974B5C" w:rsidRDefault="00000000">
            <w:pPr>
              <w:keepNext/>
              <w:keepLines/>
              <w:spacing w:after="0" w:line="240" w:lineRule="auto"/>
              <w:jc w:val="right"/>
            </w:pPr>
            <w:r>
              <w:rPr>
                <w:sz w:val="18"/>
              </w:rPr>
              <w:t>286.928,41</w:t>
            </w:r>
          </w:p>
        </w:tc>
        <w:tc>
          <w:tcPr>
            <w:tcW w:w="700" w:type="dxa"/>
            <w:tcMar>
              <w:top w:w="0" w:type="dxa"/>
              <w:bottom w:w="0" w:type="dxa"/>
            </w:tcMar>
            <w:vAlign w:val="center"/>
          </w:tcPr>
          <w:p w14:paraId="1FEA2BAE" w14:textId="77777777" w:rsidR="00974B5C" w:rsidRDefault="00000000">
            <w:pPr>
              <w:keepNext/>
              <w:keepLines/>
              <w:spacing w:after="0" w:line="240" w:lineRule="auto"/>
              <w:jc w:val="right"/>
            </w:pPr>
            <w:r>
              <w:rPr>
                <w:sz w:val="18"/>
              </w:rPr>
              <w:t>105,3</w:t>
            </w:r>
          </w:p>
        </w:tc>
      </w:tr>
    </w:tbl>
    <w:p w14:paraId="4033177D" w14:textId="77777777" w:rsidR="00974B5C" w:rsidRDefault="00974B5C">
      <w:pPr>
        <w:spacing w:after="0"/>
      </w:pPr>
    </w:p>
    <w:p w14:paraId="0318E6AA" w14:textId="77777777" w:rsidR="00974B5C" w:rsidRDefault="00000000">
      <w:r>
        <w:t>Prihodi od poreza-ostvareni su u iznosu od 286.928,41 eura što je 5% više u odnosu na isto razdoblje prošle godine.</w:t>
      </w:r>
    </w:p>
    <w:p w14:paraId="6D55A979" w14:textId="77777777" w:rsidR="00974B5C" w:rsidRDefault="00974B5C"/>
    <w:p w14:paraId="0A537D20" w14:textId="77777777" w:rsidR="00974B5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6EB0B6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F3E9E6"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60FC04"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0E8AA"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DA98F9"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2B72C8"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DF32E7" w14:textId="77777777" w:rsidR="00974B5C" w:rsidRDefault="00000000">
            <w:pPr>
              <w:keepNext/>
              <w:keepLines/>
              <w:spacing w:after="0" w:line="240" w:lineRule="auto"/>
              <w:jc w:val="center"/>
            </w:pPr>
            <w:r>
              <w:rPr>
                <w:b/>
                <w:sz w:val="18"/>
              </w:rPr>
              <w:t>Indeks (%)</w:t>
            </w:r>
          </w:p>
        </w:tc>
      </w:tr>
      <w:tr w:rsidR="00974B5C" w14:paraId="3BDBBEF9" w14:textId="77777777">
        <w:tblPrEx>
          <w:tblCellMar>
            <w:top w:w="0" w:type="dxa"/>
            <w:bottom w:w="0" w:type="dxa"/>
          </w:tblCellMar>
        </w:tblPrEx>
        <w:trPr>
          <w:cantSplit/>
          <w:trHeight w:val="560"/>
        </w:trPr>
        <w:tc>
          <w:tcPr>
            <w:tcW w:w="700" w:type="dxa"/>
            <w:tcMar>
              <w:top w:w="0" w:type="dxa"/>
              <w:bottom w:w="0" w:type="dxa"/>
            </w:tcMar>
            <w:vAlign w:val="center"/>
          </w:tcPr>
          <w:p w14:paraId="0C50DD96" w14:textId="77777777" w:rsidR="00974B5C" w:rsidRDefault="00000000">
            <w:pPr>
              <w:keepNext/>
              <w:keepLines/>
              <w:spacing w:after="0" w:line="240" w:lineRule="auto"/>
            </w:pPr>
            <w:r>
              <w:rPr>
                <w:sz w:val="18"/>
              </w:rPr>
              <w:t>611</w:t>
            </w:r>
          </w:p>
        </w:tc>
        <w:tc>
          <w:tcPr>
            <w:tcW w:w="3180" w:type="dxa"/>
            <w:tcMar>
              <w:top w:w="0" w:type="dxa"/>
              <w:bottom w:w="0" w:type="dxa"/>
            </w:tcMar>
            <w:vAlign w:val="center"/>
          </w:tcPr>
          <w:p w14:paraId="15518834" w14:textId="77777777" w:rsidR="00974B5C"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73E2FC05" w14:textId="77777777" w:rsidR="00974B5C" w:rsidRDefault="00000000">
            <w:pPr>
              <w:keepNext/>
              <w:keepLines/>
              <w:spacing w:after="0" w:line="240" w:lineRule="auto"/>
            </w:pPr>
            <w:r>
              <w:rPr>
                <w:sz w:val="18"/>
              </w:rPr>
              <w:t>611</w:t>
            </w:r>
          </w:p>
        </w:tc>
        <w:tc>
          <w:tcPr>
            <w:tcW w:w="1860" w:type="dxa"/>
            <w:tcMar>
              <w:top w:w="0" w:type="dxa"/>
              <w:bottom w:w="0" w:type="dxa"/>
            </w:tcMar>
            <w:vAlign w:val="center"/>
          </w:tcPr>
          <w:p w14:paraId="65EB3071" w14:textId="77777777" w:rsidR="00974B5C" w:rsidRDefault="00000000">
            <w:pPr>
              <w:keepNext/>
              <w:keepLines/>
              <w:spacing w:after="0" w:line="240" w:lineRule="auto"/>
              <w:jc w:val="right"/>
            </w:pPr>
            <w:r>
              <w:rPr>
                <w:sz w:val="18"/>
              </w:rPr>
              <w:t>186.773,13</w:t>
            </w:r>
          </w:p>
        </w:tc>
        <w:tc>
          <w:tcPr>
            <w:tcW w:w="1860" w:type="dxa"/>
            <w:tcMar>
              <w:top w:w="0" w:type="dxa"/>
              <w:bottom w:w="0" w:type="dxa"/>
            </w:tcMar>
            <w:vAlign w:val="center"/>
          </w:tcPr>
          <w:p w14:paraId="0AAE5D29" w14:textId="77777777" w:rsidR="00974B5C" w:rsidRDefault="00000000">
            <w:pPr>
              <w:keepNext/>
              <w:keepLines/>
              <w:spacing w:after="0" w:line="240" w:lineRule="auto"/>
              <w:jc w:val="right"/>
            </w:pPr>
            <w:r>
              <w:rPr>
                <w:sz w:val="18"/>
              </w:rPr>
              <w:t>256.553,58</w:t>
            </w:r>
          </w:p>
        </w:tc>
        <w:tc>
          <w:tcPr>
            <w:tcW w:w="700" w:type="dxa"/>
            <w:tcMar>
              <w:top w:w="0" w:type="dxa"/>
              <w:bottom w:w="0" w:type="dxa"/>
            </w:tcMar>
            <w:vAlign w:val="center"/>
          </w:tcPr>
          <w:p w14:paraId="5E3895E8" w14:textId="77777777" w:rsidR="00974B5C" w:rsidRDefault="00000000">
            <w:pPr>
              <w:keepNext/>
              <w:keepLines/>
              <w:spacing w:after="0" w:line="240" w:lineRule="auto"/>
              <w:jc w:val="right"/>
            </w:pPr>
            <w:r>
              <w:rPr>
                <w:sz w:val="18"/>
              </w:rPr>
              <w:t>137,4</w:t>
            </w:r>
          </w:p>
        </w:tc>
      </w:tr>
    </w:tbl>
    <w:p w14:paraId="783A1A30" w14:textId="77777777" w:rsidR="00974B5C" w:rsidRDefault="00974B5C">
      <w:pPr>
        <w:spacing w:after="0"/>
      </w:pPr>
    </w:p>
    <w:p w14:paraId="680BAB6E" w14:textId="77777777" w:rsidR="00974B5C" w:rsidRDefault="00000000">
      <w:r>
        <w:t>Povećanje se odnosi na povećanje od poreza i prireza na dohodak od nesamostalnog rada te od samostalnih djelatnosti  te porez i prirez na dohodak od imovine.</w:t>
      </w:r>
    </w:p>
    <w:p w14:paraId="22BC8EE1" w14:textId="77777777" w:rsidR="00974B5C" w:rsidRDefault="00974B5C"/>
    <w:p w14:paraId="36C20124" w14:textId="77777777" w:rsidR="00974B5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55AA92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B28CC8"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CFB22B"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F2E97A"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F3963B"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D73605"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401677" w14:textId="77777777" w:rsidR="00974B5C" w:rsidRDefault="00000000">
            <w:pPr>
              <w:keepNext/>
              <w:keepLines/>
              <w:spacing w:after="0" w:line="240" w:lineRule="auto"/>
              <w:jc w:val="center"/>
            </w:pPr>
            <w:r>
              <w:rPr>
                <w:b/>
                <w:sz w:val="18"/>
              </w:rPr>
              <w:t>Indeks (%)</w:t>
            </w:r>
          </w:p>
        </w:tc>
      </w:tr>
      <w:tr w:rsidR="00974B5C" w14:paraId="6E09DCA4" w14:textId="77777777">
        <w:tblPrEx>
          <w:tblCellMar>
            <w:top w:w="0" w:type="dxa"/>
            <w:bottom w:w="0" w:type="dxa"/>
          </w:tblCellMar>
        </w:tblPrEx>
        <w:trPr>
          <w:cantSplit/>
          <w:trHeight w:val="560"/>
        </w:trPr>
        <w:tc>
          <w:tcPr>
            <w:tcW w:w="700" w:type="dxa"/>
            <w:tcMar>
              <w:top w:w="0" w:type="dxa"/>
              <w:bottom w:w="0" w:type="dxa"/>
            </w:tcMar>
            <w:vAlign w:val="center"/>
          </w:tcPr>
          <w:p w14:paraId="0BD60A38" w14:textId="77777777" w:rsidR="00974B5C" w:rsidRDefault="00000000">
            <w:pPr>
              <w:keepNext/>
              <w:keepLines/>
              <w:spacing w:after="0" w:line="240" w:lineRule="auto"/>
            </w:pPr>
            <w:r>
              <w:rPr>
                <w:sz w:val="18"/>
              </w:rPr>
              <w:t>6131</w:t>
            </w:r>
          </w:p>
        </w:tc>
        <w:tc>
          <w:tcPr>
            <w:tcW w:w="3180" w:type="dxa"/>
            <w:tcMar>
              <w:top w:w="0" w:type="dxa"/>
              <w:bottom w:w="0" w:type="dxa"/>
            </w:tcMar>
            <w:vAlign w:val="center"/>
          </w:tcPr>
          <w:p w14:paraId="2D52C80F" w14:textId="77777777" w:rsidR="00974B5C"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5BD1A663" w14:textId="77777777" w:rsidR="00974B5C" w:rsidRDefault="00000000">
            <w:pPr>
              <w:keepNext/>
              <w:keepLines/>
              <w:spacing w:after="0" w:line="240" w:lineRule="auto"/>
            </w:pPr>
            <w:r>
              <w:rPr>
                <w:sz w:val="18"/>
              </w:rPr>
              <w:t>6131</w:t>
            </w:r>
          </w:p>
        </w:tc>
        <w:tc>
          <w:tcPr>
            <w:tcW w:w="1860" w:type="dxa"/>
            <w:tcMar>
              <w:top w:w="0" w:type="dxa"/>
              <w:bottom w:w="0" w:type="dxa"/>
            </w:tcMar>
            <w:vAlign w:val="center"/>
          </w:tcPr>
          <w:p w14:paraId="14E913FC" w14:textId="77777777" w:rsidR="00974B5C" w:rsidRDefault="00000000">
            <w:pPr>
              <w:keepNext/>
              <w:keepLines/>
              <w:spacing w:after="0" w:line="240" w:lineRule="auto"/>
              <w:jc w:val="right"/>
            </w:pPr>
            <w:r>
              <w:rPr>
                <w:sz w:val="18"/>
              </w:rPr>
              <w:t>159,34</w:t>
            </w:r>
          </w:p>
        </w:tc>
        <w:tc>
          <w:tcPr>
            <w:tcW w:w="1860" w:type="dxa"/>
            <w:tcMar>
              <w:top w:w="0" w:type="dxa"/>
              <w:bottom w:w="0" w:type="dxa"/>
            </w:tcMar>
            <w:vAlign w:val="center"/>
          </w:tcPr>
          <w:p w14:paraId="4CB0733A" w14:textId="77777777" w:rsidR="00974B5C" w:rsidRDefault="00000000">
            <w:pPr>
              <w:keepNext/>
              <w:keepLines/>
              <w:spacing w:after="0" w:line="240" w:lineRule="auto"/>
              <w:jc w:val="right"/>
            </w:pPr>
            <w:r>
              <w:rPr>
                <w:sz w:val="18"/>
              </w:rPr>
              <w:t>273,03</w:t>
            </w:r>
          </w:p>
        </w:tc>
        <w:tc>
          <w:tcPr>
            <w:tcW w:w="700" w:type="dxa"/>
            <w:tcMar>
              <w:top w:w="0" w:type="dxa"/>
              <w:bottom w:w="0" w:type="dxa"/>
            </w:tcMar>
            <w:vAlign w:val="center"/>
          </w:tcPr>
          <w:p w14:paraId="28415941" w14:textId="77777777" w:rsidR="00974B5C" w:rsidRDefault="00000000">
            <w:pPr>
              <w:keepNext/>
              <w:keepLines/>
              <w:spacing w:after="0" w:line="240" w:lineRule="auto"/>
              <w:jc w:val="right"/>
            </w:pPr>
            <w:r>
              <w:rPr>
                <w:sz w:val="18"/>
              </w:rPr>
              <w:t>171,4</w:t>
            </w:r>
          </w:p>
        </w:tc>
      </w:tr>
    </w:tbl>
    <w:p w14:paraId="0B626B1B" w14:textId="77777777" w:rsidR="00974B5C" w:rsidRDefault="00974B5C">
      <w:pPr>
        <w:spacing w:after="0"/>
      </w:pPr>
    </w:p>
    <w:p w14:paraId="59B39119" w14:textId="77777777" w:rsidR="00974B5C" w:rsidRDefault="00000000">
      <w:r>
        <w:t>Povećanje zbog toga što se uveo porez na stambene objekte koji nisu prva nekretnina za stanovanje.</w:t>
      </w:r>
    </w:p>
    <w:p w14:paraId="58D23EF4" w14:textId="77777777" w:rsidR="00974B5C" w:rsidRDefault="00974B5C"/>
    <w:p w14:paraId="14C5EC70" w14:textId="77777777" w:rsidR="00974B5C"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3E9462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0C3758"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B3D65A"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331B0E"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A1B231"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3DCDED"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11EBEC" w14:textId="77777777" w:rsidR="00974B5C" w:rsidRDefault="00000000">
            <w:pPr>
              <w:keepNext/>
              <w:keepLines/>
              <w:spacing w:after="0" w:line="240" w:lineRule="auto"/>
              <w:jc w:val="center"/>
            </w:pPr>
            <w:r>
              <w:rPr>
                <w:b/>
                <w:sz w:val="18"/>
              </w:rPr>
              <w:t>Indeks (%)</w:t>
            </w:r>
          </w:p>
        </w:tc>
      </w:tr>
      <w:tr w:rsidR="00974B5C" w14:paraId="79ABA89F" w14:textId="77777777">
        <w:tblPrEx>
          <w:tblCellMar>
            <w:top w:w="0" w:type="dxa"/>
            <w:bottom w:w="0" w:type="dxa"/>
          </w:tblCellMar>
        </w:tblPrEx>
        <w:trPr>
          <w:cantSplit/>
          <w:trHeight w:val="560"/>
        </w:trPr>
        <w:tc>
          <w:tcPr>
            <w:tcW w:w="700" w:type="dxa"/>
            <w:tcMar>
              <w:top w:w="0" w:type="dxa"/>
              <w:bottom w:w="0" w:type="dxa"/>
            </w:tcMar>
            <w:vAlign w:val="center"/>
          </w:tcPr>
          <w:p w14:paraId="5D9950B2" w14:textId="77777777" w:rsidR="00974B5C" w:rsidRDefault="00000000">
            <w:pPr>
              <w:keepNext/>
              <w:keepLines/>
              <w:spacing w:after="0" w:line="240" w:lineRule="auto"/>
            </w:pPr>
            <w:r>
              <w:rPr>
                <w:sz w:val="18"/>
              </w:rPr>
              <w:t>614</w:t>
            </w:r>
          </w:p>
        </w:tc>
        <w:tc>
          <w:tcPr>
            <w:tcW w:w="3180" w:type="dxa"/>
            <w:tcMar>
              <w:top w:w="0" w:type="dxa"/>
              <w:bottom w:w="0" w:type="dxa"/>
            </w:tcMar>
            <w:vAlign w:val="center"/>
          </w:tcPr>
          <w:p w14:paraId="5DB9A710" w14:textId="77777777" w:rsidR="00974B5C"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364AE7F4" w14:textId="77777777" w:rsidR="00974B5C" w:rsidRDefault="00000000">
            <w:pPr>
              <w:keepNext/>
              <w:keepLines/>
              <w:spacing w:after="0" w:line="240" w:lineRule="auto"/>
            </w:pPr>
            <w:r>
              <w:rPr>
                <w:sz w:val="18"/>
              </w:rPr>
              <w:t>614</w:t>
            </w:r>
          </w:p>
        </w:tc>
        <w:tc>
          <w:tcPr>
            <w:tcW w:w="1860" w:type="dxa"/>
            <w:tcMar>
              <w:top w:w="0" w:type="dxa"/>
              <w:bottom w:w="0" w:type="dxa"/>
            </w:tcMar>
            <w:vAlign w:val="center"/>
          </w:tcPr>
          <w:p w14:paraId="72B15EFE" w14:textId="77777777" w:rsidR="00974B5C" w:rsidRDefault="00000000">
            <w:pPr>
              <w:keepNext/>
              <w:keepLines/>
              <w:spacing w:after="0" w:line="240" w:lineRule="auto"/>
              <w:jc w:val="right"/>
            </w:pPr>
            <w:r>
              <w:rPr>
                <w:sz w:val="18"/>
              </w:rPr>
              <w:t>4.515,21</w:t>
            </w:r>
          </w:p>
        </w:tc>
        <w:tc>
          <w:tcPr>
            <w:tcW w:w="1860" w:type="dxa"/>
            <w:tcMar>
              <w:top w:w="0" w:type="dxa"/>
              <w:bottom w:w="0" w:type="dxa"/>
            </w:tcMar>
            <w:vAlign w:val="center"/>
          </w:tcPr>
          <w:p w14:paraId="199630EF" w14:textId="77777777" w:rsidR="00974B5C" w:rsidRDefault="00000000">
            <w:pPr>
              <w:keepNext/>
              <w:keepLines/>
              <w:spacing w:after="0" w:line="240" w:lineRule="auto"/>
              <w:jc w:val="right"/>
            </w:pPr>
            <w:r>
              <w:rPr>
                <w:sz w:val="18"/>
              </w:rPr>
              <w:t>5.404,79</w:t>
            </w:r>
          </w:p>
        </w:tc>
        <w:tc>
          <w:tcPr>
            <w:tcW w:w="700" w:type="dxa"/>
            <w:tcMar>
              <w:top w:w="0" w:type="dxa"/>
              <w:bottom w:w="0" w:type="dxa"/>
            </w:tcMar>
            <w:vAlign w:val="center"/>
          </w:tcPr>
          <w:p w14:paraId="31E001A3" w14:textId="77777777" w:rsidR="00974B5C" w:rsidRDefault="00000000">
            <w:pPr>
              <w:keepNext/>
              <w:keepLines/>
              <w:spacing w:after="0" w:line="240" w:lineRule="auto"/>
              <w:jc w:val="right"/>
            </w:pPr>
            <w:r>
              <w:rPr>
                <w:sz w:val="18"/>
              </w:rPr>
              <w:t>119,7</w:t>
            </w:r>
          </w:p>
        </w:tc>
      </w:tr>
    </w:tbl>
    <w:p w14:paraId="4970D6DE" w14:textId="77777777" w:rsidR="00974B5C" w:rsidRDefault="00974B5C">
      <w:pPr>
        <w:spacing w:after="0"/>
      </w:pPr>
    </w:p>
    <w:p w14:paraId="08EFED46" w14:textId="77777777" w:rsidR="00974B5C" w:rsidRDefault="00000000">
      <w:r>
        <w:t>Povećanje jer je bio veće prometovanje  nekretninama.</w:t>
      </w:r>
    </w:p>
    <w:p w14:paraId="776E5C1C" w14:textId="77777777" w:rsidR="00974B5C" w:rsidRDefault="00974B5C"/>
    <w:p w14:paraId="5FD09B86" w14:textId="77777777" w:rsidR="00974B5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7DADE0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EB5F89"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BCEE46"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0DD5AA"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CA9341"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7FFCCF"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123CA8" w14:textId="77777777" w:rsidR="00974B5C" w:rsidRDefault="00000000">
            <w:pPr>
              <w:keepNext/>
              <w:keepLines/>
              <w:spacing w:after="0" w:line="240" w:lineRule="auto"/>
              <w:jc w:val="center"/>
            </w:pPr>
            <w:r>
              <w:rPr>
                <w:b/>
                <w:sz w:val="18"/>
              </w:rPr>
              <w:t>Indeks (%)</w:t>
            </w:r>
          </w:p>
        </w:tc>
      </w:tr>
      <w:tr w:rsidR="00974B5C" w14:paraId="4B9766AB" w14:textId="77777777">
        <w:tblPrEx>
          <w:tblCellMar>
            <w:top w:w="0" w:type="dxa"/>
            <w:bottom w:w="0" w:type="dxa"/>
          </w:tblCellMar>
        </w:tblPrEx>
        <w:trPr>
          <w:cantSplit/>
          <w:trHeight w:val="560"/>
        </w:trPr>
        <w:tc>
          <w:tcPr>
            <w:tcW w:w="700" w:type="dxa"/>
            <w:tcMar>
              <w:top w:w="0" w:type="dxa"/>
              <w:bottom w:w="0" w:type="dxa"/>
            </w:tcMar>
            <w:vAlign w:val="center"/>
          </w:tcPr>
          <w:p w14:paraId="1284EF68" w14:textId="77777777" w:rsidR="00974B5C" w:rsidRDefault="00000000">
            <w:pPr>
              <w:keepNext/>
              <w:keepLines/>
              <w:spacing w:after="0" w:line="240" w:lineRule="auto"/>
            </w:pPr>
            <w:r>
              <w:rPr>
                <w:sz w:val="18"/>
              </w:rPr>
              <w:t>6341</w:t>
            </w:r>
          </w:p>
        </w:tc>
        <w:tc>
          <w:tcPr>
            <w:tcW w:w="3180" w:type="dxa"/>
            <w:tcMar>
              <w:top w:w="0" w:type="dxa"/>
              <w:bottom w:w="0" w:type="dxa"/>
            </w:tcMar>
            <w:vAlign w:val="center"/>
          </w:tcPr>
          <w:p w14:paraId="10E13570" w14:textId="77777777" w:rsidR="00974B5C"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2ACBB632" w14:textId="77777777" w:rsidR="00974B5C" w:rsidRDefault="00000000">
            <w:pPr>
              <w:keepNext/>
              <w:keepLines/>
              <w:spacing w:after="0" w:line="240" w:lineRule="auto"/>
            </w:pPr>
            <w:r>
              <w:rPr>
                <w:sz w:val="18"/>
              </w:rPr>
              <w:t>6341</w:t>
            </w:r>
          </w:p>
        </w:tc>
        <w:tc>
          <w:tcPr>
            <w:tcW w:w="1860" w:type="dxa"/>
            <w:tcMar>
              <w:top w:w="0" w:type="dxa"/>
              <w:bottom w:w="0" w:type="dxa"/>
            </w:tcMar>
            <w:vAlign w:val="center"/>
          </w:tcPr>
          <w:p w14:paraId="641971F5" w14:textId="77777777" w:rsidR="00974B5C" w:rsidRDefault="00000000">
            <w:pPr>
              <w:keepNext/>
              <w:keepLines/>
              <w:spacing w:after="0" w:line="240" w:lineRule="auto"/>
              <w:jc w:val="right"/>
            </w:pPr>
            <w:r>
              <w:rPr>
                <w:sz w:val="18"/>
              </w:rPr>
              <w:t>6.111,60</w:t>
            </w:r>
          </w:p>
        </w:tc>
        <w:tc>
          <w:tcPr>
            <w:tcW w:w="1860" w:type="dxa"/>
            <w:tcMar>
              <w:top w:w="0" w:type="dxa"/>
              <w:bottom w:w="0" w:type="dxa"/>
            </w:tcMar>
            <w:vAlign w:val="center"/>
          </w:tcPr>
          <w:p w14:paraId="3F359D05" w14:textId="77777777" w:rsidR="00974B5C" w:rsidRDefault="00000000">
            <w:pPr>
              <w:keepNext/>
              <w:keepLines/>
              <w:spacing w:after="0" w:line="240" w:lineRule="auto"/>
              <w:jc w:val="right"/>
            </w:pPr>
            <w:r>
              <w:rPr>
                <w:sz w:val="18"/>
              </w:rPr>
              <w:t>13.316,31</w:t>
            </w:r>
          </w:p>
        </w:tc>
        <w:tc>
          <w:tcPr>
            <w:tcW w:w="700" w:type="dxa"/>
            <w:tcMar>
              <w:top w:w="0" w:type="dxa"/>
              <w:bottom w:w="0" w:type="dxa"/>
            </w:tcMar>
            <w:vAlign w:val="center"/>
          </w:tcPr>
          <w:p w14:paraId="06D59A91" w14:textId="77777777" w:rsidR="00974B5C" w:rsidRDefault="00000000">
            <w:pPr>
              <w:keepNext/>
              <w:keepLines/>
              <w:spacing w:after="0" w:line="240" w:lineRule="auto"/>
              <w:jc w:val="right"/>
            </w:pPr>
            <w:r>
              <w:rPr>
                <w:sz w:val="18"/>
              </w:rPr>
              <w:t>217,9</w:t>
            </w:r>
          </w:p>
        </w:tc>
      </w:tr>
    </w:tbl>
    <w:p w14:paraId="0A4A9E98" w14:textId="77777777" w:rsidR="00974B5C" w:rsidRDefault="00974B5C">
      <w:pPr>
        <w:spacing w:after="0"/>
      </w:pPr>
    </w:p>
    <w:p w14:paraId="6BB2D2FB" w14:textId="77777777" w:rsidR="00974B5C" w:rsidRDefault="00000000">
      <w:r>
        <w:t>Povećanje se odnosi na sredstva koje dobijemo od HZZ-a za zapošljavanje osoba sa invaliditetom ili u nepovoljnom položaju-javni radovi</w:t>
      </w:r>
    </w:p>
    <w:p w14:paraId="4654D601" w14:textId="77777777" w:rsidR="00974B5C" w:rsidRDefault="00974B5C"/>
    <w:p w14:paraId="3FA2B0B7" w14:textId="77777777" w:rsidR="00974B5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71F63D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6239D7"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51D362"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72E1F"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2114BC"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252FFC"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AEBF85" w14:textId="77777777" w:rsidR="00974B5C" w:rsidRDefault="00000000">
            <w:pPr>
              <w:keepNext/>
              <w:keepLines/>
              <w:spacing w:after="0" w:line="240" w:lineRule="auto"/>
              <w:jc w:val="center"/>
            </w:pPr>
            <w:r>
              <w:rPr>
                <w:b/>
                <w:sz w:val="18"/>
              </w:rPr>
              <w:t>Indeks (%)</w:t>
            </w:r>
          </w:p>
        </w:tc>
      </w:tr>
      <w:tr w:rsidR="00974B5C" w14:paraId="33203AA5" w14:textId="77777777">
        <w:tblPrEx>
          <w:tblCellMar>
            <w:top w:w="0" w:type="dxa"/>
            <w:bottom w:w="0" w:type="dxa"/>
          </w:tblCellMar>
        </w:tblPrEx>
        <w:trPr>
          <w:cantSplit/>
          <w:trHeight w:val="560"/>
        </w:trPr>
        <w:tc>
          <w:tcPr>
            <w:tcW w:w="700" w:type="dxa"/>
            <w:tcMar>
              <w:top w:w="0" w:type="dxa"/>
              <w:bottom w:w="0" w:type="dxa"/>
            </w:tcMar>
            <w:vAlign w:val="center"/>
          </w:tcPr>
          <w:p w14:paraId="0EA2AF86" w14:textId="77777777" w:rsidR="00974B5C" w:rsidRDefault="00000000">
            <w:pPr>
              <w:keepNext/>
              <w:keepLines/>
              <w:spacing w:after="0" w:line="240" w:lineRule="auto"/>
            </w:pPr>
            <w:r>
              <w:rPr>
                <w:sz w:val="18"/>
              </w:rPr>
              <w:t>6361</w:t>
            </w:r>
          </w:p>
        </w:tc>
        <w:tc>
          <w:tcPr>
            <w:tcW w:w="3180" w:type="dxa"/>
            <w:tcMar>
              <w:top w:w="0" w:type="dxa"/>
              <w:bottom w:w="0" w:type="dxa"/>
            </w:tcMar>
            <w:vAlign w:val="center"/>
          </w:tcPr>
          <w:p w14:paraId="12344E92" w14:textId="77777777" w:rsidR="00974B5C"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7BB6F4ED" w14:textId="77777777" w:rsidR="00974B5C" w:rsidRDefault="00000000">
            <w:pPr>
              <w:keepNext/>
              <w:keepLines/>
              <w:spacing w:after="0" w:line="240" w:lineRule="auto"/>
            </w:pPr>
            <w:r>
              <w:rPr>
                <w:sz w:val="18"/>
              </w:rPr>
              <w:t>6361</w:t>
            </w:r>
          </w:p>
        </w:tc>
        <w:tc>
          <w:tcPr>
            <w:tcW w:w="1860" w:type="dxa"/>
            <w:tcMar>
              <w:top w:w="0" w:type="dxa"/>
              <w:bottom w:w="0" w:type="dxa"/>
            </w:tcMar>
            <w:vAlign w:val="center"/>
          </w:tcPr>
          <w:p w14:paraId="34DF29A6" w14:textId="77777777" w:rsidR="00974B5C" w:rsidRDefault="00000000">
            <w:pPr>
              <w:keepNext/>
              <w:keepLines/>
              <w:spacing w:after="0" w:line="240" w:lineRule="auto"/>
              <w:jc w:val="right"/>
            </w:pPr>
            <w:r>
              <w:rPr>
                <w:sz w:val="18"/>
              </w:rPr>
              <w:t>600,00</w:t>
            </w:r>
          </w:p>
        </w:tc>
        <w:tc>
          <w:tcPr>
            <w:tcW w:w="1860" w:type="dxa"/>
            <w:tcMar>
              <w:top w:w="0" w:type="dxa"/>
              <w:bottom w:w="0" w:type="dxa"/>
            </w:tcMar>
            <w:vAlign w:val="center"/>
          </w:tcPr>
          <w:p w14:paraId="704DA164" w14:textId="77777777" w:rsidR="00974B5C" w:rsidRDefault="00000000">
            <w:pPr>
              <w:keepNext/>
              <w:keepLines/>
              <w:spacing w:after="0" w:line="240" w:lineRule="auto"/>
              <w:jc w:val="right"/>
            </w:pPr>
            <w:r>
              <w:rPr>
                <w:sz w:val="18"/>
              </w:rPr>
              <w:t>600,00</w:t>
            </w:r>
          </w:p>
        </w:tc>
        <w:tc>
          <w:tcPr>
            <w:tcW w:w="700" w:type="dxa"/>
            <w:tcMar>
              <w:top w:w="0" w:type="dxa"/>
              <w:bottom w:w="0" w:type="dxa"/>
            </w:tcMar>
            <w:vAlign w:val="center"/>
          </w:tcPr>
          <w:p w14:paraId="6D355C3B" w14:textId="77777777" w:rsidR="00974B5C" w:rsidRDefault="00000000">
            <w:pPr>
              <w:keepNext/>
              <w:keepLines/>
              <w:spacing w:after="0" w:line="240" w:lineRule="auto"/>
              <w:jc w:val="right"/>
            </w:pPr>
            <w:r>
              <w:rPr>
                <w:sz w:val="18"/>
              </w:rPr>
              <w:t>100</w:t>
            </w:r>
          </w:p>
        </w:tc>
      </w:tr>
    </w:tbl>
    <w:p w14:paraId="7676A57A" w14:textId="77777777" w:rsidR="00974B5C" w:rsidRDefault="00974B5C">
      <w:pPr>
        <w:spacing w:after="0"/>
      </w:pPr>
    </w:p>
    <w:p w14:paraId="40B73BD8" w14:textId="77777777" w:rsidR="00974B5C" w:rsidRDefault="00000000">
      <w:r>
        <w:t>Uplate tekuće pomoći Državnog proračuna za promocije knjiga i književnih susreta.</w:t>
      </w:r>
    </w:p>
    <w:p w14:paraId="507FB77E" w14:textId="77777777" w:rsidR="00974B5C" w:rsidRDefault="00974B5C"/>
    <w:p w14:paraId="4EAF3770" w14:textId="77777777" w:rsidR="00974B5C"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0D5969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EE9549"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E1E3F2"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F266E6"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250EE"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7B052"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C42F59" w14:textId="77777777" w:rsidR="00974B5C" w:rsidRDefault="00000000">
            <w:pPr>
              <w:keepNext/>
              <w:keepLines/>
              <w:spacing w:after="0" w:line="240" w:lineRule="auto"/>
              <w:jc w:val="center"/>
            </w:pPr>
            <w:r>
              <w:rPr>
                <w:b/>
                <w:sz w:val="18"/>
              </w:rPr>
              <w:t>Indeks (%)</w:t>
            </w:r>
          </w:p>
        </w:tc>
      </w:tr>
      <w:tr w:rsidR="00974B5C" w14:paraId="244C82F4" w14:textId="77777777">
        <w:tblPrEx>
          <w:tblCellMar>
            <w:top w:w="0" w:type="dxa"/>
            <w:bottom w:w="0" w:type="dxa"/>
          </w:tblCellMar>
        </w:tblPrEx>
        <w:trPr>
          <w:cantSplit/>
          <w:trHeight w:val="560"/>
        </w:trPr>
        <w:tc>
          <w:tcPr>
            <w:tcW w:w="700" w:type="dxa"/>
            <w:tcMar>
              <w:top w:w="0" w:type="dxa"/>
              <w:bottom w:w="0" w:type="dxa"/>
            </w:tcMar>
            <w:vAlign w:val="center"/>
          </w:tcPr>
          <w:p w14:paraId="3A2CBEC7" w14:textId="77777777" w:rsidR="00974B5C" w:rsidRDefault="00000000">
            <w:pPr>
              <w:keepNext/>
              <w:keepLines/>
              <w:spacing w:after="0" w:line="240" w:lineRule="auto"/>
            </w:pPr>
            <w:r>
              <w:rPr>
                <w:sz w:val="18"/>
              </w:rPr>
              <w:t>6362</w:t>
            </w:r>
          </w:p>
        </w:tc>
        <w:tc>
          <w:tcPr>
            <w:tcW w:w="3180" w:type="dxa"/>
            <w:tcMar>
              <w:top w:w="0" w:type="dxa"/>
              <w:bottom w:w="0" w:type="dxa"/>
            </w:tcMar>
            <w:vAlign w:val="center"/>
          </w:tcPr>
          <w:p w14:paraId="619F9A87" w14:textId="77777777" w:rsidR="00974B5C"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42F81CC3" w14:textId="77777777" w:rsidR="00974B5C" w:rsidRDefault="00000000">
            <w:pPr>
              <w:keepNext/>
              <w:keepLines/>
              <w:spacing w:after="0" w:line="240" w:lineRule="auto"/>
            </w:pPr>
            <w:r>
              <w:rPr>
                <w:sz w:val="18"/>
              </w:rPr>
              <w:t>6362</w:t>
            </w:r>
          </w:p>
        </w:tc>
        <w:tc>
          <w:tcPr>
            <w:tcW w:w="1860" w:type="dxa"/>
            <w:tcMar>
              <w:top w:w="0" w:type="dxa"/>
              <w:bottom w:w="0" w:type="dxa"/>
            </w:tcMar>
            <w:vAlign w:val="center"/>
          </w:tcPr>
          <w:p w14:paraId="43743803" w14:textId="77777777" w:rsidR="00974B5C" w:rsidRDefault="00000000">
            <w:pPr>
              <w:keepNext/>
              <w:keepLines/>
              <w:spacing w:after="0" w:line="240" w:lineRule="auto"/>
              <w:jc w:val="right"/>
            </w:pPr>
            <w:r>
              <w:rPr>
                <w:sz w:val="18"/>
              </w:rPr>
              <w:t>7.230,00</w:t>
            </w:r>
          </w:p>
        </w:tc>
        <w:tc>
          <w:tcPr>
            <w:tcW w:w="1860" w:type="dxa"/>
            <w:tcMar>
              <w:top w:w="0" w:type="dxa"/>
              <w:bottom w:w="0" w:type="dxa"/>
            </w:tcMar>
            <w:vAlign w:val="center"/>
          </w:tcPr>
          <w:p w14:paraId="5C959664" w14:textId="77777777" w:rsidR="00974B5C" w:rsidRDefault="00000000">
            <w:pPr>
              <w:keepNext/>
              <w:keepLines/>
              <w:spacing w:after="0" w:line="240" w:lineRule="auto"/>
              <w:jc w:val="right"/>
            </w:pPr>
            <w:r>
              <w:rPr>
                <w:sz w:val="18"/>
              </w:rPr>
              <w:t>7.855,00</w:t>
            </w:r>
          </w:p>
        </w:tc>
        <w:tc>
          <w:tcPr>
            <w:tcW w:w="700" w:type="dxa"/>
            <w:tcMar>
              <w:top w:w="0" w:type="dxa"/>
              <w:bottom w:w="0" w:type="dxa"/>
            </w:tcMar>
            <w:vAlign w:val="center"/>
          </w:tcPr>
          <w:p w14:paraId="71B76938" w14:textId="77777777" w:rsidR="00974B5C" w:rsidRDefault="00000000">
            <w:pPr>
              <w:keepNext/>
              <w:keepLines/>
              <w:spacing w:after="0" w:line="240" w:lineRule="auto"/>
              <w:jc w:val="right"/>
            </w:pPr>
            <w:r>
              <w:rPr>
                <w:sz w:val="18"/>
              </w:rPr>
              <w:t>108,6</w:t>
            </w:r>
          </w:p>
        </w:tc>
      </w:tr>
    </w:tbl>
    <w:p w14:paraId="26489CFD" w14:textId="77777777" w:rsidR="00974B5C" w:rsidRDefault="00974B5C">
      <w:pPr>
        <w:spacing w:after="0"/>
      </w:pPr>
    </w:p>
    <w:p w14:paraId="4ABB614A" w14:textId="77777777" w:rsidR="00974B5C" w:rsidRDefault="00000000">
      <w:r>
        <w:t>Odnosi se na pomoć Ministarstva kulture za knjižnu i  ne knjižnu građu.</w:t>
      </w:r>
    </w:p>
    <w:p w14:paraId="11902363" w14:textId="77777777" w:rsidR="00974B5C" w:rsidRDefault="00974B5C"/>
    <w:p w14:paraId="61AA35B9" w14:textId="77777777" w:rsidR="00974B5C"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4A88BD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DBF337"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0E6C3B"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5AF8D0"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81430"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FB39FF"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ECCD31" w14:textId="77777777" w:rsidR="00974B5C" w:rsidRDefault="00000000">
            <w:pPr>
              <w:keepNext/>
              <w:keepLines/>
              <w:spacing w:after="0" w:line="240" w:lineRule="auto"/>
              <w:jc w:val="center"/>
            </w:pPr>
            <w:r>
              <w:rPr>
                <w:b/>
                <w:sz w:val="18"/>
              </w:rPr>
              <w:t>Indeks (%)</w:t>
            </w:r>
          </w:p>
        </w:tc>
      </w:tr>
      <w:tr w:rsidR="00974B5C" w14:paraId="39FD32B2" w14:textId="77777777">
        <w:tblPrEx>
          <w:tblCellMar>
            <w:top w:w="0" w:type="dxa"/>
            <w:bottom w:w="0" w:type="dxa"/>
          </w:tblCellMar>
        </w:tblPrEx>
        <w:trPr>
          <w:cantSplit/>
          <w:trHeight w:val="560"/>
        </w:trPr>
        <w:tc>
          <w:tcPr>
            <w:tcW w:w="700" w:type="dxa"/>
            <w:tcMar>
              <w:top w:w="0" w:type="dxa"/>
              <w:bottom w:w="0" w:type="dxa"/>
            </w:tcMar>
            <w:vAlign w:val="center"/>
          </w:tcPr>
          <w:p w14:paraId="7AE14666" w14:textId="77777777" w:rsidR="00974B5C" w:rsidRDefault="00000000">
            <w:pPr>
              <w:keepNext/>
              <w:keepLines/>
              <w:spacing w:after="0" w:line="240" w:lineRule="auto"/>
            </w:pPr>
            <w:r>
              <w:rPr>
                <w:sz w:val="18"/>
              </w:rPr>
              <w:t>65</w:t>
            </w:r>
          </w:p>
        </w:tc>
        <w:tc>
          <w:tcPr>
            <w:tcW w:w="3180" w:type="dxa"/>
            <w:tcMar>
              <w:top w:w="0" w:type="dxa"/>
              <w:bottom w:w="0" w:type="dxa"/>
            </w:tcMar>
            <w:vAlign w:val="center"/>
          </w:tcPr>
          <w:p w14:paraId="2F56ABDF" w14:textId="77777777" w:rsidR="00974B5C"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B0C4462" w14:textId="77777777" w:rsidR="00974B5C" w:rsidRDefault="00000000">
            <w:pPr>
              <w:keepNext/>
              <w:keepLines/>
              <w:spacing w:after="0" w:line="240" w:lineRule="auto"/>
            </w:pPr>
            <w:r>
              <w:rPr>
                <w:sz w:val="18"/>
              </w:rPr>
              <w:t>65</w:t>
            </w:r>
          </w:p>
        </w:tc>
        <w:tc>
          <w:tcPr>
            <w:tcW w:w="1860" w:type="dxa"/>
            <w:tcMar>
              <w:top w:w="0" w:type="dxa"/>
              <w:bottom w:w="0" w:type="dxa"/>
            </w:tcMar>
            <w:vAlign w:val="center"/>
          </w:tcPr>
          <w:p w14:paraId="10A82A30" w14:textId="77777777" w:rsidR="00974B5C" w:rsidRDefault="00000000">
            <w:pPr>
              <w:keepNext/>
              <w:keepLines/>
              <w:spacing w:after="0" w:line="240" w:lineRule="auto"/>
              <w:jc w:val="right"/>
            </w:pPr>
            <w:r>
              <w:rPr>
                <w:sz w:val="18"/>
              </w:rPr>
              <w:t>93.004,54</w:t>
            </w:r>
          </w:p>
        </w:tc>
        <w:tc>
          <w:tcPr>
            <w:tcW w:w="1860" w:type="dxa"/>
            <w:tcMar>
              <w:top w:w="0" w:type="dxa"/>
              <w:bottom w:w="0" w:type="dxa"/>
            </w:tcMar>
            <w:vAlign w:val="center"/>
          </w:tcPr>
          <w:p w14:paraId="1E672AF6" w14:textId="77777777" w:rsidR="00974B5C" w:rsidRDefault="00000000">
            <w:pPr>
              <w:keepNext/>
              <w:keepLines/>
              <w:spacing w:after="0" w:line="240" w:lineRule="auto"/>
              <w:jc w:val="right"/>
            </w:pPr>
            <w:r>
              <w:rPr>
                <w:sz w:val="18"/>
              </w:rPr>
              <w:t>122.915,23</w:t>
            </w:r>
          </w:p>
        </w:tc>
        <w:tc>
          <w:tcPr>
            <w:tcW w:w="700" w:type="dxa"/>
            <w:tcMar>
              <w:top w:w="0" w:type="dxa"/>
              <w:bottom w:w="0" w:type="dxa"/>
            </w:tcMar>
            <w:vAlign w:val="center"/>
          </w:tcPr>
          <w:p w14:paraId="76E7E9B1" w14:textId="77777777" w:rsidR="00974B5C" w:rsidRDefault="00000000">
            <w:pPr>
              <w:keepNext/>
              <w:keepLines/>
              <w:spacing w:after="0" w:line="240" w:lineRule="auto"/>
              <w:jc w:val="right"/>
            </w:pPr>
            <w:r>
              <w:rPr>
                <w:sz w:val="18"/>
              </w:rPr>
              <w:t>132,2</w:t>
            </w:r>
          </w:p>
        </w:tc>
      </w:tr>
    </w:tbl>
    <w:p w14:paraId="418EB932" w14:textId="77777777" w:rsidR="00974B5C" w:rsidRDefault="00974B5C">
      <w:pPr>
        <w:spacing w:after="0"/>
      </w:pPr>
    </w:p>
    <w:p w14:paraId="1B638789" w14:textId="77777777" w:rsidR="00974B5C" w:rsidRDefault="00000000">
      <w:r>
        <w:t>Povećanje za 32% u odnosu na prošlu godinu</w:t>
      </w:r>
    </w:p>
    <w:p w14:paraId="54535A7A" w14:textId="77777777" w:rsidR="00974B5C" w:rsidRDefault="00974B5C"/>
    <w:p w14:paraId="1CC2CDA5" w14:textId="77777777" w:rsidR="00974B5C"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05D226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57E5D1"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186993"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9726E9"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BC91CF"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3291E1"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136337" w14:textId="77777777" w:rsidR="00974B5C" w:rsidRDefault="00000000">
            <w:pPr>
              <w:keepNext/>
              <w:keepLines/>
              <w:spacing w:after="0" w:line="240" w:lineRule="auto"/>
              <w:jc w:val="center"/>
            </w:pPr>
            <w:r>
              <w:rPr>
                <w:b/>
                <w:sz w:val="18"/>
              </w:rPr>
              <w:t>Indeks (%)</w:t>
            </w:r>
          </w:p>
        </w:tc>
      </w:tr>
      <w:tr w:rsidR="00974B5C" w14:paraId="2CDEB262" w14:textId="77777777">
        <w:tblPrEx>
          <w:tblCellMar>
            <w:top w:w="0" w:type="dxa"/>
            <w:bottom w:w="0" w:type="dxa"/>
          </w:tblCellMar>
        </w:tblPrEx>
        <w:trPr>
          <w:cantSplit/>
          <w:trHeight w:val="560"/>
        </w:trPr>
        <w:tc>
          <w:tcPr>
            <w:tcW w:w="700" w:type="dxa"/>
            <w:tcMar>
              <w:top w:w="0" w:type="dxa"/>
              <w:bottom w:w="0" w:type="dxa"/>
            </w:tcMar>
            <w:vAlign w:val="center"/>
          </w:tcPr>
          <w:p w14:paraId="6A10379C" w14:textId="77777777" w:rsidR="00974B5C" w:rsidRDefault="00000000">
            <w:pPr>
              <w:keepNext/>
              <w:keepLines/>
              <w:spacing w:after="0" w:line="240" w:lineRule="auto"/>
            </w:pPr>
            <w:r>
              <w:rPr>
                <w:sz w:val="18"/>
              </w:rPr>
              <w:t>652</w:t>
            </w:r>
          </w:p>
        </w:tc>
        <w:tc>
          <w:tcPr>
            <w:tcW w:w="3180" w:type="dxa"/>
            <w:tcMar>
              <w:top w:w="0" w:type="dxa"/>
              <w:bottom w:w="0" w:type="dxa"/>
            </w:tcMar>
            <w:vAlign w:val="center"/>
          </w:tcPr>
          <w:p w14:paraId="0B3247A6" w14:textId="77777777" w:rsidR="00974B5C"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22F354F8" w14:textId="77777777" w:rsidR="00974B5C" w:rsidRDefault="00000000">
            <w:pPr>
              <w:keepNext/>
              <w:keepLines/>
              <w:spacing w:after="0" w:line="240" w:lineRule="auto"/>
            </w:pPr>
            <w:r>
              <w:rPr>
                <w:sz w:val="18"/>
              </w:rPr>
              <w:t>652</w:t>
            </w:r>
          </w:p>
        </w:tc>
        <w:tc>
          <w:tcPr>
            <w:tcW w:w="1860" w:type="dxa"/>
            <w:tcMar>
              <w:top w:w="0" w:type="dxa"/>
              <w:bottom w:w="0" w:type="dxa"/>
            </w:tcMar>
            <w:vAlign w:val="center"/>
          </w:tcPr>
          <w:p w14:paraId="6C0F6144" w14:textId="77777777" w:rsidR="00974B5C" w:rsidRDefault="00000000">
            <w:pPr>
              <w:keepNext/>
              <w:keepLines/>
              <w:spacing w:after="0" w:line="240" w:lineRule="auto"/>
              <w:jc w:val="right"/>
            </w:pPr>
            <w:r>
              <w:rPr>
                <w:sz w:val="18"/>
              </w:rPr>
              <w:t>6.695,84</w:t>
            </w:r>
          </w:p>
        </w:tc>
        <w:tc>
          <w:tcPr>
            <w:tcW w:w="1860" w:type="dxa"/>
            <w:tcMar>
              <w:top w:w="0" w:type="dxa"/>
              <w:bottom w:w="0" w:type="dxa"/>
            </w:tcMar>
            <w:vAlign w:val="center"/>
          </w:tcPr>
          <w:p w14:paraId="2513703B" w14:textId="77777777" w:rsidR="00974B5C" w:rsidRDefault="00000000">
            <w:pPr>
              <w:keepNext/>
              <w:keepLines/>
              <w:spacing w:after="0" w:line="240" w:lineRule="auto"/>
              <w:jc w:val="right"/>
            </w:pPr>
            <w:r>
              <w:rPr>
                <w:sz w:val="18"/>
              </w:rPr>
              <w:t>45.898,06</w:t>
            </w:r>
          </w:p>
        </w:tc>
        <w:tc>
          <w:tcPr>
            <w:tcW w:w="700" w:type="dxa"/>
            <w:tcMar>
              <w:top w:w="0" w:type="dxa"/>
              <w:bottom w:w="0" w:type="dxa"/>
            </w:tcMar>
            <w:vAlign w:val="center"/>
          </w:tcPr>
          <w:p w14:paraId="75C54B17" w14:textId="77777777" w:rsidR="00974B5C" w:rsidRDefault="00000000">
            <w:pPr>
              <w:keepNext/>
              <w:keepLines/>
              <w:spacing w:after="0" w:line="240" w:lineRule="auto"/>
              <w:jc w:val="right"/>
            </w:pPr>
            <w:r>
              <w:rPr>
                <w:sz w:val="18"/>
              </w:rPr>
              <w:t>685,5</w:t>
            </w:r>
          </w:p>
        </w:tc>
      </w:tr>
    </w:tbl>
    <w:p w14:paraId="766E2B58" w14:textId="77777777" w:rsidR="00974B5C" w:rsidRDefault="00974B5C">
      <w:pPr>
        <w:spacing w:after="0"/>
      </w:pPr>
    </w:p>
    <w:p w14:paraId="7B81D5B0" w14:textId="77777777" w:rsidR="00974B5C" w:rsidRDefault="00000000">
      <w:r>
        <w:t> </w:t>
      </w:r>
    </w:p>
    <w:p w14:paraId="3EEFB18E" w14:textId="77777777" w:rsidR="00974B5C" w:rsidRDefault="00000000">
      <w:r>
        <w:t> </w:t>
      </w:r>
    </w:p>
    <w:p w14:paraId="0C7B6EBA" w14:textId="77777777" w:rsidR="00974B5C" w:rsidRDefault="00974B5C"/>
    <w:p w14:paraId="76539CC0" w14:textId="77777777" w:rsidR="00974B5C"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1EFB55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B16106"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E3CC9E"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2D8E09"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AEBCEE"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92EDE5"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BD588F" w14:textId="77777777" w:rsidR="00974B5C" w:rsidRDefault="00000000">
            <w:pPr>
              <w:keepNext/>
              <w:keepLines/>
              <w:spacing w:after="0" w:line="240" w:lineRule="auto"/>
              <w:jc w:val="center"/>
            </w:pPr>
            <w:r>
              <w:rPr>
                <w:b/>
                <w:sz w:val="18"/>
              </w:rPr>
              <w:t>Indeks (%)</w:t>
            </w:r>
          </w:p>
        </w:tc>
      </w:tr>
      <w:tr w:rsidR="00974B5C" w14:paraId="2E41FC28" w14:textId="77777777">
        <w:tblPrEx>
          <w:tblCellMar>
            <w:top w:w="0" w:type="dxa"/>
            <w:bottom w:w="0" w:type="dxa"/>
          </w:tblCellMar>
        </w:tblPrEx>
        <w:trPr>
          <w:cantSplit/>
          <w:trHeight w:val="560"/>
        </w:trPr>
        <w:tc>
          <w:tcPr>
            <w:tcW w:w="700" w:type="dxa"/>
            <w:tcMar>
              <w:top w:w="0" w:type="dxa"/>
              <w:bottom w:w="0" w:type="dxa"/>
            </w:tcMar>
            <w:vAlign w:val="center"/>
          </w:tcPr>
          <w:p w14:paraId="2AFE3533" w14:textId="77777777" w:rsidR="00974B5C" w:rsidRDefault="00000000">
            <w:pPr>
              <w:keepNext/>
              <w:keepLines/>
              <w:spacing w:after="0" w:line="240" w:lineRule="auto"/>
            </w:pPr>
            <w:r>
              <w:rPr>
                <w:sz w:val="18"/>
              </w:rPr>
              <w:t>6524</w:t>
            </w:r>
          </w:p>
        </w:tc>
        <w:tc>
          <w:tcPr>
            <w:tcW w:w="3180" w:type="dxa"/>
            <w:tcMar>
              <w:top w:w="0" w:type="dxa"/>
              <w:bottom w:w="0" w:type="dxa"/>
            </w:tcMar>
            <w:vAlign w:val="center"/>
          </w:tcPr>
          <w:p w14:paraId="754BA750" w14:textId="77777777" w:rsidR="00974B5C" w:rsidRDefault="00000000">
            <w:pPr>
              <w:keepNext/>
              <w:keepLines/>
              <w:spacing w:after="0" w:line="240" w:lineRule="auto"/>
            </w:pPr>
            <w:r>
              <w:rPr>
                <w:sz w:val="18"/>
              </w:rPr>
              <w:t>Doprinosi za šume</w:t>
            </w:r>
          </w:p>
        </w:tc>
        <w:tc>
          <w:tcPr>
            <w:tcW w:w="700" w:type="dxa"/>
            <w:tcMar>
              <w:top w:w="0" w:type="dxa"/>
              <w:bottom w:w="0" w:type="dxa"/>
            </w:tcMar>
            <w:vAlign w:val="center"/>
          </w:tcPr>
          <w:p w14:paraId="725E9455" w14:textId="77777777" w:rsidR="00974B5C" w:rsidRDefault="00000000">
            <w:pPr>
              <w:keepNext/>
              <w:keepLines/>
              <w:spacing w:after="0" w:line="240" w:lineRule="auto"/>
            </w:pPr>
            <w:r>
              <w:rPr>
                <w:sz w:val="18"/>
              </w:rPr>
              <w:t>6524</w:t>
            </w:r>
          </w:p>
        </w:tc>
        <w:tc>
          <w:tcPr>
            <w:tcW w:w="1860" w:type="dxa"/>
            <w:tcMar>
              <w:top w:w="0" w:type="dxa"/>
              <w:bottom w:w="0" w:type="dxa"/>
            </w:tcMar>
            <w:vAlign w:val="center"/>
          </w:tcPr>
          <w:p w14:paraId="316D6CDA" w14:textId="77777777" w:rsidR="00974B5C" w:rsidRDefault="00000000">
            <w:pPr>
              <w:keepNext/>
              <w:keepLines/>
              <w:spacing w:after="0" w:line="240" w:lineRule="auto"/>
              <w:jc w:val="right"/>
            </w:pPr>
            <w:r>
              <w:rPr>
                <w:sz w:val="18"/>
              </w:rPr>
              <w:t>349,23</w:t>
            </w:r>
          </w:p>
        </w:tc>
        <w:tc>
          <w:tcPr>
            <w:tcW w:w="1860" w:type="dxa"/>
            <w:tcMar>
              <w:top w:w="0" w:type="dxa"/>
              <w:bottom w:w="0" w:type="dxa"/>
            </w:tcMar>
            <w:vAlign w:val="center"/>
          </w:tcPr>
          <w:p w14:paraId="4DF5B74B" w14:textId="77777777" w:rsidR="00974B5C" w:rsidRDefault="00000000">
            <w:pPr>
              <w:keepNext/>
              <w:keepLines/>
              <w:spacing w:after="0" w:line="240" w:lineRule="auto"/>
              <w:jc w:val="right"/>
            </w:pPr>
            <w:r>
              <w:rPr>
                <w:sz w:val="18"/>
              </w:rPr>
              <w:t>20.226,97</w:t>
            </w:r>
          </w:p>
        </w:tc>
        <w:tc>
          <w:tcPr>
            <w:tcW w:w="700" w:type="dxa"/>
            <w:tcMar>
              <w:top w:w="0" w:type="dxa"/>
              <w:bottom w:w="0" w:type="dxa"/>
            </w:tcMar>
            <w:vAlign w:val="center"/>
          </w:tcPr>
          <w:p w14:paraId="668598C0" w14:textId="77777777" w:rsidR="00974B5C" w:rsidRDefault="00000000">
            <w:pPr>
              <w:keepNext/>
              <w:keepLines/>
              <w:spacing w:after="0" w:line="240" w:lineRule="auto"/>
              <w:jc w:val="right"/>
            </w:pPr>
            <w:r>
              <w:rPr>
                <w:sz w:val="18"/>
              </w:rPr>
              <w:t>5791,9</w:t>
            </w:r>
          </w:p>
        </w:tc>
      </w:tr>
    </w:tbl>
    <w:p w14:paraId="34734E6B" w14:textId="77777777" w:rsidR="00974B5C" w:rsidRDefault="00974B5C">
      <w:pPr>
        <w:spacing w:after="0"/>
      </w:pPr>
    </w:p>
    <w:p w14:paraId="46942813" w14:textId="77777777" w:rsidR="00974B5C" w:rsidRDefault="00000000">
      <w:r>
        <w:t xml:space="preserve">Povećanje se odnosi na šumski doprinos koji ovisi o sječi šuma. Pravne i fizičke osobe, osim malih </w:t>
      </w:r>
      <w:proofErr w:type="spellStart"/>
      <w:r>
        <w:t>šumoposjednika</w:t>
      </w:r>
      <w:proofErr w:type="spellEnd"/>
      <w:r>
        <w:t>, koje obavljaju prodaju proizvoda iskorištavanja šuma (drvni sortimenti) su obveznici plaćanja šumskog doprinosa. Šumski doprinos uplaćuje se na račun jedinice lokalne samouprave s područja na kojem je obavljena sječa šume i koristi se isključivo za financiranje izgradnje i održavanja komunalne infrastrukture.</w:t>
      </w:r>
    </w:p>
    <w:p w14:paraId="3CD24C80" w14:textId="77777777" w:rsidR="00974B5C" w:rsidRDefault="00974B5C"/>
    <w:p w14:paraId="6ACD9E0B" w14:textId="77777777" w:rsidR="00974B5C"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234E21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34FA23"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6D1185"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45D816"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7F8362"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E013B4"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60B6B6" w14:textId="77777777" w:rsidR="00974B5C" w:rsidRDefault="00000000">
            <w:pPr>
              <w:keepNext/>
              <w:keepLines/>
              <w:spacing w:after="0" w:line="240" w:lineRule="auto"/>
              <w:jc w:val="center"/>
            </w:pPr>
            <w:r>
              <w:rPr>
                <w:b/>
                <w:sz w:val="18"/>
              </w:rPr>
              <w:t>Indeks (%)</w:t>
            </w:r>
          </w:p>
        </w:tc>
      </w:tr>
      <w:tr w:rsidR="00974B5C" w14:paraId="04767B09" w14:textId="77777777">
        <w:tblPrEx>
          <w:tblCellMar>
            <w:top w:w="0" w:type="dxa"/>
            <w:bottom w:w="0" w:type="dxa"/>
          </w:tblCellMar>
        </w:tblPrEx>
        <w:trPr>
          <w:cantSplit/>
          <w:trHeight w:val="560"/>
        </w:trPr>
        <w:tc>
          <w:tcPr>
            <w:tcW w:w="700" w:type="dxa"/>
            <w:tcMar>
              <w:top w:w="0" w:type="dxa"/>
              <w:bottom w:w="0" w:type="dxa"/>
            </w:tcMar>
            <w:vAlign w:val="center"/>
          </w:tcPr>
          <w:p w14:paraId="075BE357" w14:textId="77777777" w:rsidR="00974B5C" w:rsidRDefault="00000000">
            <w:pPr>
              <w:keepNext/>
              <w:keepLines/>
              <w:spacing w:after="0" w:line="240" w:lineRule="auto"/>
            </w:pPr>
            <w:r>
              <w:rPr>
                <w:sz w:val="18"/>
              </w:rPr>
              <w:t>6526</w:t>
            </w:r>
          </w:p>
        </w:tc>
        <w:tc>
          <w:tcPr>
            <w:tcW w:w="3180" w:type="dxa"/>
            <w:tcMar>
              <w:top w:w="0" w:type="dxa"/>
              <w:bottom w:w="0" w:type="dxa"/>
            </w:tcMar>
            <w:vAlign w:val="center"/>
          </w:tcPr>
          <w:p w14:paraId="6B2D3D38" w14:textId="77777777" w:rsidR="00974B5C" w:rsidRDefault="00000000">
            <w:pPr>
              <w:keepNext/>
              <w:keepLines/>
              <w:spacing w:after="0" w:line="240" w:lineRule="auto"/>
            </w:pPr>
            <w:r>
              <w:rPr>
                <w:sz w:val="18"/>
              </w:rPr>
              <w:t>Ostali nespomenuti prihodi</w:t>
            </w:r>
          </w:p>
        </w:tc>
        <w:tc>
          <w:tcPr>
            <w:tcW w:w="700" w:type="dxa"/>
            <w:tcMar>
              <w:top w:w="0" w:type="dxa"/>
              <w:bottom w:w="0" w:type="dxa"/>
            </w:tcMar>
            <w:vAlign w:val="center"/>
          </w:tcPr>
          <w:p w14:paraId="41928B86" w14:textId="77777777" w:rsidR="00974B5C" w:rsidRDefault="00000000">
            <w:pPr>
              <w:keepNext/>
              <w:keepLines/>
              <w:spacing w:after="0" w:line="240" w:lineRule="auto"/>
            </w:pPr>
            <w:r>
              <w:rPr>
                <w:sz w:val="18"/>
              </w:rPr>
              <w:t>6526</w:t>
            </w:r>
          </w:p>
        </w:tc>
        <w:tc>
          <w:tcPr>
            <w:tcW w:w="1860" w:type="dxa"/>
            <w:tcMar>
              <w:top w:w="0" w:type="dxa"/>
              <w:bottom w:w="0" w:type="dxa"/>
            </w:tcMar>
            <w:vAlign w:val="center"/>
          </w:tcPr>
          <w:p w14:paraId="2DFF6906" w14:textId="77777777" w:rsidR="00974B5C" w:rsidRDefault="00000000">
            <w:pPr>
              <w:keepNext/>
              <w:keepLines/>
              <w:spacing w:after="0" w:line="240" w:lineRule="auto"/>
              <w:jc w:val="right"/>
            </w:pPr>
            <w:r>
              <w:rPr>
                <w:sz w:val="18"/>
              </w:rPr>
              <w:t>6.331,52</w:t>
            </w:r>
          </w:p>
        </w:tc>
        <w:tc>
          <w:tcPr>
            <w:tcW w:w="1860" w:type="dxa"/>
            <w:tcMar>
              <w:top w:w="0" w:type="dxa"/>
              <w:bottom w:w="0" w:type="dxa"/>
            </w:tcMar>
            <w:vAlign w:val="center"/>
          </w:tcPr>
          <w:p w14:paraId="3A6CE0C0" w14:textId="77777777" w:rsidR="00974B5C" w:rsidRDefault="00000000">
            <w:pPr>
              <w:keepNext/>
              <w:keepLines/>
              <w:spacing w:after="0" w:line="240" w:lineRule="auto"/>
              <w:jc w:val="right"/>
            </w:pPr>
            <w:r>
              <w:rPr>
                <w:sz w:val="18"/>
              </w:rPr>
              <w:t>25.671,09</w:t>
            </w:r>
          </w:p>
        </w:tc>
        <w:tc>
          <w:tcPr>
            <w:tcW w:w="700" w:type="dxa"/>
            <w:tcMar>
              <w:top w:w="0" w:type="dxa"/>
              <w:bottom w:w="0" w:type="dxa"/>
            </w:tcMar>
            <w:vAlign w:val="center"/>
          </w:tcPr>
          <w:p w14:paraId="7DF6E9DB" w14:textId="77777777" w:rsidR="00974B5C" w:rsidRDefault="00000000">
            <w:pPr>
              <w:keepNext/>
              <w:keepLines/>
              <w:spacing w:after="0" w:line="240" w:lineRule="auto"/>
              <w:jc w:val="right"/>
            </w:pPr>
            <w:r>
              <w:rPr>
                <w:sz w:val="18"/>
              </w:rPr>
              <w:t>405,4</w:t>
            </w:r>
          </w:p>
        </w:tc>
      </w:tr>
    </w:tbl>
    <w:p w14:paraId="505AC124" w14:textId="77777777" w:rsidR="00974B5C" w:rsidRDefault="00974B5C">
      <w:pPr>
        <w:spacing w:after="0"/>
      </w:pPr>
    </w:p>
    <w:p w14:paraId="44B056BF" w14:textId="77777777" w:rsidR="00974B5C" w:rsidRDefault="00000000">
      <w:r>
        <w:t>Odnosi se na sredstva koja smo dobili po rješenju  ostavinske rasprave -</w:t>
      </w:r>
      <w:proofErr w:type="spellStart"/>
      <w:r>
        <w:t>ošasna</w:t>
      </w:r>
      <w:proofErr w:type="spellEnd"/>
      <w:r>
        <w:t xml:space="preserve"> imovina te  na članarine knjižnice i plaćanje </w:t>
      </w:r>
      <w:proofErr w:type="spellStart"/>
      <w:r>
        <w:t>zakasnine</w:t>
      </w:r>
      <w:proofErr w:type="spellEnd"/>
      <w:r>
        <w:t>.</w:t>
      </w:r>
    </w:p>
    <w:p w14:paraId="3BFCC0F8" w14:textId="77777777" w:rsidR="00974B5C" w:rsidRDefault="00974B5C"/>
    <w:p w14:paraId="6A83ACED" w14:textId="77777777" w:rsidR="00974B5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7AE9A1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E0133"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D0DA17"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B9906"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3A278B"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0BA0FD"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2BEB2B" w14:textId="77777777" w:rsidR="00974B5C" w:rsidRDefault="00000000">
            <w:pPr>
              <w:keepNext/>
              <w:keepLines/>
              <w:spacing w:after="0" w:line="240" w:lineRule="auto"/>
              <w:jc w:val="center"/>
            </w:pPr>
            <w:r>
              <w:rPr>
                <w:b/>
                <w:sz w:val="18"/>
              </w:rPr>
              <w:t>Indeks (%)</w:t>
            </w:r>
          </w:p>
        </w:tc>
      </w:tr>
      <w:tr w:rsidR="00974B5C" w14:paraId="578DB1F6" w14:textId="77777777">
        <w:tblPrEx>
          <w:tblCellMar>
            <w:top w:w="0" w:type="dxa"/>
            <w:bottom w:w="0" w:type="dxa"/>
          </w:tblCellMar>
        </w:tblPrEx>
        <w:trPr>
          <w:cantSplit/>
          <w:trHeight w:val="560"/>
        </w:trPr>
        <w:tc>
          <w:tcPr>
            <w:tcW w:w="700" w:type="dxa"/>
            <w:tcMar>
              <w:top w:w="0" w:type="dxa"/>
              <w:bottom w:w="0" w:type="dxa"/>
            </w:tcMar>
            <w:vAlign w:val="center"/>
          </w:tcPr>
          <w:p w14:paraId="6FEA11CC" w14:textId="77777777" w:rsidR="00974B5C" w:rsidRDefault="00000000">
            <w:pPr>
              <w:keepNext/>
              <w:keepLines/>
              <w:spacing w:after="0" w:line="240" w:lineRule="auto"/>
            </w:pPr>
            <w:r>
              <w:rPr>
                <w:sz w:val="18"/>
              </w:rPr>
              <w:t>6615</w:t>
            </w:r>
          </w:p>
        </w:tc>
        <w:tc>
          <w:tcPr>
            <w:tcW w:w="3180" w:type="dxa"/>
            <w:tcMar>
              <w:top w:w="0" w:type="dxa"/>
              <w:bottom w:w="0" w:type="dxa"/>
            </w:tcMar>
            <w:vAlign w:val="center"/>
          </w:tcPr>
          <w:p w14:paraId="01B9B26E" w14:textId="77777777" w:rsidR="00974B5C"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4BFEC80E" w14:textId="77777777" w:rsidR="00974B5C" w:rsidRDefault="00000000">
            <w:pPr>
              <w:keepNext/>
              <w:keepLines/>
              <w:spacing w:after="0" w:line="240" w:lineRule="auto"/>
            </w:pPr>
            <w:r>
              <w:rPr>
                <w:sz w:val="18"/>
              </w:rPr>
              <w:t>6615</w:t>
            </w:r>
          </w:p>
        </w:tc>
        <w:tc>
          <w:tcPr>
            <w:tcW w:w="1860" w:type="dxa"/>
            <w:tcMar>
              <w:top w:w="0" w:type="dxa"/>
              <w:bottom w:w="0" w:type="dxa"/>
            </w:tcMar>
            <w:vAlign w:val="center"/>
          </w:tcPr>
          <w:p w14:paraId="084D8D5E" w14:textId="77777777" w:rsidR="00974B5C" w:rsidRDefault="00000000">
            <w:pPr>
              <w:keepNext/>
              <w:keepLines/>
              <w:spacing w:after="0" w:line="240" w:lineRule="auto"/>
              <w:jc w:val="right"/>
            </w:pPr>
            <w:r>
              <w:rPr>
                <w:sz w:val="18"/>
              </w:rPr>
              <w:t>10.091,94</w:t>
            </w:r>
          </w:p>
        </w:tc>
        <w:tc>
          <w:tcPr>
            <w:tcW w:w="1860" w:type="dxa"/>
            <w:tcMar>
              <w:top w:w="0" w:type="dxa"/>
              <w:bottom w:w="0" w:type="dxa"/>
            </w:tcMar>
            <w:vAlign w:val="center"/>
          </w:tcPr>
          <w:p w14:paraId="2235162F" w14:textId="77777777" w:rsidR="00974B5C" w:rsidRDefault="00000000">
            <w:pPr>
              <w:keepNext/>
              <w:keepLines/>
              <w:spacing w:after="0" w:line="240" w:lineRule="auto"/>
              <w:jc w:val="right"/>
            </w:pPr>
            <w:r>
              <w:rPr>
                <w:sz w:val="18"/>
              </w:rPr>
              <w:t>10.438,00</w:t>
            </w:r>
          </w:p>
        </w:tc>
        <w:tc>
          <w:tcPr>
            <w:tcW w:w="700" w:type="dxa"/>
            <w:tcMar>
              <w:top w:w="0" w:type="dxa"/>
              <w:bottom w:w="0" w:type="dxa"/>
            </w:tcMar>
            <w:vAlign w:val="center"/>
          </w:tcPr>
          <w:p w14:paraId="69A0C40A" w14:textId="77777777" w:rsidR="00974B5C" w:rsidRDefault="00000000">
            <w:pPr>
              <w:keepNext/>
              <w:keepLines/>
              <w:spacing w:after="0" w:line="240" w:lineRule="auto"/>
              <w:jc w:val="right"/>
            </w:pPr>
            <w:r>
              <w:rPr>
                <w:sz w:val="18"/>
              </w:rPr>
              <w:t>103,4</w:t>
            </w:r>
          </w:p>
        </w:tc>
      </w:tr>
    </w:tbl>
    <w:p w14:paraId="71F10DA5" w14:textId="77777777" w:rsidR="00974B5C" w:rsidRDefault="00974B5C">
      <w:pPr>
        <w:spacing w:after="0"/>
      </w:pPr>
    </w:p>
    <w:p w14:paraId="47A566A1" w14:textId="77777777" w:rsidR="00974B5C" w:rsidRDefault="00000000">
      <w:r>
        <w:t>Povećanje se odnosi na pružanje usluga-u ovom slučaju usluge ukopa</w:t>
      </w:r>
    </w:p>
    <w:p w14:paraId="2F5F19B6" w14:textId="77777777" w:rsidR="00974B5C" w:rsidRDefault="00974B5C"/>
    <w:p w14:paraId="6E6A322E" w14:textId="77777777" w:rsidR="00974B5C"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5C413C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141175"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EEB45B"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89F4D5"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246D4"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E3F660"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6FA607" w14:textId="77777777" w:rsidR="00974B5C" w:rsidRDefault="00000000">
            <w:pPr>
              <w:keepNext/>
              <w:keepLines/>
              <w:spacing w:after="0" w:line="240" w:lineRule="auto"/>
              <w:jc w:val="center"/>
            </w:pPr>
            <w:r>
              <w:rPr>
                <w:b/>
                <w:sz w:val="18"/>
              </w:rPr>
              <w:t>Indeks (%)</w:t>
            </w:r>
          </w:p>
        </w:tc>
      </w:tr>
      <w:tr w:rsidR="00974B5C" w14:paraId="2E3004FD" w14:textId="77777777">
        <w:tblPrEx>
          <w:tblCellMar>
            <w:top w:w="0" w:type="dxa"/>
            <w:bottom w:w="0" w:type="dxa"/>
          </w:tblCellMar>
        </w:tblPrEx>
        <w:trPr>
          <w:cantSplit/>
          <w:trHeight w:val="560"/>
        </w:trPr>
        <w:tc>
          <w:tcPr>
            <w:tcW w:w="700" w:type="dxa"/>
            <w:tcMar>
              <w:top w:w="0" w:type="dxa"/>
              <w:bottom w:w="0" w:type="dxa"/>
            </w:tcMar>
            <w:vAlign w:val="center"/>
          </w:tcPr>
          <w:p w14:paraId="4DBF970C" w14:textId="77777777" w:rsidR="00974B5C" w:rsidRDefault="00000000">
            <w:pPr>
              <w:keepNext/>
              <w:keepLines/>
              <w:spacing w:after="0" w:line="240" w:lineRule="auto"/>
            </w:pPr>
            <w:r>
              <w:rPr>
                <w:sz w:val="18"/>
              </w:rPr>
              <w:t>311</w:t>
            </w:r>
          </w:p>
        </w:tc>
        <w:tc>
          <w:tcPr>
            <w:tcW w:w="3180" w:type="dxa"/>
            <w:tcMar>
              <w:top w:w="0" w:type="dxa"/>
              <w:bottom w:w="0" w:type="dxa"/>
            </w:tcMar>
            <w:vAlign w:val="center"/>
          </w:tcPr>
          <w:p w14:paraId="4A1287CB" w14:textId="77777777" w:rsidR="00974B5C"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43F047D2" w14:textId="77777777" w:rsidR="00974B5C" w:rsidRDefault="00000000">
            <w:pPr>
              <w:keepNext/>
              <w:keepLines/>
              <w:spacing w:after="0" w:line="240" w:lineRule="auto"/>
            </w:pPr>
            <w:r>
              <w:rPr>
                <w:sz w:val="18"/>
              </w:rPr>
              <w:t>311</w:t>
            </w:r>
          </w:p>
        </w:tc>
        <w:tc>
          <w:tcPr>
            <w:tcW w:w="1860" w:type="dxa"/>
            <w:tcMar>
              <w:top w:w="0" w:type="dxa"/>
              <w:bottom w:w="0" w:type="dxa"/>
            </w:tcMar>
            <w:vAlign w:val="center"/>
          </w:tcPr>
          <w:p w14:paraId="74000B4B" w14:textId="77777777" w:rsidR="00974B5C" w:rsidRDefault="00000000">
            <w:pPr>
              <w:keepNext/>
              <w:keepLines/>
              <w:spacing w:after="0" w:line="240" w:lineRule="auto"/>
              <w:jc w:val="right"/>
            </w:pPr>
            <w:r>
              <w:rPr>
                <w:sz w:val="18"/>
              </w:rPr>
              <w:t>157.727,62</w:t>
            </w:r>
          </w:p>
        </w:tc>
        <w:tc>
          <w:tcPr>
            <w:tcW w:w="1860" w:type="dxa"/>
            <w:tcMar>
              <w:top w:w="0" w:type="dxa"/>
              <w:bottom w:w="0" w:type="dxa"/>
            </w:tcMar>
            <w:vAlign w:val="center"/>
          </w:tcPr>
          <w:p w14:paraId="40BE2B71" w14:textId="77777777" w:rsidR="00974B5C" w:rsidRDefault="00000000">
            <w:pPr>
              <w:keepNext/>
              <w:keepLines/>
              <w:spacing w:after="0" w:line="240" w:lineRule="auto"/>
              <w:jc w:val="right"/>
            </w:pPr>
            <w:r>
              <w:rPr>
                <w:sz w:val="18"/>
              </w:rPr>
              <w:t>201.779,70</w:t>
            </w:r>
          </w:p>
        </w:tc>
        <w:tc>
          <w:tcPr>
            <w:tcW w:w="700" w:type="dxa"/>
            <w:tcMar>
              <w:top w:w="0" w:type="dxa"/>
              <w:bottom w:w="0" w:type="dxa"/>
            </w:tcMar>
            <w:vAlign w:val="center"/>
          </w:tcPr>
          <w:p w14:paraId="5A9556CE" w14:textId="77777777" w:rsidR="00974B5C" w:rsidRDefault="00000000">
            <w:pPr>
              <w:keepNext/>
              <w:keepLines/>
              <w:spacing w:after="0" w:line="240" w:lineRule="auto"/>
              <w:jc w:val="right"/>
            </w:pPr>
            <w:r>
              <w:rPr>
                <w:sz w:val="18"/>
              </w:rPr>
              <w:t>127,9</w:t>
            </w:r>
          </w:p>
        </w:tc>
      </w:tr>
    </w:tbl>
    <w:p w14:paraId="033C23D3" w14:textId="77777777" w:rsidR="00974B5C" w:rsidRDefault="00974B5C">
      <w:pPr>
        <w:spacing w:after="0"/>
      </w:pPr>
    </w:p>
    <w:p w14:paraId="3536F4D3" w14:textId="77777777" w:rsidR="00974B5C" w:rsidRDefault="00000000">
      <w:r>
        <w:t>Rashodi za zaposlene su povećani zbog povećanja plaće i ostali rashoda za zaposlenike. </w:t>
      </w:r>
    </w:p>
    <w:p w14:paraId="185B0BB6" w14:textId="77777777" w:rsidR="00974B5C" w:rsidRDefault="00974B5C"/>
    <w:p w14:paraId="77DD136A" w14:textId="77777777" w:rsidR="00974B5C"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5EE0F7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3EC297"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BC0913"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B4FF3B"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B078C3"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15B445"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B19654" w14:textId="77777777" w:rsidR="00974B5C" w:rsidRDefault="00000000">
            <w:pPr>
              <w:keepNext/>
              <w:keepLines/>
              <w:spacing w:after="0" w:line="240" w:lineRule="auto"/>
              <w:jc w:val="center"/>
            </w:pPr>
            <w:r>
              <w:rPr>
                <w:b/>
                <w:sz w:val="18"/>
              </w:rPr>
              <w:t>Indeks (%)</w:t>
            </w:r>
          </w:p>
        </w:tc>
      </w:tr>
      <w:tr w:rsidR="00974B5C" w14:paraId="188B0FDC" w14:textId="77777777">
        <w:tblPrEx>
          <w:tblCellMar>
            <w:top w:w="0" w:type="dxa"/>
            <w:bottom w:w="0" w:type="dxa"/>
          </w:tblCellMar>
        </w:tblPrEx>
        <w:trPr>
          <w:cantSplit/>
          <w:trHeight w:val="560"/>
        </w:trPr>
        <w:tc>
          <w:tcPr>
            <w:tcW w:w="700" w:type="dxa"/>
            <w:tcMar>
              <w:top w:w="0" w:type="dxa"/>
              <w:bottom w:w="0" w:type="dxa"/>
            </w:tcMar>
            <w:vAlign w:val="center"/>
          </w:tcPr>
          <w:p w14:paraId="77839AF3" w14:textId="77777777" w:rsidR="00974B5C" w:rsidRDefault="00000000">
            <w:pPr>
              <w:keepNext/>
              <w:keepLines/>
              <w:spacing w:after="0" w:line="240" w:lineRule="auto"/>
            </w:pPr>
            <w:r>
              <w:rPr>
                <w:sz w:val="18"/>
              </w:rPr>
              <w:t>3212</w:t>
            </w:r>
          </w:p>
        </w:tc>
        <w:tc>
          <w:tcPr>
            <w:tcW w:w="3180" w:type="dxa"/>
            <w:tcMar>
              <w:top w:w="0" w:type="dxa"/>
              <w:bottom w:w="0" w:type="dxa"/>
            </w:tcMar>
            <w:vAlign w:val="center"/>
          </w:tcPr>
          <w:p w14:paraId="0EDC57FD" w14:textId="77777777" w:rsidR="00974B5C"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36283431" w14:textId="77777777" w:rsidR="00974B5C" w:rsidRDefault="00000000">
            <w:pPr>
              <w:keepNext/>
              <w:keepLines/>
              <w:spacing w:after="0" w:line="240" w:lineRule="auto"/>
            </w:pPr>
            <w:r>
              <w:rPr>
                <w:sz w:val="18"/>
              </w:rPr>
              <w:t>3212</w:t>
            </w:r>
          </w:p>
        </w:tc>
        <w:tc>
          <w:tcPr>
            <w:tcW w:w="1860" w:type="dxa"/>
            <w:tcMar>
              <w:top w:w="0" w:type="dxa"/>
              <w:bottom w:w="0" w:type="dxa"/>
            </w:tcMar>
            <w:vAlign w:val="center"/>
          </w:tcPr>
          <w:p w14:paraId="3F6706E1" w14:textId="77777777" w:rsidR="00974B5C" w:rsidRDefault="00000000">
            <w:pPr>
              <w:keepNext/>
              <w:keepLines/>
              <w:spacing w:after="0" w:line="240" w:lineRule="auto"/>
              <w:jc w:val="right"/>
            </w:pPr>
            <w:r>
              <w:rPr>
                <w:sz w:val="18"/>
              </w:rPr>
              <w:t>1.723,13</w:t>
            </w:r>
          </w:p>
        </w:tc>
        <w:tc>
          <w:tcPr>
            <w:tcW w:w="1860" w:type="dxa"/>
            <w:tcMar>
              <w:top w:w="0" w:type="dxa"/>
              <w:bottom w:w="0" w:type="dxa"/>
            </w:tcMar>
            <w:vAlign w:val="center"/>
          </w:tcPr>
          <w:p w14:paraId="6E7FBFBA" w14:textId="77777777" w:rsidR="00974B5C" w:rsidRDefault="00000000">
            <w:pPr>
              <w:keepNext/>
              <w:keepLines/>
              <w:spacing w:after="0" w:line="240" w:lineRule="auto"/>
              <w:jc w:val="right"/>
            </w:pPr>
            <w:r>
              <w:rPr>
                <w:sz w:val="18"/>
              </w:rPr>
              <w:t>1.982,68</w:t>
            </w:r>
          </w:p>
        </w:tc>
        <w:tc>
          <w:tcPr>
            <w:tcW w:w="700" w:type="dxa"/>
            <w:tcMar>
              <w:top w:w="0" w:type="dxa"/>
              <w:bottom w:w="0" w:type="dxa"/>
            </w:tcMar>
            <w:vAlign w:val="center"/>
          </w:tcPr>
          <w:p w14:paraId="35EB222E" w14:textId="77777777" w:rsidR="00974B5C" w:rsidRDefault="00000000">
            <w:pPr>
              <w:keepNext/>
              <w:keepLines/>
              <w:spacing w:after="0" w:line="240" w:lineRule="auto"/>
              <w:jc w:val="right"/>
            </w:pPr>
            <w:r>
              <w:rPr>
                <w:sz w:val="18"/>
              </w:rPr>
              <w:t>115,1</w:t>
            </w:r>
          </w:p>
        </w:tc>
      </w:tr>
    </w:tbl>
    <w:p w14:paraId="29EC39E6" w14:textId="77777777" w:rsidR="00974B5C" w:rsidRDefault="00974B5C">
      <w:pPr>
        <w:spacing w:after="0"/>
      </w:pPr>
    </w:p>
    <w:p w14:paraId="6675F143" w14:textId="77777777" w:rsidR="00974B5C" w:rsidRDefault="00000000">
      <w:r>
        <w:t>Povećanje se odnosi na djelatnike općine i javne radove koji po programu HZZ-a imaju pravo na putne troškove ako nisu iz naselja u kojem obavljaju posao.</w:t>
      </w:r>
    </w:p>
    <w:p w14:paraId="55B586D5" w14:textId="77777777" w:rsidR="00974B5C" w:rsidRDefault="00974B5C"/>
    <w:p w14:paraId="30027E02" w14:textId="77777777" w:rsidR="00974B5C"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58832D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A8EA64"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34EC18"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5258E5"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90C8D"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D36260"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71DEF6" w14:textId="77777777" w:rsidR="00974B5C" w:rsidRDefault="00000000">
            <w:pPr>
              <w:keepNext/>
              <w:keepLines/>
              <w:spacing w:after="0" w:line="240" w:lineRule="auto"/>
              <w:jc w:val="center"/>
            </w:pPr>
            <w:r>
              <w:rPr>
                <w:b/>
                <w:sz w:val="18"/>
              </w:rPr>
              <w:t>Indeks (%)</w:t>
            </w:r>
          </w:p>
        </w:tc>
      </w:tr>
      <w:tr w:rsidR="00974B5C" w14:paraId="3A56F347" w14:textId="77777777">
        <w:tblPrEx>
          <w:tblCellMar>
            <w:top w:w="0" w:type="dxa"/>
            <w:bottom w:w="0" w:type="dxa"/>
          </w:tblCellMar>
        </w:tblPrEx>
        <w:trPr>
          <w:cantSplit/>
          <w:trHeight w:val="560"/>
        </w:trPr>
        <w:tc>
          <w:tcPr>
            <w:tcW w:w="700" w:type="dxa"/>
            <w:tcMar>
              <w:top w:w="0" w:type="dxa"/>
              <w:bottom w:w="0" w:type="dxa"/>
            </w:tcMar>
            <w:vAlign w:val="center"/>
          </w:tcPr>
          <w:p w14:paraId="3B85BD88" w14:textId="77777777" w:rsidR="00974B5C" w:rsidRDefault="00000000">
            <w:pPr>
              <w:keepNext/>
              <w:keepLines/>
              <w:spacing w:after="0" w:line="240" w:lineRule="auto"/>
            </w:pPr>
            <w:r>
              <w:rPr>
                <w:sz w:val="18"/>
              </w:rPr>
              <w:t>3227</w:t>
            </w:r>
          </w:p>
        </w:tc>
        <w:tc>
          <w:tcPr>
            <w:tcW w:w="3180" w:type="dxa"/>
            <w:tcMar>
              <w:top w:w="0" w:type="dxa"/>
              <w:bottom w:w="0" w:type="dxa"/>
            </w:tcMar>
            <w:vAlign w:val="center"/>
          </w:tcPr>
          <w:p w14:paraId="14C4DB7B" w14:textId="77777777" w:rsidR="00974B5C"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5F24C5B0" w14:textId="77777777" w:rsidR="00974B5C" w:rsidRDefault="00000000">
            <w:pPr>
              <w:keepNext/>
              <w:keepLines/>
              <w:spacing w:after="0" w:line="240" w:lineRule="auto"/>
            </w:pPr>
            <w:r>
              <w:rPr>
                <w:sz w:val="18"/>
              </w:rPr>
              <w:t>3227</w:t>
            </w:r>
          </w:p>
        </w:tc>
        <w:tc>
          <w:tcPr>
            <w:tcW w:w="1860" w:type="dxa"/>
            <w:tcMar>
              <w:top w:w="0" w:type="dxa"/>
              <w:bottom w:w="0" w:type="dxa"/>
            </w:tcMar>
            <w:vAlign w:val="center"/>
          </w:tcPr>
          <w:p w14:paraId="20C0E022" w14:textId="77777777" w:rsidR="00974B5C" w:rsidRDefault="00000000">
            <w:pPr>
              <w:keepNext/>
              <w:keepLines/>
              <w:spacing w:after="0" w:line="240" w:lineRule="auto"/>
              <w:jc w:val="right"/>
            </w:pPr>
            <w:r>
              <w:rPr>
                <w:sz w:val="18"/>
              </w:rPr>
              <w:t>56,25</w:t>
            </w:r>
          </w:p>
        </w:tc>
        <w:tc>
          <w:tcPr>
            <w:tcW w:w="1860" w:type="dxa"/>
            <w:tcMar>
              <w:top w:w="0" w:type="dxa"/>
              <w:bottom w:w="0" w:type="dxa"/>
            </w:tcMar>
            <w:vAlign w:val="center"/>
          </w:tcPr>
          <w:p w14:paraId="2263411C" w14:textId="77777777" w:rsidR="00974B5C" w:rsidRDefault="00000000">
            <w:pPr>
              <w:keepNext/>
              <w:keepLines/>
              <w:spacing w:after="0" w:line="240" w:lineRule="auto"/>
              <w:jc w:val="right"/>
            </w:pPr>
            <w:r>
              <w:rPr>
                <w:sz w:val="18"/>
              </w:rPr>
              <w:t>317,10</w:t>
            </w:r>
          </w:p>
        </w:tc>
        <w:tc>
          <w:tcPr>
            <w:tcW w:w="700" w:type="dxa"/>
            <w:tcMar>
              <w:top w:w="0" w:type="dxa"/>
              <w:bottom w:w="0" w:type="dxa"/>
            </w:tcMar>
            <w:vAlign w:val="center"/>
          </w:tcPr>
          <w:p w14:paraId="54C590F5" w14:textId="77777777" w:rsidR="00974B5C" w:rsidRDefault="00000000">
            <w:pPr>
              <w:keepNext/>
              <w:keepLines/>
              <w:spacing w:after="0" w:line="240" w:lineRule="auto"/>
              <w:jc w:val="right"/>
            </w:pPr>
            <w:r>
              <w:rPr>
                <w:sz w:val="18"/>
              </w:rPr>
              <w:t>563,7</w:t>
            </w:r>
          </w:p>
        </w:tc>
      </w:tr>
    </w:tbl>
    <w:p w14:paraId="34BFB054" w14:textId="77777777" w:rsidR="00974B5C" w:rsidRDefault="00974B5C">
      <w:pPr>
        <w:spacing w:after="0"/>
      </w:pPr>
    </w:p>
    <w:p w14:paraId="38DC4F92" w14:textId="77777777" w:rsidR="00974B5C" w:rsidRDefault="00000000">
      <w:r>
        <w:t>Iznos od 317,10 eura odnosi se na radnu odjeću i obuću za djelatnike komunalnog pogona</w:t>
      </w:r>
    </w:p>
    <w:p w14:paraId="76E571B2" w14:textId="77777777" w:rsidR="00974B5C" w:rsidRDefault="00974B5C"/>
    <w:p w14:paraId="5B47BBD0" w14:textId="77777777" w:rsidR="00974B5C"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10DA3E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FD0808"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2A0335"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C9DC1A"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0D8EBD"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29B278"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B055DA" w14:textId="77777777" w:rsidR="00974B5C" w:rsidRDefault="00000000">
            <w:pPr>
              <w:keepNext/>
              <w:keepLines/>
              <w:spacing w:after="0" w:line="240" w:lineRule="auto"/>
              <w:jc w:val="center"/>
            </w:pPr>
            <w:r>
              <w:rPr>
                <w:b/>
                <w:sz w:val="18"/>
              </w:rPr>
              <w:t>Indeks (%)</w:t>
            </w:r>
          </w:p>
        </w:tc>
      </w:tr>
      <w:tr w:rsidR="00974B5C" w14:paraId="72C15F6F" w14:textId="77777777">
        <w:tblPrEx>
          <w:tblCellMar>
            <w:top w:w="0" w:type="dxa"/>
            <w:bottom w:w="0" w:type="dxa"/>
          </w:tblCellMar>
        </w:tblPrEx>
        <w:trPr>
          <w:cantSplit/>
          <w:trHeight w:val="560"/>
        </w:trPr>
        <w:tc>
          <w:tcPr>
            <w:tcW w:w="700" w:type="dxa"/>
            <w:tcMar>
              <w:top w:w="0" w:type="dxa"/>
              <w:bottom w:w="0" w:type="dxa"/>
            </w:tcMar>
            <w:vAlign w:val="center"/>
          </w:tcPr>
          <w:p w14:paraId="1FA6FCB6" w14:textId="77777777" w:rsidR="00974B5C" w:rsidRDefault="00000000">
            <w:pPr>
              <w:keepNext/>
              <w:keepLines/>
              <w:spacing w:after="0" w:line="240" w:lineRule="auto"/>
            </w:pPr>
            <w:r>
              <w:rPr>
                <w:sz w:val="18"/>
              </w:rPr>
              <w:t>3237</w:t>
            </w:r>
          </w:p>
        </w:tc>
        <w:tc>
          <w:tcPr>
            <w:tcW w:w="3180" w:type="dxa"/>
            <w:tcMar>
              <w:top w:w="0" w:type="dxa"/>
              <w:bottom w:w="0" w:type="dxa"/>
            </w:tcMar>
            <w:vAlign w:val="center"/>
          </w:tcPr>
          <w:p w14:paraId="6439903B" w14:textId="77777777" w:rsidR="00974B5C"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0F5F1788" w14:textId="77777777" w:rsidR="00974B5C" w:rsidRDefault="00000000">
            <w:pPr>
              <w:keepNext/>
              <w:keepLines/>
              <w:spacing w:after="0" w:line="240" w:lineRule="auto"/>
            </w:pPr>
            <w:r>
              <w:rPr>
                <w:sz w:val="18"/>
              </w:rPr>
              <w:t>3237</w:t>
            </w:r>
          </w:p>
        </w:tc>
        <w:tc>
          <w:tcPr>
            <w:tcW w:w="1860" w:type="dxa"/>
            <w:tcMar>
              <w:top w:w="0" w:type="dxa"/>
              <w:bottom w:w="0" w:type="dxa"/>
            </w:tcMar>
            <w:vAlign w:val="center"/>
          </w:tcPr>
          <w:p w14:paraId="4E1665B1" w14:textId="77777777" w:rsidR="00974B5C" w:rsidRDefault="00000000">
            <w:pPr>
              <w:keepNext/>
              <w:keepLines/>
              <w:spacing w:after="0" w:line="240" w:lineRule="auto"/>
              <w:jc w:val="right"/>
            </w:pPr>
            <w:r>
              <w:rPr>
                <w:sz w:val="18"/>
              </w:rPr>
              <w:t>5.287,99</w:t>
            </w:r>
          </w:p>
        </w:tc>
        <w:tc>
          <w:tcPr>
            <w:tcW w:w="1860" w:type="dxa"/>
            <w:tcMar>
              <w:top w:w="0" w:type="dxa"/>
              <w:bottom w:w="0" w:type="dxa"/>
            </w:tcMar>
            <w:vAlign w:val="center"/>
          </w:tcPr>
          <w:p w14:paraId="4C48145C" w14:textId="77777777" w:rsidR="00974B5C" w:rsidRDefault="00000000">
            <w:pPr>
              <w:keepNext/>
              <w:keepLines/>
              <w:spacing w:after="0" w:line="240" w:lineRule="auto"/>
              <w:jc w:val="right"/>
            </w:pPr>
            <w:r>
              <w:rPr>
                <w:sz w:val="18"/>
              </w:rPr>
              <w:t>10.588,44</w:t>
            </w:r>
          </w:p>
        </w:tc>
        <w:tc>
          <w:tcPr>
            <w:tcW w:w="700" w:type="dxa"/>
            <w:tcMar>
              <w:top w:w="0" w:type="dxa"/>
              <w:bottom w:w="0" w:type="dxa"/>
            </w:tcMar>
            <w:vAlign w:val="center"/>
          </w:tcPr>
          <w:p w14:paraId="0441FE31" w14:textId="77777777" w:rsidR="00974B5C" w:rsidRDefault="00000000">
            <w:pPr>
              <w:keepNext/>
              <w:keepLines/>
              <w:spacing w:after="0" w:line="240" w:lineRule="auto"/>
              <w:jc w:val="right"/>
            </w:pPr>
            <w:r>
              <w:rPr>
                <w:sz w:val="18"/>
              </w:rPr>
              <w:t>200,2</w:t>
            </w:r>
          </w:p>
        </w:tc>
      </w:tr>
    </w:tbl>
    <w:p w14:paraId="7F772A05" w14:textId="77777777" w:rsidR="00974B5C" w:rsidRDefault="00974B5C">
      <w:pPr>
        <w:spacing w:after="0"/>
      </w:pPr>
    </w:p>
    <w:p w14:paraId="1993F608" w14:textId="77777777" w:rsidR="00974B5C" w:rsidRDefault="00000000">
      <w:r>
        <w:t>Odnosi se na usluge odvjetnika, javnog bilježnika, ugovora o djelu te usluge IN Konzaltinga za izradu  procjenu rizika od velikih nesreća koju smo po zakonu dužni imati.</w:t>
      </w:r>
    </w:p>
    <w:p w14:paraId="5C526041" w14:textId="77777777" w:rsidR="00974B5C" w:rsidRDefault="00974B5C"/>
    <w:p w14:paraId="5F43852A" w14:textId="77777777" w:rsidR="00974B5C"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728A62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587725"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DFACF2"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FA85F9"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F274ED"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7C8F47"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914ED7" w14:textId="77777777" w:rsidR="00974B5C" w:rsidRDefault="00000000">
            <w:pPr>
              <w:keepNext/>
              <w:keepLines/>
              <w:spacing w:after="0" w:line="240" w:lineRule="auto"/>
              <w:jc w:val="center"/>
            </w:pPr>
            <w:r>
              <w:rPr>
                <w:b/>
                <w:sz w:val="18"/>
              </w:rPr>
              <w:t>Indeks (%)</w:t>
            </w:r>
          </w:p>
        </w:tc>
      </w:tr>
      <w:tr w:rsidR="00974B5C" w14:paraId="1E9A2E6F" w14:textId="77777777">
        <w:tblPrEx>
          <w:tblCellMar>
            <w:top w:w="0" w:type="dxa"/>
            <w:bottom w:w="0" w:type="dxa"/>
          </w:tblCellMar>
        </w:tblPrEx>
        <w:trPr>
          <w:cantSplit/>
          <w:trHeight w:val="560"/>
        </w:trPr>
        <w:tc>
          <w:tcPr>
            <w:tcW w:w="700" w:type="dxa"/>
            <w:tcMar>
              <w:top w:w="0" w:type="dxa"/>
              <w:bottom w:w="0" w:type="dxa"/>
            </w:tcMar>
            <w:vAlign w:val="center"/>
          </w:tcPr>
          <w:p w14:paraId="41FF14D8" w14:textId="77777777" w:rsidR="00974B5C" w:rsidRDefault="00000000">
            <w:pPr>
              <w:keepNext/>
              <w:keepLines/>
              <w:spacing w:after="0" w:line="240" w:lineRule="auto"/>
            </w:pPr>
            <w:r>
              <w:rPr>
                <w:sz w:val="18"/>
              </w:rPr>
              <w:t>3238</w:t>
            </w:r>
          </w:p>
        </w:tc>
        <w:tc>
          <w:tcPr>
            <w:tcW w:w="3180" w:type="dxa"/>
            <w:tcMar>
              <w:top w:w="0" w:type="dxa"/>
              <w:bottom w:w="0" w:type="dxa"/>
            </w:tcMar>
            <w:vAlign w:val="center"/>
          </w:tcPr>
          <w:p w14:paraId="71CF7F9A" w14:textId="77777777" w:rsidR="00974B5C" w:rsidRDefault="00000000">
            <w:pPr>
              <w:keepNext/>
              <w:keepLines/>
              <w:spacing w:after="0" w:line="240" w:lineRule="auto"/>
            </w:pPr>
            <w:r>
              <w:rPr>
                <w:sz w:val="18"/>
              </w:rPr>
              <w:t>Računalne usluge</w:t>
            </w:r>
          </w:p>
        </w:tc>
        <w:tc>
          <w:tcPr>
            <w:tcW w:w="700" w:type="dxa"/>
            <w:tcMar>
              <w:top w:w="0" w:type="dxa"/>
              <w:bottom w:w="0" w:type="dxa"/>
            </w:tcMar>
            <w:vAlign w:val="center"/>
          </w:tcPr>
          <w:p w14:paraId="405F2EAE" w14:textId="77777777" w:rsidR="00974B5C" w:rsidRDefault="00000000">
            <w:pPr>
              <w:keepNext/>
              <w:keepLines/>
              <w:spacing w:after="0" w:line="240" w:lineRule="auto"/>
            </w:pPr>
            <w:r>
              <w:rPr>
                <w:sz w:val="18"/>
              </w:rPr>
              <w:t>3238</w:t>
            </w:r>
          </w:p>
        </w:tc>
        <w:tc>
          <w:tcPr>
            <w:tcW w:w="1860" w:type="dxa"/>
            <w:tcMar>
              <w:top w:w="0" w:type="dxa"/>
              <w:bottom w:w="0" w:type="dxa"/>
            </w:tcMar>
            <w:vAlign w:val="center"/>
          </w:tcPr>
          <w:p w14:paraId="1E8EAD3E" w14:textId="77777777" w:rsidR="00974B5C" w:rsidRDefault="00000000">
            <w:pPr>
              <w:keepNext/>
              <w:keepLines/>
              <w:spacing w:after="0" w:line="240" w:lineRule="auto"/>
              <w:jc w:val="right"/>
            </w:pPr>
            <w:r>
              <w:rPr>
                <w:sz w:val="18"/>
              </w:rPr>
              <w:t>6.608,06</w:t>
            </w:r>
          </w:p>
        </w:tc>
        <w:tc>
          <w:tcPr>
            <w:tcW w:w="1860" w:type="dxa"/>
            <w:tcMar>
              <w:top w:w="0" w:type="dxa"/>
              <w:bottom w:w="0" w:type="dxa"/>
            </w:tcMar>
            <w:vAlign w:val="center"/>
          </w:tcPr>
          <w:p w14:paraId="6298E9CE" w14:textId="77777777" w:rsidR="00974B5C" w:rsidRDefault="00000000">
            <w:pPr>
              <w:keepNext/>
              <w:keepLines/>
              <w:spacing w:after="0" w:line="240" w:lineRule="auto"/>
              <w:jc w:val="right"/>
            </w:pPr>
            <w:r>
              <w:rPr>
                <w:sz w:val="18"/>
              </w:rPr>
              <w:t>11.569,88</w:t>
            </w:r>
          </w:p>
        </w:tc>
        <w:tc>
          <w:tcPr>
            <w:tcW w:w="700" w:type="dxa"/>
            <w:tcMar>
              <w:top w:w="0" w:type="dxa"/>
              <w:bottom w:w="0" w:type="dxa"/>
            </w:tcMar>
            <w:vAlign w:val="center"/>
          </w:tcPr>
          <w:p w14:paraId="1F4E6C37" w14:textId="77777777" w:rsidR="00974B5C" w:rsidRDefault="00000000">
            <w:pPr>
              <w:keepNext/>
              <w:keepLines/>
              <w:spacing w:after="0" w:line="240" w:lineRule="auto"/>
              <w:jc w:val="right"/>
            </w:pPr>
            <w:r>
              <w:rPr>
                <w:sz w:val="18"/>
              </w:rPr>
              <w:t>175,1</w:t>
            </w:r>
          </w:p>
        </w:tc>
      </w:tr>
    </w:tbl>
    <w:p w14:paraId="1BF4117F" w14:textId="77777777" w:rsidR="00974B5C" w:rsidRDefault="00974B5C">
      <w:pPr>
        <w:spacing w:after="0"/>
      </w:pPr>
    </w:p>
    <w:p w14:paraId="7D4FFF50" w14:textId="77777777" w:rsidR="00974B5C" w:rsidRDefault="00000000">
      <w:r>
        <w:t>Povećanje  zbog prelaska na novi softverski program-računovodstveni program te povećanje održavanja tog programa.</w:t>
      </w:r>
    </w:p>
    <w:p w14:paraId="01029987" w14:textId="77777777" w:rsidR="00974B5C" w:rsidRDefault="00974B5C"/>
    <w:p w14:paraId="5BC86E16" w14:textId="77777777" w:rsidR="00974B5C"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3E601F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343BFA"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EDC008"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ECE76C"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76DF17"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5972C9"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956568" w14:textId="77777777" w:rsidR="00974B5C" w:rsidRDefault="00000000">
            <w:pPr>
              <w:keepNext/>
              <w:keepLines/>
              <w:spacing w:after="0" w:line="240" w:lineRule="auto"/>
              <w:jc w:val="center"/>
            </w:pPr>
            <w:r>
              <w:rPr>
                <w:b/>
                <w:sz w:val="18"/>
              </w:rPr>
              <w:t>Indeks (%)</w:t>
            </w:r>
          </w:p>
        </w:tc>
      </w:tr>
      <w:tr w:rsidR="00974B5C" w14:paraId="563A15E9" w14:textId="77777777">
        <w:tblPrEx>
          <w:tblCellMar>
            <w:top w:w="0" w:type="dxa"/>
            <w:bottom w:w="0" w:type="dxa"/>
          </w:tblCellMar>
        </w:tblPrEx>
        <w:trPr>
          <w:cantSplit/>
          <w:trHeight w:val="560"/>
        </w:trPr>
        <w:tc>
          <w:tcPr>
            <w:tcW w:w="700" w:type="dxa"/>
            <w:tcMar>
              <w:top w:w="0" w:type="dxa"/>
              <w:bottom w:w="0" w:type="dxa"/>
            </w:tcMar>
            <w:vAlign w:val="center"/>
          </w:tcPr>
          <w:p w14:paraId="0899A7E5" w14:textId="77777777" w:rsidR="00974B5C" w:rsidRDefault="00000000">
            <w:pPr>
              <w:keepNext/>
              <w:keepLines/>
              <w:spacing w:after="0" w:line="240" w:lineRule="auto"/>
            </w:pPr>
            <w:r>
              <w:rPr>
                <w:sz w:val="18"/>
              </w:rPr>
              <w:t>3239</w:t>
            </w:r>
          </w:p>
        </w:tc>
        <w:tc>
          <w:tcPr>
            <w:tcW w:w="3180" w:type="dxa"/>
            <w:tcMar>
              <w:top w:w="0" w:type="dxa"/>
              <w:bottom w:w="0" w:type="dxa"/>
            </w:tcMar>
            <w:vAlign w:val="center"/>
          </w:tcPr>
          <w:p w14:paraId="09CAB0CB" w14:textId="77777777" w:rsidR="00974B5C" w:rsidRDefault="00000000">
            <w:pPr>
              <w:keepNext/>
              <w:keepLines/>
              <w:spacing w:after="0" w:line="240" w:lineRule="auto"/>
            </w:pPr>
            <w:r>
              <w:rPr>
                <w:sz w:val="18"/>
              </w:rPr>
              <w:t>Ostale usluge</w:t>
            </w:r>
          </w:p>
        </w:tc>
        <w:tc>
          <w:tcPr>
            <w:tcW w:w="700" w:type="dxa"/>
            <w:tcMar>
              <w:top w:w="0" w:type="dxa"/>
              <w:bottom w:w="0" w:type="dxa"/>
            </w:tcMar>
            <w:vAlign w:val="center"/>
          </w:tcPr>
          <w:p w14:paraId="3FED22DA" w14:textId="77777777" w:rsidR="00974B5C" w:rsidRDefault="00000000">
            <w:pPr>
              <w:keepNext/>
              <w:keepLines/>
              <w:spacing w:after="0" w:line="240" w:lineRule="auto"/>
            </w:pPr>
            <w:r>
              <w:rPr>
                <w:sz w:val="18"/>
              </w:rPr>
              <w:t>3239</w:t>
            </w:r>
          </w:p>
        </w:tc>
        <w:tc>
          <w:tcPr>
            <w:tcW w:w="1860" w:type="dxa"/>
            <w:tcMar>
              <w:top w:w="0" w:type="dxa"/>
              <w:bottom w:w="0" w:type="dxa"/>
            </w:tcMar>
            <w:vAlign w:val="center"/>
          </w:tcPr>
          <w:p w14:paraId="075EED80" w14:textId="77777777" w:rsidR="00974B5C" w:rsidRDefault="00000000">
            <w:pPr>
              <w:keepNext/>
              <w:keepLines/>
              <w:spacing w:after="0" w:line="240" w:lineRule="auto"/>
              <w:jc w:val="right"/>
            </w:pPr>
            <w:r>
              <w:rPr>
                <w:sz w:val="18"/>
              </w:rPr>
              <w:t>5.908,81</w:t>
            </w:r>
          </w:p>
        </w:tc>
        <w:tc>
          <w:tcPr>
            <w:tcW w:w="1860" w:type="dxa"/>
            <w:tcMar>
              <w:top w:w="0" w:type="dxa"/>
              <w:bottom w:w="0" w:type="dxa"/>
            </w:tcMar>
            <w:vAlign w:val="center"/>
          </w:tcPr>
          <w:p w14:paraId="5FC9F4FB" w14:textId="77777777" w:rsidR="00974B5C" w:rsidRDefault="00000000">
            <w:pPr>
              <w:keepNext/>
              <w:keepLines/>
              <w:spacing w:after="0" w:line="240" w:lineRule="auto"/>
              <w:jc w:val="right"/>
            </w:pPr>
            <w:r>
              <w:rPr>
                <w:sz w:val="18"/>
              </w:rPr>
              <w:t>7.878,49</w:t>
            </w:r>
          </w:p>
        </w:tc>
        <w:tc>
          <w:tcPr>
            <w:tcW w:w="700" w:type="dxa"/>
            <w:tcMar>
              <w:top w:w="0" w:type="dxa"/>
              <w:bottom w:w="0" w:type="dxa"/>
            </w:tcMar>
            <w:vAlign w:val="center"/>
          </w:tcPr>
          <w:p w14:paraId="61C824D6" w14:textId="77777777" w:rsidR="00974B5C" w:rsidRDefault="00000000">
            <w:pPr>
              <w:keepNext/>
              <w:keepLines/>
              <w:spacing w:after="0" w:line="240" w:lineRule="auto"/>
              <w:jc w:val="right"/>
            </w:pPr>
            <w:r>
              <w:rPr>
                <w:sz w:val="18"/>
              </w:rPr>
              <w:t>133,3</w:t>
            </w:r>
          </w:p>
        </w:tc>
      </w:tr>
    </w:tbl>
    <w:p w14:paraId="0D676244" w14:textId="77777777" w:rsidR="00974B5C" w:rsidRDefault="00974B5C">
      <w:pPr>
        <w:spacing w:after="0"/>
      </w:pPr>
    </w:p>
    <w:p w14:paraId="52317D47" w14:textId="77777777" w:rsidR="00974B5C" w:rsidRDefault="00000000">
      <w:r>
        <w:t>Povećanje se odnosi na registraciju i tehnički prijevoz vozila.</w:t>
      </w:r>
    </w:p>
    <w:p w14:paraId="4F9FFDEF" w14:textId="77777777" w:rsidR="00974B5C" w:rsidRDefault="00974B5C"/>
    <w:p w14:paraId="47DD9E4E" w14:textId="77777777" w:rsidR="00974B5C"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0FD1A7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0EE011"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B6BBD4"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506AB6"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1AB8E3"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33B51B"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B7A214" w14:textId="77777777" w:rsidR="00974B5C" w:rsidRDefault="00000000">
            <w:pPr>
              <w:keepNext/>
              <w:keepLines/>
              <w:spacing w:after="0" w:line="240" w:lineRule="auto"/>
              <w:jc w:val="center"/>
            </w:pPr>
            <w:r>
              <w:rPr>
                <w:b/>
                <w:sz w:val="18"/>
              </w:rPr>
              <w:t>Indeks (%)</w:t>
            </w:r>
          </w:p>
        </w:tc>
      </w:tr>
      <w:tr w:rsidR="00974B5C" w14:paraId="24E79AB2" w14:textId="77777777">
        <w:tblPrEx>
          <w:tblCellMar>
            <w:top w:w="0" w:type="dxa"/>
            <w:bottom w:w="0" w:type="dxa"/>
          </w:tblCellMar>
        </w:tblPrEx>
        <w:trPr>
          <w:cantSplit/>
          <w:trHeight w:val="560"/>
        </w:trPr>
        <w:tc>
          <w:tcPr>
            <w:tcW w:w="700" w:type="dxa"/>
            <w:tcMar>
              <w:top w:w="0" w:type="dxa"/>
              <w:bottom w:w="0" w:type="dxa"/>
            </w:tcMar>
            <w:vAlign w:val="center"/>
          </w:tcPr>
          <w:p w14:paraId="7921B7E0" w14:textId="77777777" w:rsidR="00974B5C" w:rsidRDefault="00000000">
            <w:pPr>
              <w:keepNext/>
              <w:keepLines/>
              <w:spacing w:after="0" w:line="240" w:lineRule="auto"/>
            </w:pPr>
            <w:r>
              <w:rPr>
                <w:sz w:val="18"/>
              </w:rPr>
              <w:t>3291</w:t>
            </w:r>
          </w:p>
        </w:tc>
        <w:tc>
          <w:tcPr>
            <w:tcW w:w="3180" w:type="dxa"/>
            <w:tcMar>
              <w:top w:w="0" w:type="dxa"/>
              <w:bottom w:w="0" w:type="dxa"/>
            </w:tcMar>
            <w:vAlign w:val="center"/>
          </w:tcPr>
          <w:p w14:paraId="1D98107A" w14:textId="77777777" w:rsidR="00974B5C"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6DBCD4C9" w14:textId="77777777" w:rsidR="00974B5C" w:rsidRDefault="00000000">
            <w:pPr>
              <w:keepNext/>
              <w:keepLines/>
              <w:spacing w:after="0" w:line="240" w:lineRule="auto"/>
            </w:pPr>
            <w:r>
              <w:rPr>
                <w:sz w:val="18"/>
              </w:rPr>
              <w:t>3291</w:t>
            </w:r>
          </w:p>
        </w:tc>
        <w:tc>
          <w:tcPr>
            <w:tcW w:w="1860" w:type="dxa"/>
            <w:tcMar>
              <w:top w:w="0" w:type="dxa"/>
              <w:bottom w:w="0" w:type="dxa"/>
            </w:tcMar>
            <w:vAlign w:val="center"/>
          </w:tcPr>
          <w:p w14:paraId="003C1344" w14:textId="77777777" w:rsidR="00974B5C" w:rsidRDefault="00000000">
            <w:pPr>
              <w:keepNext/>
              <w:keepLines/>
              <w:spacing w:after="0" w:line="240" w:lineRule="auto"/>
              <w:jc w:val="right"/>
            </w:pPr>
            <w:r>
              <w:rPr>
                <w:sz w:val="18"/>
              </w:rPr>
              <w:t>5.137,69</w:t>
            </w:r>
          </w:p>
        </w:tc>
        <w:tc>
          <w:tcPr>
            <w:tcW w:w="1860" w:type="dxa"/>
            <w:tcMar>
              <w:top w:w="0" w:type="dxa"/>
              <w:bottom w:w="0" w:type="dxa"/>
            </w:tcMar>
            <w:vAlign w:val="center"/>
          </w:tcPr>
          <w:p w14:paraId="1BBBCF14" w14:textId="77777777" w:rsidR="00974B5C" w:rsidRDefault="00000000">
            <w:pPr>
              <w:keepNext/>
              <w:keepLines/>
              <w:spacing w:after="0" w:line="240" w:lineRule="auto"/>
              <w:jc w:val="right"/>
            </w:pPr>
            <w:r>
              <w:rPr>
                <w:sz w:val="18"/>
              </w:rPr>
              <w:t>47.856,74</w:t>
            </w:r>
          </w:p>
        </w:tc>
        <w:tc>
          <w:tcPr>
            <w:tcW w:w="700" w:type="dxa"/>
            <w:tcMar>
              <w:top w:w="0" w:type="dxa"/>
              <w:bottom w:w="0" w:type="dxa"/>
            </w:tcMar>
            <w:vAlign w:val="center"/>
          </w:tcPr>
          <w:p w14:paraId="0F03EEAA" w14:textId="77777777" w:rsidR="00974B5C" w:rsidRDefault="00000000">
            <w:pPr>
              <w:keepNext/>
              <w:keepLines/>
              <w:spacing w:after="0" w:line="240" w:lineRule="auto"/>
              <w:jc w:val="right"/>
            </w:pPr>
            <w:r>
              <w:rPr>
                <w:sz w:val="18"/>
              </w:rPr>
              <w:t>931,5</w:t>
            </w:r>
          </w:p>
        </w:tc>
      </w:tr>
    </w:tbl>
    <w:p w14:paraId="64265536" w14:textId="77777777" w:rsidR="00974B5C" w:rsidRDefault="00974B5C">
      <w:pPr>
        <w:spacing w:after="0"/>
      </w:pPr>
    </w:p>
    <w:p w14:paraId="2D9FDB73" w14:textId="77777777" w:rsidR="00974B5C" w:rsidRDefault="00000000">
      <w:r>
        <w:t>Iznos od 47.856,74se odnosi na troškove izbora 2025, vijećničke naknade i volonterska naknada načelnice.</w:t>
      </w:r>
    </w:p>
    <w:p w14:paraId="68B294A8" w14:textId="77777777" w:rsidR="00974B5C" w:rsidRDefault="00974B5C"/>
    <w:p w14:paraId="25FDCE9E" w14:textId="77777777" w:rsidR="00974B5C"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18EC68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C5838"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01277F"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551418"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F0B835"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D79AC7"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598FBF" w14:textId="77777777" w:rsidR="00974B5C" w:rsidRDefault="00000000">
            <w:pPr>
              <w:keepNext/>
              <w:keepLines/>
              <w:spacing w:after="0" w:line="240" w:lineRule="auto"/>
              <w:jc w:val="center"/>
            </w:pPr>
            <w:r>
              <w:rPr>
                <w:b/>
                <w:sz w:val="18"/>
              </w:rPr>
              <w:t>Indeks (%)</w:t>
            </w:r>
          </w:p>
        </w:tc>
      </w:tr>
      <w:tr w:rsidR="00974B5C" w14:paraId="1345F5D5" w14:textId="77777777">
        <w:tblPrEx>
          <w:tblCellMar>
            <w:top w:w="0" w:type="dxa"/>
            <w:bottom w:w="0" w:type="dxa"/>
          </w:tblCellMar>
        </w:tblPrEx>
        <w:trPr>
          <w:cantSplit/>
          <w:trHeight w:val="560"/>
        </w:trPr>
        <w:tc>
          <w:tcPr>
            <w:tcW w:w="700" w:type="dxa"/>
            <w:tcMar>
              <w:top w:w="0" w:type="dxa"/>
              <w:bottom w:w="0" w:type="dxa"/>
            </w:tcMar>
            <w:vAlign w:val="center"/>
          </w:tcPr>
          <w:p w14:paraId="407F6490" w14:textId="77777777" w:rsidR="00974B5C" w:rsidRDefault="00000000">
            <w:pPr>
              <w:keepNext/>
              <w:keepLines/>
              <w:spacing w:after="0" w:line="240" w:lineRule="auto"/>
            </w:pPr>
            <w:r>
              <w:rPr>
                <w:sz w:val="18"/>
              </w:rPr>
              <w:t>3292</w:t>
            </w:r>
          </w:p>
        </w:tc>
        <w:tc>
          <w:tcPr>
            <w:tcW w:w="3180" w:type="dxa"/>
            <w:tcMar>
              <w:top w:w="0" w:type="dxa"/>
              <w:bottom w:w="0" w:type="dxa"/>
            </w:tcMar>
            <w:vAlign w:val="center"/>
          </w:tcPr>
          <w:p w14:paraId="7241BB55" w14:textId="77777777" w:rsidR="00974B5C" w:rsidRDefault="00000000">
            <w:pPr>
              <w:keepNext/>
              <w:keepLines/>
              <w:spacing w:after="0" w:line="240" w:lineRule="auto"/>
            </w:pPr>
            <w:r>
              <w:rPr>
                <w:sz w:val="18"/>
              </w:rPr>
              <w:t>Premije osiguranja</w:t>
            </w:r>
          </w:p>
        </w:tc>
        <w:tc>
          <w:tcPr>
            <w:tcW w:w="700" w:type="dxa"/>
            <w:tcMar>
              <w:top w:w="0" w:type="dxa"/>
              <w:bottom w:w="0" w:type="dxa"/>
            </w:tcMar>
            <w:vAlign w:val="center"/>
          </w:tcPr>
          <w:p w14:paraId="5EBC8F9B" w14:textId="77777777" w:rsidR="00974B5C" w:rsidRDefault="00000000">
            <w:pPr>
              <w:keepNext/>
              <w:keepLines/>
              <w:spacing w:after="0" w:line="240" w:lineRule="auto"/>
            </w:pPr>
            <w:r>
              <w:rPr>
                <w:sz w:val="18"/>
              </w:rPr>
              <w:t>3292</w:t>
            </w:r>
          </w:p>
        </w:tc>
        <w:tc>
          <w:tcPr>
            <w:tcW w:w="1860" w:type="dxa"/>
            <w:tcMar>
              <w:top w:w="0" w:type="dxa"/>
              <w:bottom w:w="0" w:type="dxa"/>
            </w:tcMar>
            <w:vAlign w:val="center"/>
          </w:tcPr>
          <w:p w14:paraId="02DE2486" w14:textId="77777777" w:rsidR="00974B5C" w:rsidRDefault="00000000">
            <w:pPr>
              <w:keepNext/>
              <w:keepLines/>
              <w:spacing w:after="0" w:line="240" w:lineRule="auto"/>
              <w:jc w:val="right"/>
            </w:pPr>
            <w:r>
              <w:rPr>
                <w:sz w:val="18"/>
              </w:rPr>
              <w:t>1.583,17</w:t>
            </w:r>
          </w:p>
        </w:tc>
        <w:tc>
          <w:tcPr>
            <w:tcW w:w="1860" w:type="dxa"/>
            <w:tcMar>
              <w:top w:w="0" w:type="dxa"/>
              <w:bottom w:w="0" w:type="dxa"/>
            </w:tcMar>
            <w:vAlign w:val="center"/>
          </w:tcPr>
          <w:p w14:paraId="1F2BDBC8" w14:textId="77777777" w:rsidR="00974B5C" w:rsidRDefault="00000000">
            <w:pPr>
              <w:keepNext/>
              <w:keepLines/>
              <w:spacing w:after="0" w:line="240" w:lineRule="auto"/>
              <w:jc w:val="right"/>
            </w:pPr>
            <w:r>
              <w:rPr>
                <w:sz w:val="18"/>
              </w:rPr>
              <w:t>2.766,09</w:t>
            </w:r>
          </w:p>
        </w:tc>
        <w:tc>
          <w:tcPr>
            <w:tcW w:w="700" w:type="dxa"/>
            <w:tcMar>
              <w:top w:w="0" w:type="dxa"/>
              <w:bottom w:w="0" w:type="dxa"/>
            </w:tcMar>
            <w:vAlign w:val="center"/>
          </w:tcPr>
          <w:p w14:paraId="709B5CD9" w14:textId="77777777" w:rsidR="00974B5C" w:rsidRDefault="00000000">
            <w:pPr>
              <w:keepNext/>
              <w:keepLines/>
              <w:spacing w:after="0" w:line="240" w:lineRule="auto"/>
              <w:jc w:val="right"/>
            </w:pPr>
            <w:r>
              <w:rPr>
                <w:sz w:val="18"/>
              </w:rPr>
              <w:t>174,7</w:t>
            </w:r>
          </w:p>
        </w:tc>
      </w:tr>
    </w:tbl>
    <w:p w14:paraId="7DF4AFBC" w14:textId="77777777" w:rsidR="00974B5C" w:rsidRDefault="00974B5C">
      <w:pPr>
        <w:spacing w:after="0"/>
      </w:pPr>
    </w:p>
    <w:p w14:paraId="2F06CAD1" w14:textId="77777777" w:rsidR="00974B5C" w:rsidRDefault="00000000">
      <w:r>
        <w:t>Povećanje zbog povećanja iznosa  osiguranja vozila i imovine od šteta i odgovornosti.</w:t>
      </w:r>
    </w:p>
    <w:p w14:paraId="329F6FCB" w14:textId="77777777" w:rsidR="00974B5C" w:rsidRDefault="00974B5C"/>
    <w:p w14:paraId="29909D9B" w14:textId="77777777" w:rsidR="00974B5C"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57FD3D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FB1B80"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5ACF52"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D0641D"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9D98E1"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FEE29A"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48193E" w14:textId="77777777" w:rsidR="00974B5C" w:rsidRDefault="00000000">
            <w:pPr>
              <w:keepNext/>
              <w:keepLines/>
              <w:spacing w:after="0" w:line="240" w:lineRule="auto"/>
              <w:jc w:val="center"/>
            </w:pPr>
            <w:r>
              <w:rPr>
                <w:b/>
                <w:sz w:val="18"/>
              </w:rPr>
              <w:t>Indeks (%)</w:t>
            </w:r>
          </w:p>
        </w:tc>
      </w:tr>
      <w:tr w:rsidR="00974B5C" w14:paraId="355768BB" w14:textId="77777777">
        <w:tblPrEx>
          <w:tblCellMar>
            <w:top w:w="0" w:type="dxa"/>
            <w:bottom w:w="0" w:type="dxa"/>
          </w:tblCellMar>
        </w:tblPrEx>
        <w:trPr>
          <w:cantSplit/>
          <w:trHeight w:val="560"/>
        </w:trPr>
        <w:tc>
          <w:tcPr>
            <w:tcW w:w="700" w:type="dxa"/>
            <w:tcMar>
              <w:top w:w="0" w:type="dxa"/>
              <w:bottom w:w="0" w:type="dxa"/>
            </w:tcMar>
            <w:vAlign w:val="center"/>
          </w:tcPr>
          <w:p w14:paraId="292F6F37" w14:textId="77777777" w:rsidR="00974B5C" w:rsidRDefault="00000000">
            <w:pPr>
              <w:keepNext/>
              <w:keepLines/>
              <w:spacing w:after="0" w:line="240" w:lineRule="auto"/>
            </w:pPr>
            <w:r>
              <w:rPr>
                <w:sz w:val="18"/>
              </w:rPr>
              <w:t>3293</w:t>
            </w:r>
          </w:p>
        </w:tc>
        <w:tc>
          <w:tcPr>
            <w:tcW w:w="3180" w:type="dxa"/>
            <w:tcMar>
              <w:top w:w="0" w:type="dxa"/>
              <w:bottom w:w="0" w:type="dxa"/>
            </w:tcMar>
            <w:vAlign w:val="center"/>
          </w:tcPr>
          <w:p w14:paraId="1BCA69C6" w14:textId="77777777" w:rsidR="00974B5C" w:rsidRDefault="00000000">
            <w:pPr>
              <w:keepNext/>
              <w:keepLines/>
              <w:spacing w:after="0" w:line="240" w:lineRule="auto"/>
            </w:pPr>
            <w:r>
              <w:rPr>
                <w:sz w:val="18"/>
              </w:rPr>
              <w:t>Reprezentacija</w:t>
            </w:r>
          </w:p>
        </w:tc>
        <w:tc>
          <w:tcPr>
            <w:tcW w:w="700" w:type="dxa"/>
            <w:tcMar>
              <w:top w:w="0" w:type="dxa"/>
              <w:bottom w:w="0" w:type="dxa"/>
            </w:tcMar>
            <w:vAlign w:val="center"/>
          </w:tcPr>
          <w:p w14:paraId="3F488DC6" w14:textId="77777777" w:rsidR="00974B5C" w:rsidRDefault="00000000">
            <w:pPr>
              <w:keepNext/>
              <w:keepLines/>
              <w:spacing w:after="0" w:line="240" w:lineRule="auto"/>
            </w:pPr>
            <w:r>
              <w:rPr>
                <w:sz w:val="18"/>
              </w:rPr>
              <w:t>3293</w:t>
            </w:r>
          </w:p>
        </w:tc>
        <w:tc>
          <w:tcPr>
            <w:tcW w:w="1860" w:type="dxa"/>
            <w:tcMar>
              <w:top w:w="0" w:type="dxa"/>
              <w:bottom w:w="0" w:type="dxa"/>
            </w:tcMar>
            <w:vAlign w:val="center"/>
          </w:tcPr>
          <w:p w14:paraId="5D73AB49" w14:textId="77777777" w:rsidR="00974B5C" w:rsidRDefault="00000000">
            <w:pPr>
              <w:keepNext/>
              <w:keepLines/>
              <w:spacing w:after="0" w:line="240" w:lineRule="auto"/>
              <w:jc w:val="right"/>
            </w:pPr>
            <w:r>
              <w:rPr>
                <w:sz w:val="18"/>
              </w:rPr>
              <w:t>2.121,52</w:t>
            </w:r>
          </w:p>
        </w:tc>
        <w:tc>
          <w:tcPr>
            <w:tcW w:w="1860" w:type="dxa"/>
            <w:tcMar>
              <w:top w:w="0" w:type="dxa"/>
              <w:bottom w:w="0" w:type="dxa"/>
            </w:tcMar>
            <w:vAlign w:val="center"/>
          </w:tcPr>
          <w:p w14:paraId="397EFEDD" w14:textId="77777777" w:rsidR="00974B5C" w:rsidRDefault="00000000">
            <w:pPr>
              <w:keepNext/>
              <w:keepLines/>
              <w:spacing w:after="0" w:line="240" w:lineRule="auto"/>
              <w:jc w:val="right"/>
            </w:pPr>
            <w:r>
              <w:rPr>
                <w:sz w:val="18"/>
              </w:rPr>
              <w:t>4.676,08</w:t>
            </w:r>
          </w:p>
        </w:tc>
        <w:tc>
          <w:tcPr>
            <w:tcW w:w="700" w:type="dxa"/>
            <w:tcMar>
              <w:top w:w="0" w:type="dxa"/>
              <w:bottom w:w="0" w:type="dxa"/>
            </w:tcMar>
            <w:vAlign w:val="center"/>
          </w:tcPr>
          <w:p w14:paraId="58043AFA" w14:textId="77777777" w:rsidR="00974B5C" w:rsidRDefault="00000000">
            <w:pPr>
              <w:keepNext/>
              <w:keepLines/>
              <w:spacing w:after="0" w:line="240" w:lineRule="auto"/>
              <w:jc w:val="right"/>
            </w:pPr>
            <w:r>
              <w:rPr>
                <w:sz w:val="18"/>
              </w:rPr>
              <w:t>220,4</w:t>
            </w:r>
          </w:p>
        </w:tc>
      </w:tr>
    </w:tbl>
    <w:p w14:paraId="75599497" w14:textId="77777777" w:rsidR="00974B5C" w:rsidRDefault="00974B5C">
      <w:pPr>
        <w:spacing w:after="0"/>
      </w:pPr>
    </w:p>
    <w:p w14:paraId="08A649B6" w14:textId="77777777" w:rsidR="00974B5C" w:rsidRDefault="00000000">
      <w:r>
        <w:t>Iznos  od 4.676,08 se odnosi na reprezentaciju- razna ugošćavanja</w:t>
      </w:r>
    </w:p>
    <w:p w14:paraId="6E669179" w14:textId="77777777" w:rsidR="00974B5C" w:rsidRDefault="00974B5C"/>
    <w:p w14:paraId="6FE7BE4C" w14:textId="77777777" w:rsidR="00974B5C"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7C2A9A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7C66D1"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81277B"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4856E"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0FAE72"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A40AF4"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450DAE" w14:textId="77777777" w:rsidR="00974B5C" w:rsidRDefault="00000000">
            <w:pPr>
              <w:keepNext/>
              <w:keepLines/>
              <w:spacing w:after="0" w:line="240" w:lineRule="auto"/>
              <w:jc w:val="center"/>
            </w:pPr>
            <w:r>
              <w:rPr>
                <w:b/>
                <w:sz w:val="18"/>
              </w:rPr>
              <w:t>Indeks (%)</w:t>
            </w:r>
          </w:p>
        </w:tc>
      </w:tr>
      <w:tr w:rsidR="00974B5C" w14:paraId="0DF70574" w14:textId="77777777">
        <w:tblPrEx>
          <w:tblCellMar>
            <w:top w:w="0" w:type="dxa"/>
            <w:bottom w:w="0" w:type="dxa"/>
          </w:tblCellMar>
        </w:tblPrEx>
        <w:trPr>
          <w:cantSplit/>
          <w:trHeight w:val="560"/>
        </w:trPr>
        <w:tc>
          <w:tcPr>
            <w:tcW w:w="700" w:type="dxa"/>
            <w:tcMar>
              <w:top w:w="0" w:type="dxa"/>
              <w:bottom w:w="0" w:type="dxa"/>
            </w:tcMar>
            <w:vAlign w:val="center"/>
          </w:tcPr>
          <w:p w14:paraId="096DC6B4" w14:textId="77777777" w:rsidR="00974B5C" w:rsidRDefault="00000000">
            <w:pPr>
              <w:keepNext/>
              <w:keepLines/>
              <w:spacing w:after="0" w:line="240" w:lineRule="auto"/>
            </w:pPr>
            <w:r>
              <w:rPr>
                <w:sz w:val="18"/>
              </w:rPr>
              <w:t>3295</w:t>
            </w:r>
          </w:p>
        </w:tc>
        <w:tc>
          <w:tcPr>
            <w:tcW w:w="3180" w:type="dxa"/>
            <w:tcMar>
              <w:top w:w="0" w:type="dxa"/>
              <w:bottom w:w="0" w:type="dxa"/>
            </w:tcMar>
            <w:vAlign w:val="center"/>
          </w:tcPr>
          <w:p w14:paraId="536C9552" w14:textId="77777777" w:rsidR="00974B5C" w:rsidRDefault="00000000">
            <w:pPr>
              <w:keepNext/>
              <w:keepLines/>
              <w:spacing w:after="0" w:line="240" w:lineRule="auto"/>
            </w:pPr>
            <w:r>
              <w:rPr>
                <w:sz w:val="18"/>
              </w:rPr>
              <w:t>Pristojbe i naknade</w:t>
            </w:r>
          </w:p>
        </w:tc>
        <w:tc>
          <w:tcPr>
            <w:tcW w:w="700" w:type="dxa"/>
            <w:tcMar>
              <w:top w:w="0" w:type="dxa"/>
              <w:bottom w:w="0" w:type="dxa"/>
            </w:tcMar>
            <w:vAlign w:val="center"/>
          </w:tcPr>
          <w:p w14:paraId="07A951E5" w14:textId="77777777" w:rsidR="00974B5C" w:rsidRDefault="00000000">
            <w:pPr>
              <w:keepNext/>
              <w:keepLines/>
              <w:spacing w:after="0" w:line="240" w:lineRule="auto"/>
            </w:pPr>
            <w:r>
              <w:rPr>
                <w:sz w:val="18"/>
              </w:rPr>
              <w:t>3295</w:t>
            </w:r>
          </w:p>
        </w:tc>
        <w:tc>
          <w:tcPr>
            <w:tcW w:w="1860" w:type="dxa"/>
            <w:tcMar>
              <w:top w:w="0" w:type="dxa"/>
              <w:bottom w:w="0" w:type="dxa"/>
            </w:tcMar>
            <w:vAlign w:val="center"/>
          </w:tcPr>
          <w:p w14:paraId="05B76F46" w14:textId="77777777" w:rsidR="00974B5C" w:rsidRDefault="00000000">
            <w:pPr>
              <w:keepNext/>
              <w:keepLines/>
              <w:spacing w:after="0" w:line="240" w:lineRule="auto"/>
              <w:jc w:val="right"/>
            </w:pPr>
            <w:r>
              <w:rPr>
                <w:sz w:val="18"/>
              </w:rPr>
              <w:t>2.521,84</w:t>
            </w:r>
          </w:p>
        </w:tc>
        <w:tc>
          <w:tcPr>
            <w:tcW w:w="1860" w:type="dxa"/>
            <w:tcMar>
              <w:top w:w="0" w:type="dxa"/>
              <w:bottom w:w="0" w:type="dxa"/>
            </w:tcMar>
            <w:vAlign w:val="center"/>
          </w:tcPr>
          <w:p w14:paraId="693482EE" w14:textId="77777777" w:rsidR="00974B5C" w:rsidRDefault="00000000">
            <w:pPr>
              <w:keepNext/>
              <w:keepLines/>
              <w:spacing w:after="0" w:line="240" w:lineRule="auto"/>
              <w:jc w:val="right"/>
            </w:pPr>
            <w:r>
              <w:rPr>
                <w:sz w:val="18"/>
              </w:rPr>
              <w:t>7.696,25</w:t>
            </w:r>
          </w:p>
        </w:tc>
        <w:tc>
          <w:tcPr>
            <w:tcW w:w="700" w:type="dxa"/>
            <w:tcMar>
              <w:top w:w="0" w:type="dxa"/>
              <w:bottom w:w="0" w:type="dxa"/>
            </w:tcMar>
            <w:vAlign w:val="center"/>
          </w:tcPr>
          <w:p w14:paraId="1E8FCEA3" w14:textId="77777777" w:rsidR="00974B5C" w:rsidRDefault="00000000">
            <w:pPr>
              <w:keepNext/>
              <w:keepLines/>
              <w:spacing w:after="0" w:line="240" w:lineRule="auto"/>
              <w:jc w:val="right"/>
            </w:pPr>
            <w:r>
              <w:rPr>
                <w:sz w:val="18"/>
              </w:rPr>
              <w:t>305,2</w:t>
            </w:r>
          </w:p>
        </w:tc>
      </w:tr>
    </w:tbl>
    <w:p w14:paraId="5898FC7F" w14:textId="77777777" w:rsidR="00974B5C" w:rsidRDefault="00974B5C">
      <w:pPr>
        <w:spacing w:after="0"/>
      </w:pPr>
    </w:p>
    <w:p w14:paraId="001B6750" w14:textId="77777777" w:rsidR="00974B5C" w:rsidRDefault="00000000">
      <w:r>
        <w:t>Rashod za pristojbe i naknade iznosi 7.696,25 eura te se odnosi na sudske pristojbe, javnobilježničke naknade, HRT pristojbe,  naknadu koja se plaća za odlaganje komunalnog otpada  te naknadu tj. kaznu za nedovoljno razvrstavanje komunalnog otpada</w:t>
      </w:r>
    </w:p>
    <w:p w14:paraId="36570D01" w14:textId="77777777" w:rsidR="00974B5C" w:rsidRDefault="00000000">
      <w:r>
        <w:t> </w:t>
      </w:r>
    </w:p>
    <w:p w14:paraId="449AA7E5" w14:textId="77777777" w:rsidR="00974B5C" w:rsidRDefault="00974B5C"/>
    <w:p w14:paraId="7C27DDD2" w14:textId="77777777" w:rsidR="00974B5C"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32DE72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75B521"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B285EF"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C8FE97"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DB9564"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FEC918"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7544D5" w14:textId="77777777" w:rsidR="00974B5C" w:rsidRDefault="00000000">
            <w:pPr>
              <w:keepNext/>
              <w:keepLines/>
              <w:spacing w:after="0" w:line="240" w:lineRule="auto"/>
              <w:jc w:val="center"/>
            </w:pPr>
            <w:r>
              <w:rPr>
                <w:b/>
                <w:sz w:val="18"/>
              </w:rPr>
              <w:t>Indeks (%)</w:t>
            </w:r>
          </w:p>
        </w:tc>
      </w:tr>
      <w:tr w:rsidR="00974B5C" w14:paraId="413DBFDC" w14:textId="77777777">
        <w:tblPrEx>
          <w:tblCellMar>
            <w:top w:w="0" w:type="dxa"/>
            <w:bottom w:w="0" w:type="dxa"/>
          </w:tblCellMar>
        </w:tblPrEx>
        <w:trPr>
          <w:cantSplit/>
          <w:trHeight w:val="560"/>
        </w:trPr>
        <w:tc>
          <w:tcPr>
            <w:tcW w:w="700" w:type="dxa"/>
            <w:tcMar>
              <w:top w:w="0" w:type="dxa"/>
              <w:bottom w:w="0" w:type="dxa"/>
            </w:tcMar>
            <w:vAlign w:val="center"/>
          </w:tcPr>
          <w:p w14:paraId="1ACF02A4" w14:textId="77777777" w:rsidR="00974B5C" w:rsidRDefault="00000000">
            <w:pPr>
              <w:keepNext/>
              <w:keepLines/>
              <w:spacing w:after="0" w:line="240" w:lineRule="auto"/>
            </w:pPr>
            <w:r>
              <w:rPr>
                <w:sz w:val="18"/>
              </w:rPr>
              <w:t>3431</w:t>
            </w:r>
          </w:p>
        </w:tc>
        <w:tc>
          <w:tcPr>
            <w:tcW w:w="3180" w:type="dxa"/>
            <w:tcMar>
              <w:top w:w="0" w:type="dxa"/>
              <w:bottom w:w="0" w:type="dxa"/>
            </w:tcMar>
            <w:vAlign w:val="center"/>
          </w:tcPr>
          <w:p w14:paraId="12A4FC56" w14:textId="77777777" w:rsidR="00974B5C"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5E712FE7" w14:textId="77777777" w:rsidR="00974B5C" w:rsidRDefault="00000000">
            <w:pPr>
              <w:keepNext/>
              <w:keepLines/>
              <w:spacing w:after="0" w:line="240" w:lineRule="auto"/>
            </w:pPr>
            <w:r>
              <w:rPr>
                <w:sz w:val="18"/>
              </w:rPr>
              <w:t>3431</w:t>
            </w:r>
          </w:p>
        </w:tc>
        <w:tc>
          <w:tcPr>
            <w:tcW w:w="1860" w:type="dxa"/>
            <w:tcMar>
              <w:top w:w="0" w:type="dxa"/>
              <w:bottom w:w="0" w:type="dxa"/>
            </w:tcMar>
            <w:vAlign w:val="center"/>
          </w:tcPr>
          <w:p w14:paraId="3747A7C1" w14:textId="77777777" w:rsidR="00974B5C" w:rsidRDefault="00000000">
            <w:pPr>
              <w:keepNext/>
              <w:keepLines/>
              <w:spacing w:after="0" w:line="240" w:lineRule="auto"/>
              <w:jc w:val="right"/>
            </w:pPr>
            <w:r>
              <w:rPr>
                <w:sz w:val="18"/>
              </w:rPr>
              <w:t>2.015,96</w:t>
            </w:r>
          </w:p>
        </w:tc>
        <w:tc>
          <w:tcPr>
            <w:tcW w:w="1860" w:type="dxa"/>
            <w:tcMar>
              <w:top w:w="0" w:type="dxa"/>
              <w:bottom w:w="0" w:type="dxa"/>
            </w:tcMar>
            <w:vAlign w:val="center"/>
          </w:tcPr>
          <w:p w14:paraId="52FB7419" w14:textId="77777777" w:rsidR="00974B5C" w:rsidRDefault="00000000">
            <w:pPr>
              <w:keepNext/>
              <w:keepLines/>
              <w:spacing w:after="0" w:line="240" w:lineRule="auto"/>
              <w:jc w:val="right"/>
            </w:pPr>
            <w:r>
              <w:rPr>
                <w:sz w:val="18"/>
              </w:rPr>
              <w:t>2.340,85</w:t>
            </w:r>
          </w:p>
        </w:tc>
        <w:tc>
          <w:tcPr>
            <w:tcW w:w="700" w:type="dxa"/>
            <w:tcMar>
              <w:top w:w="0" w:type="dxa"/>
              <w:bottom w:w="0" w:type="dxa"/>
            </w:tcMar>
            <w:vAlign w:val="center"/>
          </w:tcPr>
          <w:p w14:paraId="13A1CCE2" w14:textId="77777777" w:rsidR="00974B5C" w:rsidRDefault="00000000">
            <w:pPr>
              <w:keepNext/>
              <w:keepLines/>
              <w:spacing w:after="0" w:line="240" w:lineRule="auto"/>
              <w:jc w:val="right"/>
            </w:pPr>
            <w:r>
              <w:rPr>
                <w:sz w:val="18"/>
              </w:rPr>
              <w:t>116,1</w:t>
            </w:r>
          </w:p>
        </w:tc>
      </w:tr>
    </w:tbl>
    <w:p w14:paraId="78F638E1" w14:textId="77777777" w:rsidR="00974B5C" w:rsidRDefault="00974B5C">
      <w:pPr>
        <w:spacing w:after="0"/>
      </w:pPr>
    </w:p>
    <w:p w14:paraId="18F10767" w14:textId="77777777" w:rsidR="00974B5C" w:rsidRDefault="00000000">
      <w:r>
        <w:t>Trošak za bankarske usluge.</w:t>
      </w:r>
    </w:p>
    <w:p w14:paraId="71B5B10A" w14:textId="77777777" w:rsidR="00974B5C" w:rsidRDefault="00974B5C"/>
    <w:p w14:paraId="6255B66E" w14:textId="77777777" w:rsidR="00974B5C"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6AE10C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448616"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D8B197"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21BF27"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AF1814"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3B9A18"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937AF6" w14:textId="77777777" w:rsidR="00974B5C" w:rsidRDefault="00000000">
            <w:pPr>
              <w:keepNext/>
              <w:keepLines/>
              <w:spacing w:after="0" w:line="240" w:lineRule="auto"/>
              <w:jc w:val="center"/>
            </w:pPr>
            <w:r>
              <w:rPr>
                <w:b/>
                <w:sz w:val="18"/>
              </w:rPr>
              <w:t>Indeks (%)</w:t>
            </w:r>
          </w:p>
        </w:tc>
      </w:tr>
      <w:tr w:rsidR="00974B5C" w14:paraId="3F1659BF" w14:textId="77777777">
        <w:tblPrEx>
          <w:tblCellMar>
            <w:top w:w="0" w:type="dxa"/>
            <w:bottom w:w="0" w:type="dxa"/>
          </w:tblCellMar>
        </w:tblPrEx>
        <w:trPr>
          <w:cantSplit/>
          <w:trHeight w:val="560"/>
        </w:trPr>
        <w:tc>
          <w:tcPr>
            <w:tcW w:w="700" w:type="dxa"/>
            <w:tcMar>
              <w:top w:w="0" w:type="dxa"/>
              <w:bottom w:w="0" w:type="dxa"/>
            </w:tcMar>
            <w:vAlign w:val="center"/>
          </w:tcPr>
          <w:p w14:paraId="56BAC175" w14:textId="77777777" w:rsidR="00974B5C" w:rsidRDefault="00000000">
            <w:pPr>
              <w:keepNext/>
              <w:keepLines/>
              <w:spacing w:after="0" w:line="240" w:lineRule="auto"/>
            </w:pPr>
            <w:r>
              <w:rPr>
                <w:sz w:val="18"/>
              </w:rPr>
              <w:t>3433</w:t>
            </w:r>
          </w:p>
        </w:tc>
        <w:tc>
          <w:tcPr>
            <w:tcW w:w="3180" w:type="dxa"/>
            <w:tcMar>
              <w:top w:w="0" w:type="dxa"/>
              <w:bottom w:w="0" w:type="dxa"/>
            </w:tcMar>
            <w:vAlign w:val="center"/>
          </w:tcPr>
          <w:p w14:paraId="559C9705" w14:textId="77777777" w:rsidR="00974B5C" w:rsidRDefault="00000000">
            <w:pPr>
              <w:keepNext/>
              <w:keepLines/>
              <w:spacing w:after="0" w:line="240" w:lineRule="auto"/>
            </w:pPr>
            <w:r>
              <w:rPr>
                <w:sz w:val="18"/>
              </w:rPr>
              <w:t>Zatezne kamate</w:t>
            </w:r>
          </w:p>
        </w:tc>
        <w:tc>
          <w:tcPr>
            <w:tcW w:w="700" w:type="dxa"/>
            <w:tcMar>
              <w:top w:w="0" w:type="dxa"/>
              <w:bottom w:w="0" w:type="dxa"/>
            </w:tcMar>
            <w:vAlign w:val="center"/>
          </w:tcPr>
          <w:p w14:paraId="735A7BC5" w14:textId="77777777" w:rsidR="00974B5C" w:rsidRDefault="00000000">
            <w:pPr>
              <w:keepNext/>
              <w:keepLines/>
              <w:spacing w:after="0" w:line="240" w:lineRule="auto"/>
            </w:pPr>
            <w:r>
              <w:rPr>
                <w:sz w:val="18"/>
              </w:rPr>
              <w:t>3433</w:t>
            </w:r>
          </w:p>
        </w:tc>
        <w:tc>
          <w:tcPr>
            <w:tcW w:w="1860" w:type="dxa"/>
            <w:tcMar>
              <w:top w:w="0" w:type="dxa"/>
              <w:bottom w:w="0" w:type="dxa"/>
            </w:tcMar>
            <w:vAlign w:val="center"/>
          </w:tcPr>
          <w:p w14:paraId="714B366A" w14:textId="77777777" w:rsidR="00974B5C" w:rsidRDefault="00000000">
            <w:pPr>
              <w:keepNext/>
              <w:keepLines/>
              <w:spacing w:after="0" w:line="240" w:lineRule="auto"/>
              <w:jc w:val="right"/>
            </w:pPr>
            <w:r>
              <w:rPr>
                <w:sz w:val="18"/>
              </w:rPr>
              <w:t>0,23</w:t>
            </w:r>
          </w:p>
        </w:tc>
        <w:tc>
          <w:tcPr>
            <w:tcW w:w="1860" w:type="dxa"/>
            <w:tcMar>
              <w:top w:w="0" w:type="dxa"/>
              <w:bottom w:w="0" w:type="dxa"/>
            </w:tcMar>
            <w:vAlign w:val="center"/>
          </w:tcPr>
          <w:p w14:paraId="6D737877" w14:textId="77777777" w:rsidR="00974B5C" w:rsidRDefault="00000000">
            <w:pPr>
              <w:keepNext/>
              <w:keepLines/>
              <w:spacing w:after="0" w:line="240" w:lineRule="auto"/>
              <w:jc w:val="right"/>
            </w:pPr>
            <w:r>
              <w:rPr>
                <w:sz w:val="18"/>
              </w:rPr>
              <w:t>20,82</w:t>
            </w:r>
          </w:p>
        </w:tc>
        <w:tc>
          <w:tcPr>
            <w:tcW w:w="700" w:type="dxa"/>
            <w:tcMar>
              <w:top w:w="0" w:type="dxa"/>
              <w:bottom w:w="0" w:type="dxa"/>
            </w:tcMar>
            <w:vAlign w:val="center"/>
          </w:tcPr>
          <w:p w14:paraId="01E16618" w14:textId="77777777" w:rsidR="00974B5C" w:rsidRDefault="00000000">
            <w:pPr>
              <w:keepNext/>
              <w:keepLines/>
              <w:spacing w:after="0" w:line="240" w:lineRule="auto"/>
              <w:jc w:val="right"/>
            </w:pPr>
            <w:r>
              <w:rPr>
                <w:sz w:val="18"/>
              </w:rPr>
              <w:t>9052,2</w:t>
            </w:r>
          </w:p>
        </w:tc>
      </w:tr>
    </w:tbl>
    <w:p w14:paraId="577DC29D" w14:textId="77777777" w:rsidR="00974B5C" w:rsidRDefault="00974B5C">
      <w:pPr>
        <w:spacing w:after="0"/>
      </w:pPr>
    </w:p>
    <w:p w14:paraId="0E9FE3CB" w14:textId="77777777" w:rsidR="00974B5C" w:rsidRDefault="00000000">
      <w:r>
        <w:t>Iznos se odnosi na kamate za račune tj. prekoračenje roka dospjelosti računa</w:t>
      </w:r>
    </w:p>
    <w:p w14:paraId="26F2A5A9" w14:textId="77777777" w:rsidR="00974B5C" w:rsidRDefault="00974B5C"/>
    <w:p w14:paraId="45C9FFBD" w14:textId="77777777" w:rsidR="00974B5C"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642EEF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64CA1A"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AA3C7C"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DF3066"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507A3D"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6E7769"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E7DDA6" w14:textId="77777777" w:rsidR="00974B5C" w:rsidRDefault="00000000">
            <w:pPr>
              <w:keepNext/>
              <w:keepLines/>
              <w:spacing w:after="0" w:line="240" w:lineRule="auto"/>
              <w:jc w:val="center"/>
            </w:pPr>
            <w:r>
              <w:rPr>
                <w:b/>
                <w:sz w:val="18"/>
              </w:rPr>
              <w:t>Indeks (%)</w:t>
            </w:r>
          </w:p>
        </w:tc>
      </w:tr>
      <w:tr w:rsidR="00974B5C" w14:paraId="31BD3E0F" w14:textId="77777777">
        <w:tblPrEx>
          <w:tblCellMar>
            <w:top w:w="0" w:type="dxa"/>
            <w:bottom w:w="0" w:type="dxa"/>
          </w:tblCellMar>
        </w:tblPrEx>
        <w:trPr>
          <w:cantSplit/>
          <w:trHeight w:val="560"/>
        </w:trPr>
        <w:tc>
          <w:tcPr>
            <w:tcW w:w="700" w:type="dxa"/>
            <w:tcMar>
              <w:top w:w="0" w:type="dxa"/>
              <w:bottom w:w="0" w:type="dxa"/>
            </w:tcMar>
            <w:vAlign w:val="center"/>
          </w:tcPr>
          <w:p w14:paraId="77A19641" w14:textId="77777777" w:rsidR="00974B5C" w:rsidRDefault="00000000">
            <w:pPr>
              <w:keepNext/>
              <w:keepLines/>
              <w:spacing w:after="0" w:line="240" w:lineRule="auto"/>
            </w:pPr>
            <w:r>
              <w:rPr>
                <w:sz w:val="18"/>
              </w:rPr>
              <w:t>3631</w:t>
            </w:r>
          </w:p>
        </w:tc>
        <w:tc>
          <w:tcPr>
            <w:tcW w:w="3180" w:type="dxa"/>
            <w:tcMar>
              <w:top w:w="0" w:type="dxa"/>
              <w:bottom w:w="0" w:type="dxa"/>
            </w:tcMar>
            <w:vAlign w:val="center"/>
          </w:tcPr>
          <w:p w14:paraId="0D0E22CB" w14:textId="77777777" w:rsidR="00974B5C"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72597DDD" w14:textId="77777777" w:rsidR="00974B5C" w:rsidRDefault="00000000">
            <w:pPr>
              <w:keepNext/>
              <w:keepLines/>
              <w:spacing w:after="0" w:line="240" w:lineRule="auto"/>
            </w:pPr>
            <w:r>
              <w:rPr>
                <w:sz w:val="18"/>
              </w:rPr>
              <w:t>3631</w:t>
            </w:r>
          </w:p>
        </w:tc>
        <w:tc>
          <w:tcPr>
            <w:tcW w:w="1860" w:type="dxa"/>
            <w:tcMar>
              <w:top w:w="0" w:type="dxa"/>
              <w:bottom w:w="0" w:type="dxa"/>
            </w:tcMar>
            <w:vAlign w:val="center"/>
          </w:tcPr>
          <w:p w14:paraId="6E3E895C" w14:textId="77777777" w:rsidR="00974B5C" w:rsidRDefault="00000000">
            <w:pPr>
              <w:keepNext/>
              <w:keepLines/>
              <w:spacing w:after="0" w:line="240" w:lineRule="auto"/>
              <w:jc w:val="right"/>
            </w:pPr>
            <w:r>
              <w:rPr>
                <w:sz w:val="18"/>
              </w:rPr>
              <w:t>5.097,84</w:t>
            </w:r>
          </w:p>
        </w:tc>
        <w:tc>
          <w:tcPr>
            <w:tcW w:w="1860" w:type="dxa"/>
            <w:tcMar>
              <w:top w:w="0" w:type="dxa"/>
              <w:bottom w:w="0" w:type="dxa"/>
            </w:tcMar>
            <w:vAlign w:val="center"/>
          </w:tcPr>
          <w:p w14:paraId="702874D9" w14:textId="77777777" w:rsidR="00974B5C" w:rsidRDefault="00000000">
            <w:pPr>
              <w:keepNext/>
              <w:keepLines/>
              <w:spacing w:after="0" w:line="240" w:lineRule="auto"/>
              <w:jc w:val="right"/>
            </w:pPr>
            <w:r>
              <w:rPr>
                <w:sz w:val="18"/>
              </w:rPr>
              <w:t>6.956,04</w:t>
            </w:r>
          </w:p>
        </w:tc>
        <w:tc>
          <w:tcPr>
            <w:tcW w:w="700" w:type="dxa"/>
            <w:tcMar>
              <w:top w:w="0" w:type="dxa"/>
              <w:bottom w:w="0" w:type="dxa"/>
            </w:tcMar>
            <w:vAlign w:val="center"/>
          </w:tcPr>
          <w:p w14:paraId="5B178E5C" w14:textId="77777777" w:rsidR="00974B5C" w:rsidRDefault="00000000">
            <w:pPr>
              <w:keepNext/>
              <w:keepLines/>
              <w:spacing w:after="0" w:line="240" w:lineRule="auto"/>
              <w:jc w:val="right"/>
            </w:pPr>
            <w:r>
              <w:rPr>
                <w:sz w:val="18"/>
              </w:rPr>
              <w:t>136,5</w:t>
            </w:r>
          </w:p>
        </w:tc>
      </w:tr>
    </w:tbl>
    <w:p w14:paraId="440288BC" w14:textId="77777777" w:rsidR="00974B5C" w:rsidRDefault="00974B5C">
      <w:pPr>
        <w:spacing w:after="0"/>
      </w:pPr>
    </w:p>
    <w:p w14:paraId="3044727C" w14:textId="77777777" w:rsidR="00974B5C" w:rsidRDefault="00000000">
      <w:r>
        <w:t>Iznos od 6.956,04 se odnosi na  plaću i ostale troškove komunalnog redara koji obavlja posao u našoj općini prema sporazumu o financiranju</w:t>
      </w:r>
    </w:p>
    <w:p w14:paraId="4CE8BEE3" w14:textId="77777777" w:rsidR="00974B5C" w:rsidRDefault="00974B5C"/>
    <w:p w14:paraId="17EFDB04" w14:textId="77777777" w:rsidR="00974B5C"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0FC381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B1E60B"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D319AD"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CC7FA"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E0C29E"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9730E5"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3B80A9" w14:textId="77777777" w:rsidR="00974B5C" w:rsidRDefault="00000000">
            <w:pPr>
              <w:keepNext/>
              <w:keepLines/>
              <w:spacing w:after="0" w:line="240" w:lineRule="auto"/>
              <w:jc w:val="center"/>
            </w:pPr>
            <w:r>
              <w:rPr>
                <w:b/>
                <w:sz w:val="18"/>
              </w:rPr>
              <w:t>Indeks (%)</w:t>
            </w:r>
          </w:p>
        </w:tc>
      </w:tr>
      <w:tr w:rsidR="00974B5C" w14:paraId="0E620BA0" w14:textId="77777777">
        <w:tblPrEx>
          <w:tblCellMar>
            <w:top w:w="0" w:type="dxa"/>
            <w:bottom w:w="0" w:type="dxa"/>
          </w:tblCellMar>
        </w:tblPrEx>
        <w:trPr>
          <w:cantSplit/>
          <w:trHeight w:val="560"/>
        </w:trPr>
        <w:tc>
          <w:tcPr>
            <w:tcW w:w="700" w:type="dxa"/>
            <w:tcMar>
              <w:top w:w="0" w:type="dxa"/>
              <w:bottom w:w="0" w:type="dxa"/>
            </w:tcMar>
            <w:vAlign w:val="center"/>
          </w:tcPr>
          <w:p w14:paraId="5A3C94A4" w14:textId="77777777" w:rsidR="00974B5C" w:rsidRDefault="00000000">
            <w:pPr>
              <w:keepNext/>
              <w:keepLines/>
              <w:spacing w:after="0" w:line="240" w:lineRule="auto"/>
            </w:pPr>
            <w:r>
              <w:rPr>
                <w:sz w:val="18"/>
              </w:rPr>
              <w:t>3661</w:t>
            </w:r>
          </w:p>
        </w:tc>
        <w:tc>
          <w:tcPr>
            <w:tcW w:w="3180" w:type="dxa"/>
            <w:tcMar>
              <w:top w:w="0" w:type="dxa"/>
              <w:bottom w:w="0" w:type="dxa"/>
            </w:tcMar>
            <w:vAlign w:val="center"/>
          </w:tcPr>
          <w:p w14:paraId="611F3B62" w14:textId="77777777" w:rsidR="00974B5C"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0635F659" w14:textId="77777777" w:rsidR="00974B5C" w:rsidRDefault="00000000">
            <w:pPr>
              <w:keepNext/>
              <w:keepLines/>
              <w:spacing w:after="0" w:line="240" w:lineRule="auto"/>
            </w:pPr>
            <w:r>
              <w:rPr>
                <w:sz w:val="18"/>
              </w:rPr>
              <w:t>3661</w:t>
            </w:r>
          </w:p>
        </w:tc>
        <w:tc>
          <w:tcPr>
            <w:tcW w:w="1860" w:type="dxa"/>
            <w:tcMar>
              <w:top w:w="0" w:type="dxa"/>
              <w:bottom w:w="0" w:type="dxa"/>
            </w:tcMar>
            <w:vAlign w:val="center"/>
          </w:tcPr>
          <w:p w14:paraId="5F385C58" w14:textId="77777777" w:rsidR="00974B5C" w:rsidRDefault="00000000">
            <w:pPr>
              <w:keepNext/>
              <w:keepLines/>
              <w:spacing w:after="0" w:line="240" w:lineRule="auto"/>
              <w:jc w:val="right"/>
            </w:pPr>
            <w:r>
              <w:rPr>
                <w:sz w:val="18"/>
              </w:rPr>
              <w:t>26.116,34</w:t>
            </w:r>
          </w:p>
        </w:tc>
        <w:tc>
          <w:tcPr>
            <w:tcW w:w="1860" w:type="dxa"/>
            <w:tcMar>
              <w:top w:w="0" w:type="dxa"/>
              <w:bottom w:w="0" w:type="dxa"/>
            </w:tcMar>
            <w:vAlign w:val="center"/>
          </w:tcPr>
          <w:p w14:paraId="103B75A9" w14:textId="77777777" w:rsidR="00974B5C" w:rsidRDefault="00000000">
            <w:pPr>
              <w:keepNext/>
              <w:keepLines/>
              <w:spacing w:after="0" w:line="240" w:lineRule="auto"/>
              <w:jc w:val="right"/>
            </w:pPr>
            <w:r>
              <w:rPr>
                <w:sz w:val="18"/>
              </w:rPr>
              <w:t>34.604,18</w:t>
            </w:r>
          </w:p>
        </w:tc>
        <w:tc>
          <w:tcPr>
            <w:tcW w:w="700" w:type="dxa"/>
            <w:tcMar>
              <w:top w:w="0" w:type="dxa"/>
              <w:bottom w:w="0" w:type="dxa"/>
            </w:tcMar>
            <w:vAlign w:val="center"/>
          </w:tcPr>
          <w:p w14:paraId="541D9821" w14:textId="77777777" w:rsidR="00974B5C" w:rsidRDefault="00000000">
            <w:pPr>
              <w:keepNext/>
              <w:keepLines/>
              <w:spacing w:after="0" w:line="240" w:lineRule="auto"/>
              <w:jc w:val="right"/>
            </w:pPr>
            <w:r>
              <w:rPr>
                <w:sz w:val="18"/>
              </w:rPr>
              <w:t>132,5</w:t>
            </w:r>
          </w:p>
        </w:tc>
      </w:tr>
    </w:tbl>
    <w:p w14:paraId="6264A03C" w14:textId="77777777" w:rsidR="00974B5C" w:rsidRDefault="00974B5C">
      <w:pPr>
        <w:spacing w:after="0"/>
      </w:pPr>
    </w:p>
    <w:p w14:paraId="496416F5" w14:textId="77777777" w:rsidR="00974B5C" w:rsidRDefault="00000000">
      <w:r>
        <w:t>Odnosi se na  financiranje cjelokupnog trošak vrtića za jednu grupu djece od plaće tete do materijalnih troškova.</w:t>
      </w:r>
    </w:p>
    <w:p w14:paraId="1FD183D5" w14:textId="77777777" w:rsidR="00974B5C" w:rsidRDefault="00974B5C"/>
    <w:p w14:paraId="43BB3927" w14:textId="77777777" w:rsidR="00974B5C"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4F5DFD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8C5E8B"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13B804"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8729CD"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5B733B"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6060C9"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6DBFA6" w14:textId="77777777" w:rsidR="00974B5C" w:rsidRDefault="00000000">
            <w:pPr>
              <w:keepNext/>
              <w:keepLines/>
              <w:spacing w:after="0" w:line="240" w:lineRule="auto"/>
              <w:jc w:val="center"/>
            </w:pPr>
            <w:r>
              <w:rPr>
                <w:b/>
                <w:sz w:val="18"/>
              </w:rPr>
              <w:t>Indeks (%)</w:t>
            </w:r>
          </w:p>
        </w:tc>
      </w:tr>
      <w:tr w:rsidR="00974B5C" w14:paraId="34018E47" w14:textId="77777777">
        <w:tblPrEx>
          <w:tblCellMar>
            <w:top w:w="0" w:type="dxa"/>
            <w:bottom w:w="0" w:type="dxa"/>
          </w:tblCellMar>
        </w:tblPrEx>
        <w:trPr>
          <w:cantSplit/>
          <w:trHeight w:val="560"/>
        </w:trPr>
        <w:tc>
          <w:tcPr>
            <w:tcW w:w="700" w:type="dxa"/>
            <w:tcMar>
              <w:top w:w="0" w:type="dxa"/>
              <w:bottom w:w="0" w:type="dxa"/>
            </w:tcMar>
            <w:vAlign w:val="center"/>
          </w:tcPr>
          <w:p w14:paraId="63C57D55" w14:textId="77777777" w:rsidR="00974B5C" w:rsidRDefault="00000000">
            <w:pPr>
              <w:keepNext/>
              <w:keepLines/>
              <w:spacing w:after="0" w:line="240" w:lineRule="auto"/>
            </w:pPr>
            <w:r>
              <w:rPr>
                <w:sz w:val="18"/>
              </w:rPr>
              <w:t>38</w:t>
            </w:r>
          </w:p>
        </w:tc>
        <w:tc>
          <w:tcPr>
            <w:tcW w:w="3180" w:type="dxa"/>
            <w:tcMar>
              <w:top w:w="0" w:type="dxa"/>
              <w:bottom w:w="0" w:type="dxa"/>
            </w:tcMar>
            <w:vAlign w:val="center"/>
          </w:tcPr>
          <w:p w14:paraId="2A66209D" w14:textId="77777777" w:rsidR="00974B5C"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2AFDEEBE" w14:textId="77777777" w:rsidR="00974B5C" w:rsidRDefault="00000000">
            <w:pPr>
              <w:keepNext/>
              <w:keepLines/>
              <w:spacing w:after="0" w:line="240" w:lineRule="auto"/>
            </w:pPr>
            <w:r>
              <w:rPr>
                <w:sz w:val="18"/>
              </w:rPr>
              <w:t>38</w:t>
            </w:r>
          </w:p>
        </w:tc>
        <w:tc>
          <w:tcPr>
            <w:tcW w:w="1860" w:type="dxa"/>
            <w:tcMar>
              <w:top w:w="0" w:type="dxa"/>
              <w:bottom w:w="0" w:type="dxa"/>
            </w:tcMar>
            <w:vAlign w:val="center"/>
          </w:tcPr>
          <w:p w14:paraId="6ABCC257" w14:textId="77777777" w:rsidR="00974B5C" w:rsidRDefault="00000000">
            <w:pPr>
              <w:keepNext/>
              <w:keepLines/>
              <w:spacing w:after="0" w:line="240" w:lineRule="auto"/>
              <w:jc w:val="right"/>
            </w:pPr>
            <w:r>
              <w:rPr>
                <w:sz w:val="18"/>
              </w:rPr>
              <w:t>191.340,54</w:t>
            </w:r>
          </w:p>
        </w:tc>
        <w:tc>
          <w:tcPr>
            <w:tcW w:w="1860" w:type="dxa"/>
            <w:tcMar>
              <w:top w:w="0" w:type="dxa"/>
              <w:bottom w:w="0" w:type="dxa"/>
            </w:tcMar>
            <w:vAlign w:val="center"/>
          </w:tcPr>
          <w:p w14:paraId="66788335" w14:textId="77777777" w:rsidR="00974B5C" w:rsidRDefault="00000000">
            <w:pPr>
              <w:keepNext/>
              <w:keepLines/>
              <w:spacing w:after="0" w:line="240" w:lineRule="auto"/>
              <w:jc w:val="right"/>
            </w:pPr>
            <w:r>
              <w:rPr>
                <w:sz w:val="18"/>
              </w:rPr>
              <w:t>374.522,33</w:t>
            </w:r>
          </w:p>
        </w:tc>
        <w:tc>
          <w:tcPr>
            <w:tcW w:w="700" w:type="dxa"/>
            <w:tcMar>
              <w:top w:w="0" w:type="dxa"/>
              <w:bottom w:w="0" w:type="dxa"/>
            </w:tcMar>
            <w:vAlign w:val="center"/>
          </w:tcPr>
          <w:p w14:paraId="384E6EE8" w14:textId="77777777" w:rsidR="00974B5C" w:rsidRDefault="00000000">
            <w:pPr>
              <w:keepNext/>
              <w:keepLines/>
              <w:spacing w:after="0" w:line="240" w:lineRule="auto"/>
              <w:jc w:val="right"/>
            </w:pPr>
            <w:r>
              <w:rPr>
                <w:sz w:val="18"/>
              </w:rPr>
              <w:t>195,7</w:t>
            </w:r>
          </w:p>
        </w:tc>
      </w:tr>
    </w:tbl>
    <w:p w14:paraId="3ABC0506" w14:textId="77777777" w:rsidR="00974B5C" w:rsidRDefault="00974B5C">
      <w:pPr>
        <w:spacing w:after="0"/>
      </w:pPr>
    </w:p>
    <w:p w14:paraId="5A1978BE" w14:textId="77777777" w:rsidR="00974B5C" w:rsidRDefault="00000000">
      <w:r>
        <w:t>Povećanje  se najvećim dijelom odnosi na veći broj prijavitelja (mladih obitelji) na mjeru stambenog zbrinjavanja odnosno stjecanja prve nekretnine a ostalo na  kapitalne donacije i tekuće donacije udrugama i vjerskim zajednicama koje djeluju na području općine</w:t>
      </w:r>
    </w:p>
    <w:p w14:paraId="1E39E864" w14:textId="77777777" w:rsidR="00974B5C" w:rsidRDefault="00000000">
      <w:r>
        <w:t> </w:t>
      </w:r>
    </w:p>
    <w:p w14:paraId="2E95163A" w14:textId="77777777" w:rsidR="00974B5C" w:rsidRDefault="00974B5C"/>
    <w:p w14:paraId="28827701" w14:textId="77777777" w:rsidR="00974B5C"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26C5BE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1C233A"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8034F2"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7C0FB0"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72C2BA"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A55A12"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7D522A" w14:textId="77777777" w:rsidR="00974B5C" w:rsidRDefault="00000000">
            <w:pPr>
              <w:keepNext/>
              <w:keepLines/>
              <w:spacing w:after="0" w:line="240" w:lineRule="auto"/>
              <w:jc w:val="center"/>
            </w:pPr>
            <w:r>
              <w:rPr>
                <w:b/>
                <w:sz w:val="18"/>
              </w:rPr>
              <w:t>Indeks (%)</w:t>
            </w:r>
          </w:p>
        </w:tc>
      </w:tr>
      <w:tr w:rsidR="00974B5C" w14:paraId="0F48E201" w14:textId="77777777">
        <w:tblPrEx>
          <w:tblCellMar>
            <w:top w:w="0" w:type="dxa"/>
            <w:bottom w:w="0" w:type="dxa"/>
          </w:tblCellMar>
        </w:tblPrEx>
        <w:trPr>
          <w:cantSplit/>
          <w:trHeight w:val="560"/>
        </w:trPr>
        <w:tc>
          <w:tcPr>
            <w:tcW w:w="700" w:type="dxa"/>
            <w:tcMar>
              <w:top w:w="0" w:type="dxa"/>
              <w:bottom w:w="0" w:type="dxa"/>
            </w:tcMar>
            <w:vAlign w:val="center"/>
          </w:tcPr>
          <w:p w14:paraId="0B34572C" w14:textId="77777777" w:rsidR="00974B5C" w:rsidRDefault="00000000">
            <w:pPr>
              <w:keepNext/>
              <w:keepLines/>
              <w:spacing w:after="0" w:line="240" w:lineRule="auto"/>
            </w:pPr>
            <w:r>
              <w:rPr>
                <w:sz w:val="18"/>
              </w:rPr>
              <w:t>386</w:t>
            </w:r>
          </w:p>
        </w:tc>
        <w:tc>
          <w:tcPr>
            <w:tcW w:w="3180" w:type="dxa"/>
            <w:tcMar>
              <w:top w:w="0" w:type="dxa"/>
              <w:bottom w:w="0" w:type="dxa"/>
            </w:tcMar>
            <w:vAlign w:val="center"/>
          </w:tcPr>
          <w:p w14:paraId="7200F106" w14:textId="77777777" w:rsidR="00974B5C" w:rsidRDefault="00000000">
            <w:pPr>
              <w:keepNext/>
              <w:keepLines/>
              <w:spacing w:after="0" w:line="240" w:lineRule="auto"/>
            </w:pPr>
            <w:r>
              <w:rPr>
                <w:sz w:val="18"/>
              </w:rPr>
              <w:t>Kapitalne pomoći (šifre 3861 do 3865)</w:t>
            </w:r>
          </w:p>
        </w:tc>
        <w:tc>
          <w:tcPr>
            <w:tcW w:w="700" w:type="dxa"/>
            <w:tcMar>
              <w:top w:w="0" w:type="dxa"/>
              <w:bottom w:w="0" w:type="dxa"/>
            </w:tcMar>
            <w:vAlign w:val="center"/>
          </w:tcPr>
          <w:p w14:paraId="292B5C4E" w14:textId="77777777" w:rsidR="00974B5C" w:rsidRDefault="00000000">
            <w:pPr>
              <w:keepNext/>
              <w:keepLines/>
              <w:spacing w:after="0" w:line="240" w:lineRule="auto"/>
            </w:pPr>
            <w:r>
              <w:rPr>
                <w:sz w:val="18"/>
              </w:rPr>
              <w:t>386</w:t>
            </w:r>
          </w:p>
        </w:tc>
        <w:tc>
          <w:tcPr>
            <w:tcW w:w="1860" w:type="dxa"/>
            <w:tcMar>
              <w:top w:w="0" w:type="dxa"/>
              <w:bottom w:w="0" w:type="dxa"/>
            </w:tcMar>
            <w:vAlign w:val="center"/>
          </w:tcPr>
          <w:p w14:paraId="7F80F02D" w14:textId="77777777" w:rsidR="00974B5C" w:rsidRDefault="00000000">
            <w:pPr>
              <w:keepNext/>
              <w:keepLines/>
              <w:spacing w:after="0" w:line="240" w:lineRule="auto"/>
              <w:jc w:val="right"/>
            </w:pPr>
            <w:r>
              <w:rPr>
                <w:sz w:val="18"/>
              </w:rPr>
              <w:t>78.653,77</w:t>
            </w:r>
          </w:p>
        </w:tc>
        <w:tc>
          <w:tcPr>
            <w:tcW w:w="1860" w:type="dxa"/>
            <w:tcMar>
              <w:top w:w="0" w:type="dxa"/>
              <w:bottom w:w="0" w:type="dxa"/>
            </w:tcMar>
            <w:vAlign w:val="center"/>
          </w:tcPr>
          <w:p w14:paraId="108AF85E" w14:textId="77777777" w:rsidR="00974B5C" w:rsidRDefault="00000000">
            <w:pPr>
              <w:keepNext/>
              <w:keepLines/>
              <w:spacing w:after="0" w:line="240" w:lineRule="auto"/>
              <w:jc w:val="right"/>
            </w:pPr>
            <w:r>
              <w:rPr>
                <w:sz w:val="18"/>
              </w:rPr>
              <w:t>254.274,46</w:t>
            </w:r>
          </w:p>
        </w:tc>
        <w:tc>
          <w:tcPr>
            <w:tcW w:w="700" w:type="dxa"/>
            <w:tcMar>
              <w:top w:w="0" w:type="dxa"/>
              <w:bottom w:w="0" w:type="dxa"/>
            </w:tcMar>
            <w:vAlign w:val="center"/>
          </w:tcPr>
          <w:p w14:paraId="3E66F81A" w14:textId="77777777" w:rsidR="00974B5C" w:rsidRDefault="00000000">
            <w:pPr>
              <w:keepNext/>
              <w:keepLines/>
              <w:spacing w:after="0" w:line="240" w:lineRule="auto"/>
              <w:jc w:val="right"/>
            </w:pPr>
            <w:r>
              <w:rPr>
                <w:sz w:val="18"/>
              </w:rPr>
              <w:t>323,3</w:t>
            </w:r>
          </w:p>
        </w:tc>
      </w:tr>
    </w:tbl>
    <w:p w14:paraId="7A12EAB2" w14:textId="77777777" w:rsidR="00974B5C" w:rsidRDefault="00974B5C">
      <w:pPr>
        <w:spacing w:after="0"/>
      </w:pPr>
    </w:p>
    <w:p w14:paraId="42C2A08E" w14:textId="77777777" w:rsidR="00974B5C" w:rsidRDefault="00000000">
      <w:r>
        <w:t>Iznos od 254.274,46 se odnosi na financiranje troškova  izgradnje odvodnje ( kanalizacije) u naseljima općine </w:t>
      </w:r>
    </w:p>
    <w:p w14:paraId="3F964506" w14:textId="77777777" w:rsidR="00974B5C" w:rsidRDefault="00974B5C"/>
    <w:p w14:paraId="02E2BE11" w14:textId="77777777" w:rsidR="00974B5C"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28F03E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A23F35"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5FB477"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9B0C66"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3796B8"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9DFFBD"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68C8E8" w14:textId="77777777" w:rsidR="00974B5C" w:rsidRDefault="00000000">
            <w:pPr>
              <w:keepNext/>
              <w:keepLines/>
              <w:spacing w:after="0" w:line="240" w:lineRule="auto"/>
              <w:jc w:val="center"/>
            </w:pPr>
            <w:r>
              <w:rPr>
                <w:b/>
                <w:sz w:val="18"/>
              </w:rPr>
              <w:t>Indeks (%)</w:t>
            </w:r>
          </w:p>
        </w:tc>
      </w:tr>
      <w:tr w:rsidR="00974B5C" w14:paraId="449A45B7" w14:textId="77777777">
        <w:tblPrEx>
          <w:tblCellMar>
            <w:top w:w="0" w:type="dxa"/>
            <w:bottom w:w="0" w:type="dxa"/>
          </w:tblCellMar>
        </w:tblPrEx>
        <w:trPr>
          <w:cantSplit/>
          <w:trHeight w:val="560"/>
        </w:trPr>
        <w:tc>
          <w:tcPr>
            <w:tcW w:w="700" w:type="dxa"/>
            <w:tcMar>
              <w:top w:w="0" w:type="dxa"/>
              <w:bottom w:w="0" w:type="dxa"/>
            </w:tcMar>
            <w:vAlign w:val="center"/>
          </w:tcPr>
          <w:p w14:paraId="239C91FF" w14:textId="77777777" w:rsidR="00974B5C" w:rsidRDefault="00000000">
            <w:pPr>
              <w:keepNext/>
              <w:keepLines/>
              <w:spacing w:after="0" w:line="240" w:lineRule="auto"/>
            </w:pPr>
            <w:r>
              <w:rPr>
                <w:sz w:val="18"/>
              </w:rPr>
              <w:t>4124</w:t>
            </w:r>
          </w:p>
        </w:tc>
        <w:tc>
          <w:tcPr>
            <w:tcW w:w="3180" w:type="dxa"/>
            <w:tcMar>
              <w:top w:w="0" w:type="dxa"/>
              <w:bottom w:w="0" w:type="dxa"/>
            </w:tcMar>
            <w:vAlign w:val="center"/>
          </w:tcPr>
          <w:p w14:paraId="4899B742" w14:textId="77777777" w:rsidR="00974B5C" w:rsidRDefault="00000000">
            <w:pPr>
              <w:keepNext/>
              <w:keepLines/>
              <w:spacing w:after="0" w:line="240" w:lineRule="auto"/>
            </w:pPr>
            <w:r>
              <w:rPr>
                <w:sz w:val="18"/>
              </w:rPr>
              <w:t>Ostala prava</w:t>
            </w:r>
          </w:p>
        </w:tc>
        <w:tc>
          <w:tcPr>
            <w:tcW w:w="700" w:type="dxa"/>
            <w:tcMar>
              <w:top w:w="0" w:type="dxa"/>
              <w:bottom w:w="0" w:type="dxa"/>
            </w:tcMar>
            <w:vAlign w:val="center"/>
          </w:tcPr>
          <w:p w14:paraId="4C182DBA" w14:textId="77777777" w:rsidR="00974B5C" w:rsidRDefault="00000000">
            <w:pPr>
              <w:keepNext/>
              <w:keepLines/>
              <w:spacing w:after="0" w:line="240" w:lineRule="auto"/>
            </w:pPr>
            <w:r>
              <w:rPr>
                <w:sz w:val="18"/>
              </w:rPr>
              <w:t>4124</w:t>
            </w:r>
          </w:p>
        </w:tc>
        <w:tc>
          <w:tcPr>
            <w:tcW w:w="1860" w:type="dxa"/>
            <w:tcMar>
              <w:top w:w="0" w:type="dxa"/>
              <w:bottom w:w="0" w:type="dxa"/>
            </w:tcMar>
            <w:vAlign w:val="center"/>
          </w:tcPr>
          <w:p w14:paraId="569F0EBD" w14:textId="77777777" w:rsidR="00974B5C" w:rsidRDefault="00000000">
            <w:pPr>
              <w:keepNext/>
              <w:keepLines/>
              <w:spacing w:after="0" w:line="240" w:lineRule="auto"/>
              <w:jc w:val="right"/>
            </w:pPr>
            <w:r>
              <w:rPr>
                <w:sz w:val="18"/>
              </w:rPr>
              <w:t>12.000,00</w:t>
            </w:r>
          </w:p>
        </w:tc>
        <w:tc>
          <w:tcPr>
            <w:tcW w:w="1860" w:type="dxa"/>
            <w:tcMar>
              <w:top w:w="0" w:type="dxa"/>
              <w:bottom w:w="0" w:type="dxa"/>
            </w:tcMar>
            <w:vAlign w:val="center"/>
          </w:tcPr>
          <w:p w14:paraId="2F053E28" w14:textId="77777777" w:rsidR="00974B5C" w:rsidRDefault="00000000">
            <w:pPr>
              <w:keepNext/>
              <w:keepLines/>
              <w:spacing w:after="0" w:line="240" w:lineRule="auto"/>
              <w:jc w:val="right"/>
            </w:pPr>
            <w:r>
              <w:rPr>
                <w:sz w:val="18"/>
              </w:rPr>
              <w:t>14.000,00</w:t>
            </w:r>
          </w:p>
        </w:tc>
        <w:tc>
          <w:tcPr>
            <w:tcW w:w="700" w:type="dxa"/>
            <w:tcMar>
              <w:top w:w="0" w:type="dxa"/>
              <w:bottom w:w="0" w:type="dxa"/>
            </w:tcMar>
            <w:vAlign w:val="center"/>
          </w:tcPr>
          <w:p w14:paraId="772E41AB" w14:textId="77777777" w:rsidR="00974B5C" w:rsidRDefault="00000000">
            <w:pPr>
              <w:keepNext/>
              <w:keepLines/>
              <w:spacing w:after="0" w:line="240" w:lineRule="auto"/>
              <w:jc w:val="right"/>
            </w:pPr>
            <w:r>
              <w:rPr>
                <w:sz w:val="18"/>
              </w:rPr>
              <w:t>116,7</w:t>
            </w:r>
          </w:p>
        </w:tc>
      </w:tr>
    </w:tbl>
    <w:p w14:paraId="6D715C6A" w14:textId="77777777" w:rsidR="00974B5C" w:rsidRDefault="00974B5C">
      <w:pPr>
        <w:spacing w:after="0"/>
      </w:pPr>
    </w:p>
    <w:p w14:paraId="30F32DAB" w14:textId="77777777" w:rsidR="00974B5C" w:rsidRDefault="00000000">
      <w:r>
        <w:t xml:space="preserve">Iznos se odnosi na arheološko istraživanje utvrde Sv. Ivan </w:t>
      </w:r>
      <w:proofErr w:type="spellStart"/>
      <w:r>
        <w:t>Trnava</w:t>
      </w:r>
      <w:proofErr w:type="spellEnd"/>
      <w:r>
        <w:t xml:space="preserve"> koje  obavlja gradski muzej Nova Gradiška</w:t>
      </w:r>
    </w:p>
    <w:p w14:paraId="7C2BC6F8" w14:textId="77777777" w:rsidR="00974B5C" w:rsidRDefault="00974B5C"/>
    <w:p w14:paraId="367D0DBB" w14:textId="77777777" w:rsidR="00974B5C"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6A7B90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849FAA"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EE29B4"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C2BC6D"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C379DE" w14:textId="77777777" w:rsidR="00974B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26EC14" w14:textId="77777777" w:rsidR="00974B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3B781C" w14:textId="77777777" w:rsidR="00974B5C" w:rsidRDefault="00000000">
            <w:pPr>
              <w:keepNext/>
              <w:keepLines/>
              <w:spacing w:after="0" w:line="240" w:lineRule="auto"/>
              <w:jc w:val="center"/>
            </w:pPr>
            <w:r>
              <w:rPr>
                <w:b/>
                <w:sz w:val="18"/>
              </w:rPr>
              <w:t>Indeks (%)</w:t>
            </w:r>
          </w:p>
        </w:tc>
      </w:tr>
      <w:tr w:rsidR="00974B5C" w14:paraId="6C8C58AF" w14:textId="77777777">
        <w:tblPrEx>
          <w:tblCellMar>
            <w:top w:w="0" w:type="dxa"/>
            <w:bottom w:w="0" w:type="dxa"/>
          </w:tblCellMar>
        </w:tblPrEx>
        <w:trPr>
          <w:cantSplit/>
          <w:trHeight w:val="560"/>
        </w:trPr>
        <w:tc>
          <w:tcPr>
            <w:tcW w:w="700" w:type="dxa"/>
            <w:tcMar>
              <w:top w:w="0" w:type="dxa"/>
              <w:bottom w:w="0" w:type="dxa"/>
            </w:tcMar>
            <w:vAlign w:val="center"/>
          </w:tcPr>
          <w:p w14:paraId="21647A63" w14:textId="77777777" w:rsidR="00974B5C" w:rsidRDefault="00974B5C">
            <w:pPr>
              <w:keepNext/>
              <w:keepLines/>
              <w:spacing w:after="0" w:line="240" w:lineRule="auto"/>
            </w:pPr>
          </w:p>
        </w:tc>
        <w:tc>
          <w:tcPr>
            <w:tcW w:w="3180" w:type="dxa"/>
            <w:tcMar>
              <w:top w:w="0" w:type="dxa"/>
              <w:bottom w:w="0" w:type="dxa"/>
            </w:tcMar>
            <w:vAlign w:val="center"/>
          </w:tcPr>
          <w:p w14:paraId="26B7FEA9" w14:textId="77777777" w:rsidR="00974B5C" w:rsidRDefault="00000000">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7BB152F0" w14:textId="77777777" w:rsidR="00974B5C" w:rsidRDefault="00000000">
            <w:pPr>
              <w:keepNext/>
              <w:keepLines/>
              <w:spacing w:after="0" w:line="240" w:lineRule="auto"/>
            </w:pPr>
            <w:r>
              <w:rPr>
                <w:sz w:val="18"/>
              </w:rPr>
              <w:t>Z006</w:t>
            </w:r>
          </w:p>
        </w:tc>
        <w:tc>
          <w:tcPr>
            <w:tcW w:w="1860" w:type="dxa"/>
            <w:tcMar>
              <w:top w:w="0" w:type="dxa"/>
              <w:bottom w:w="0" w:type="dxa"/>
            </w:tcMar>
            <w:vAlign w:val="center"/>
          </w:tcPr>
          <w:p w14:paraId="5CC7AE35" w14:textId="77777777" w:rsidR="00974B5C" w:rsidRDefault="00000000">
            <w:pPr>
              <w:keepNext/>
              <w:keepLines/>
              <w:spacing w:after="0" w:line="240" w:lineRule="auto"/>
              <w:jc w:val="right"/>
            </w:pPr>
            <w:r>
              <w:rPr>
                <w:sz w:val="18"/>
              </w:rPr>
              <w:t>7,00</w:t>
            </w:r>
          </w:p>
        </w:tc>
        <w:tc>
          <w:tcPr>
            <w:tcW w:w="1860" w:type="dxa"/>
            <w:tcMar>
              <w:top w:w="0" w:type="dxa"/>
              <w:bottom w:w="0" w:type="dxa"/>
            </w:tcMar>
            <w:vAlign w:val="center"/>
          </w:tcPr>
          <w:p w14:paraId="73730C2E" w14:textId="77777777" w:rsidR="00974B5C" w:rsidRDefault="00000000">
            <w:pPr>
              <w:keepNext/>
              <w:keepLines/>
              <w:spacing w:after="0" w:line="240" w:lineRule="auto"/>
              <w:jc w:val="right"/>
            </w:pPr>
            <w:r>
              <w:rPr>
                <w:sz w:val="18"/>
              </w:rPr>
              <w:t>9,00</w:t>
            </w:r>
          </w:p>
        </w:tc>
        <w:tc>
          <w:tcPr>
            <w:tcW w:w="700" w:type="dxa"/>
            <w:tcMar>
              <w:top w:w="0" w:type="dxa"/>
              <w:bottom w:w="0" w:type="dxa"/>
            </w:tcMar>
            <w:vAlign w:val="center"/>
          </w:tcPr>
          <w:p w14:paraId="1FA73441" w14:textId="77777777" w:rsidR="00974B5C" w:rsidRDefault="00000000">
            <w:pPr>
              <w:keepNext/>
              <w:keepLines/>
              <w:spacing w:after="0" w:line="240" w:lineRule="auto"/>
              <w:jc w:val="right"/>
            </w:pPr>
            <w:r>
              <w:rPr>
                <w:sz w:val="18"/>
              </w:rPr>
              <w:t>128,6</w:t>
            </w:r>
          </w:p>
        </w:tc>
      </w:tr>
    </w:tbl>
    <w:p w14:paraId="5F331ED1" w14:textId="77777777" w:rsidR="00974B5C" w:rsidRDefault="00974B5C">
      <w:pPr>
        <w:spacing w:after="0"/>
      </w:pPr>
    </w:p>
    <w:p w14:paraId="473231D6" w14:textId="77777777" w:rsidR="00974B5C" w:rsidRDefault="00000000">
      <w:r>
        <w:t>Povećanje zbog javnih radova  i zamjene jedne djelatnice koja je bila na porodiljnom i roditeljskom dopustu</w:t>
      </w:r>
    </w:p>
    <w:p w14:paraId="6BAEA685" w14:textId="77777777" w:rsidR="00974B5C" w:rsidRDefault="00974B5C"/>
    <w:p w14:paraId="26373CF8" w14:textId="77777777" w:rsidR="00974B5C" w:rsidRDefault="00000000">
      <w:pPr>
        <w:keepNext/>
        <w:spacing w:line="240" w:lineRule="auto"/>
        <w:jc w:val="center"/>
      </w:pPr>
      <w:r>
        <w:rPr>
          <w:b/>
          <w:sz w:val="28"/>
        </w:rPr>
        <w:t>Bilanca</w:t>
      </w:r>
    </w:p>
    <w:p w14:paraId="302ACB4A" w14:textId="77777777" w:rsidR="00974B5C"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1E656B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C59D83"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389D4E"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F796C7"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FF0CF"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A62EF6"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646437" w14:textId="77777777" w:rsidR="00974B5C" w:rsidRDefault="00000000">
            <w:pPr>
              <w:keepNext/>
              <w:keepLines/>
              <w:spacing w:after="0" w:line="240" w:lineRule="auto"/>
              <w:jc w:val="center"/>
            </w:pPr>
            <w:r>
              <w:rPr>
                <w:b/>
                <w:sz w:val="18"/>
              </w:rPr>
              <w:t>Indeks (%)</w:t>
            </w:r>
          </w:p>
        </w:tc>
      </w:tr>
      <w:tr w:rsidR="00974B5C" w14:paraId="3B85C338" w14:textId="77777777">
        <w:tblPrEx>
          <w:tblCellMar>
            <w:top w:w="0" w:type="dxa"/>
            <w:bottom w:w="0" w:type="dxa"/>
          </w:tblCellMar>
        </w:tblPrEx>
        <w:trPr>
          <w:cantSplit/>
          <w:trHeight w:val="560"/>
        </w:trPr>
        <w:tc>
          <w:tcPr>
            <w:tcW w:w="700" w:type="dxa"/>
            <w:tcMar>
              <w:top w:w="0" w:type="dxa"/>
              <w:bottom w:w="0" w:type="dxa"/>
            </w:tcMar>
            <w:vAlign w:val="center"/>
          </w:tcPr>
          <w:p w14:paraId="33D7C99C" w14:textId="77777777" w:rsidR="00974B5C" w:rsidRDefault="00000000">
            <w:pPr>
              <w:keepNext/>
              <w:keepLines/>
              <w:spacing w:after="0" w:line="240" w:lineRule="auto"/>
            </w:pPr>
            <w:r>
              <w:rPr>
                <w:sz w:val="18"/>
              </w:rPr>
              <w:t>012</w:t>
            </w:r>
          </w:p>
        </w:tc>
        <w:tc>
          <w:tcPr>
            <w:tcW w:w="3180" w:type="dxa"/>
            <w:tcMar>
              <w:top w:w="0" w:type="dxa"/>
              <w:bottom w:w="0" w:type="dxa"/>
            </w:tcMar>
            <w:vAlign w:val="center"/>
          </w:tcPr>
          <w:p w14:paraId="785E2D4D" w14:textId="77777777" w:rsidR="00974B5C" w:rsidRDefault="00000000">
            <w:pPr>
              <w:keepNext/>
              <w:keepLines/>
              <w:spacing w:after="0" w:line="240" w:lineRule="auto"/>
            </w:pPr>
            <w:r>
              <w:rPr>
                <w:sz w:val="18"/>
              </w:rPr>
              <w:t>Nematerijalna imovina</w:t>
            </w:r>
          </w:p>
        </w:tc>
        <w:tc>
          <w:tcPr>
            <w:tcW w:w="700" w:type="dxa"/>
            <w:tcMar>
              <w:top w:w="0" w:type="dxa"/>
              <w:bottom w:w="0" w:type="dxa"/>
            </w:tcMar>
            <w:vAlign w:val="center"/>
          </w:tcPr>
          <w:p w14:paraId="4FFCD5B0" w14:textId="77777777" w:rsidR="00974B5C" w:rsidRDefault="00000000">
            <w:pPr>
              <w:keepNext/>
              <w:keepLines/>
              <w:spacing w:after="0" w:line="240" w:lineRule="auto"/>
            </w:pPr>
            <w:r>
              <w:rPr>
                <w:sz w:val="18"/>
              </w:rPr>
              <w:t>012</w:t>
            </w:r>
          </w:p>
        </w:tc>
        <w:tc>
          <w:tcPr>
            <w:tcW w:w="1860" w:type="dxa"/>
            <w:tcMar>
              <w:top w:w="0" w:type="dxa"/>
              <w:bottom w:w="0" w:type="dxa"/>
            </w:tcMar>
            <w:vAlign w:val="center"/>
          </w:tcPr>
          <w:p w14:paraId="319E9E60" w14:textId="77777777" w:rsidR="00974B5C" w:rsidRDefault="00000000">
            <w:pPr>
              <w:keepNext/>
              <w:keepLines/>
              <w:spacing w:after="0" w:line="240" w:lineRule="auto"/>
              <w:jc w:val="right"/>
            </w:pPr>
            <w:r>
              <w:rPr>
                <w:sz w:val="18"/>
              </w:rPr>
              <w:t>124.489,14</w:t>
            </w:r>
          </w:p>
        </w:tc>
        <w:tc>
          <w:tcPr>
            <w:tcW w:w="1860" w:type="dxa"/>
            <w:tcMar>
              <w:top w:w="0" w:type="dxa"/>
              <w:bottom w:w="0" w:type="dxa"/>
            </w:tcMar>
            <w:vAlign w:val="center"/>
          </w:tcPr>
          <w:p w14:paraId="2D2E8FC2" w14:textId="77777777" w:rsidR="00974B5C" w:rsidRDefault="00000000">
            <w:pPr>
              <w:keepNext/>
              <w:keepLines/>
              <w:spacing w:after="0" w:line="240" w:lineRule="auto"/>
              <w:jc w:val="right"/>
            </w:pPr>
            <w:r>
              <w:rPr>
                <w:sz w:val="18"/>
              </w:rPr>
              <w:t>138.489,14</w:t>
            </w:r>
          </w:p>
        </w:tc>
        <w:tc>
          <w:tcPr>
            <w:tcW w:w="700" w:type="dxa"/>
            <w:tcMar>
              <w:top w:w="0" w:type="dxa"/>
              <w:bottom w:w="0" w:type="dxa"/>
            </w:tcMar>
            <w:vAlign w:val="center"/>
          </w:tcPr>
          <w:p w14:paraId="6E4DD8DF" w14:textId="77777777" w:rsidR="00974B5C" w:rsidRDefault="00000000">
            <w:pPr>
              <w:keepNext/>
              <w:keepLines/>
              <w:spacing w:after="0" w:line="240" w:lineRule="auto"/>
              <w:jc w:val="right"/>
            </w:pPr>
            <w:r>
              <w:rPr>
                <w:sz w:val="18"/>
              </w:rPr>
              <w:t>111,2</w:t>
            </w:r>
          </w:p>
        </w:tc>
      </w:tr>
    </w:tbl>
    <w:p w14:paraId="159F1DE1" w14:textId="77777777" w:rsidR="00974B5C" w:rsidRDefault="00974B5C">
      <w:pPr>
        <w:spacing w:after="0"/>
      </w:pPr>
    </w:p>
    <w:p w14:paraId="1449EEBF" w14:textId="77777777" w:rsidR="00974B5C" w:rsidRDefault="00000000">
      <w:r>
        <w:t xml:space="preserve">Odnosi se na ulaganje na tuđoj imovini radi prava korištenja-arheološko istraživanje utvrde SV. Ivan </w:t>
      </w:r>
      <w:proofErr w:type="spellStart"/>
      <w:r>
        <w:t>Trnava</w:t>
      </w:r>
      <w:proofErr w:type="spellEnd"/>
      <w:r>
        <w:t> </w:t>
      </w:r>
    </w:p>
    <w:p w14:paraId="7358DD17" w14:textId="77777777" w:rsidR="00974B5C" w:rsidRDefault="00974B5C"/>
    <w:p w14:paraId="3326B50A" w14:textId="77777777" w:rsidR="00974B5C"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396C9B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FC19DF"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7966AA"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645BE7"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68615"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F2B350"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D5DC2E" w14:textId="77777777" w:rsidR="00974B5C" w:rsidRDefault="00000000">
            <w:pPr>
              <w:keepNext/>
              <w:keepLines/>
              <w:spacing w:after="0" w:line="240" w:lineRule="auto"/>
              <w:jc w:val="center"/>
            </w:pPr>
            <w:r>
              <w:rPr>
                <w:b/>
                <w:sz w:val="18"/>
              </w:rPr>
              <w:t>Indeks (%)</w:t>
            </w:r>
          </w:p>
        </w:tc>
      </w:tr>
      <w:tr w:rsidR="00974B5C" w14:paraId="3E02FF64" w14:textId="77777777">
        <w:tblPrEx>
          <w:tblCellMar>
            <w:top w:w="0" w:type="dxa"/>
            <w:bottom w:w="0" w:type="dxa"/>
          </w:tblCellMar>
        </w:tblPrEx>
        <w:trPr>
          <w:cantSplit/>
          <w:trHeight w:val="560"/>
        </w:trPr>
        <w:tc>
          <w:tcPr>
            <w:tcW w:w="700" w:type="dxa"/>
            <w:tcMar>
              <w:top w:w="0" w:type="dxa"/>
              <w:bottom w:w="0" w:type="dxa"/>
            </w:tcMar>
            <w:vAlign w:val="center"/>
          </w:tcPr>
          <w:p w14:paraId="1698CEC3" w14:textId="77777777" w:rsidR="00974B5C" w:rsidRDefault="00000000">
            <w:pPr>
              <w:keepNext/>
              <w:keepLines/>
              <w:spacing w:after="0" w:line="240" w:lineRule="auto"/>
            </w:pPr>
            <w:r>
              <w:rPr>
                <w:sz w:val="18"/>
              </w:rPr>
              <w:t>0221</w:t>
            </w:r>
          </w:p>
        </w:tc>
        <w:tc>
          <w:tcPr>
            <w:tcW w:w="3180" w:type="dxa"/>
            <w:tcMar>
              <w:top w:w="0" w:type="dxa"/>
              <w:bottom w:w="0" w:type="dxa"/>
            </w:tcMar>
            <w:vAlign w:val="center"/>
          </w:tcPr>
          <w:p w14:paraId="7F40D472" w14:textId="77777777" w:rsidR="00974B5C"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75230FCC" w14:textId="77777777" w:rsidR="00974B5C" w:rsidRDefault="00000000">
            <w:pPr>
              <w:keepNext/>
              <w:keepLines/>
              <w:spacing w:after="0" w:line="240" w:lineRule="auto"/>
            </w:pPr>
            <w:r>
              <w:rPr>
                <w:sz w:val="18"/>
              </w:rPr>
              <w:t>0221</w:t>
            </w:r>
          </w:p>
        </w:tc>
        <w:tc>
          <w:tcPr>
            <w:tcW w:w="1860" w:type="dxa"/>
            <w:tcMar>
              <w:top w:w="0" w:type="dxa"/>
              <w:bottom w:w="0" w:type="dxa"/>
            </w:tcMar>
            <w:vAlign w:val="center"/>
          </w:tcPr>
          <w:p w14:paraId="5D220503" w14:textId="77777777" w:rsidR="00974B5C" w:rsidRDefault="00000000">
            <w:pPr>
              <w:keepNext/>
              <w:keepLines/>
              <w:spacing w:after="0" w:line="240" w:lineRule="auto"/>
              <w:jc w:val="right"/>
            </w:pPr>
            <w:r>
              <w:rPr>
                <w:sz w:val="18"/>
              </w:rPr>
              <w:t>65.251,58</w:t>
            </w:r>
          </w:p>
        </w:tc>
        <w:tc>
          <w:tcPr>
            <w:tcW w:w="1860" w:type="dxa"/>
            <w:tcMar>
              <w:top w:w="0" w:type="dxa"/>
              <w:bottom w:w="0" w:type="dxa"/>
            </w:tcMar>
            <w:vAlign w:val="center"/>
          </w:tcPr>
          <w:p w14:paraId="7D272053" w14:textId="77777777" w:rsidR="00974B5C" w:rsidRDefault="00000000">
            <w:pPr>
              <w:keepNext/>
              <w:keepLines/>
              <w:spacing w:after="0" w:line="240" w:lineRule="auto"/>
              <w:jc w:val="right"/>
            </w:pPr>
            <w:r>
              <w:rPr>
                <w:sz w:val="18"/>
              </w:rPr>
              <w:t>69.166,62</w:t>
            </w:r>
          </w:p>
        </w:tc>
        <w:tc>
          <w:tcPr>
            <w:tcW w:w="700" w:type="dxa"/>
            <w:tcMar>
              <w:top w:w="0" w:type="dxa"/>
              <w:bottom w:w="0" w:type="dxa"/>
            </w:tcMar>
            <w:vAlign w:val="center"/>
          </w:tcPr>
          <w:p w14:paraId="611000FE" w14:textId="77777777" w:rsidR="00974B5C" w:rsidRDefault="00000000">
            <w:pPr>
              <w:keepNext/>
              <w:keepLines/>
              <w:spacing w:after="0" w:line="240" w:lineRule="auto"/>
              <w:jc w:val="right"/>
            </w:pPr>
            <w:r>
              <w:rPr>
                <w:sz w:val="18"/>
              </w:rPr>
              <w:t>106,0</w:t>
            </w:r>
          </w:p>
        </w:tc>
      </w:tr>
    </w:tbl>
    <w:p w14:paraId="140C877B" w14:textId="77777777" w:rsidR="00974B5C" w:rsidRDefault="00974B5C">
      <w:pPr>
        <w:spacing w:after="0"/>
      </w:pPr>
    </w:p>
    <w:p w14:paraId="3FB63F98" w14:textId="77777777" w:rsidR="00974B5C" w:rsidRDefault="00000000">
      <w:r>
        <w:t>O)</w:t>
      </w:r>
      <w:proofErr w:type="spellStart"/>
      <w:r>
        <w:t>dnosi</w:t>
      </w:r>
      <w:proofErr w:type="spellEnd"/>
      <w:r>
        <w:t xml:space="preserve"> se na opremu knjižnice</w:t>
      </w:r>
    </w:p>
    <w:p w14:paraId="4DB26FC0" w14:textId="77777777" w:rsidR="00974B5C" w:rsidRDefault="00974B5C"/>
    <w:p w14:paraId="5176082B" w14:textId="77777777" w:rsidR="00974B5C"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5A9C36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243748"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69A0F1"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502AF2"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C673F"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61B3DB"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3D957A" w14:textId="77777777" w:rsidR="00974B5C" w:rsidRDefault="00000000">
            <w:pPr>
              <w:keepNext/>
              <w:keepLines/>
              <w:spacing w:after="0" w:line="240" w:lineRule="auto"/>
              <w:jc w:val="center"/>
            </w:pPr>
            <w:r>
              <w:rPr>
                <w:b/>
                <w:sz w:val="18"/>
              </w:rPr>
              <w:t>Indeks (%)</w:t>
            </w:r>
          </w:p>
        </w:tc>
      </w:tr>
      <w:tr w:rsidR="00974B5C" w14:paraId="2FC4687C" w14:textId="77777777">
        <w:tblPrEx>
          <w:tblCellMar>
            <w:top w:w="0" w:type="dxa"/>
            <w:bottom w:w="0" w:type="dxa"/>
          </w:tblCellMar>
        </w:tblPrEx>
        <w:trPr>
          <w:cantSplit/>
          <w:trHeight w:val="560"/>
        </w:trPr>
        <w:tc>
          <w:tcPr>
            <w:tcW w:w="700" w:type="dxa"/>
            <w:tcMar>
              <w:top w:w="0" w:type="dxa"/>
              <w:bottom w:w="0" w:type="dxa"/>
            </w:tcMar>
            <w:vAlign w:val="center"/>
          </w:tcPr>
          <w:p w14:paraId="35E9432A" w14:textId="77777777" w:rsidR="00974B5C" w:rsidRDefault="00000000">
            <w:pPr>
              <w:keepNext/>
              <w:keepLines/>
              <w:spacing w:after="0" w:line="240" w:lineRule="auto"/>
            </w:pPr>
            <w:r>
              <w:rPr>
                <w:sz w:val="18"/>
              </w:rPr>
              <w:t>0262</w:t>
            </w:r>
          </w:p>
        </w:tc>
        <w:tc>
          <w:tcPr>
            <w:tcW w:w="3180" w:type="dxa"/>
            <w:tcMar>
              <w:top w:w="0" w:type="dxa"/>
              <w:bottom w:w="0" w:type="dxa"/>
            </w:tcMar>
            <w:vAlign w:val="center"/>
          </w:tcPr>
          <w:p w14:paraId="50C27953" w14:textId="77777777" w:rsidR="00974B5C"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4FB5418A" w14:textId="77777777" w:rsidR="00974B5C" w:rsidRDefault="00000000">
            <w:pPr>
              <w:keepNext/>
              <w:keepLines/>
              <w:spacing w:after="0" w:line="240" w:lineRule="auto"/>
            </w:pPr>
            <w:r>
              <w:rPr>
                <w:sz w:val="18"/>
              </w:rPr>
              <w:t>0262</w:t>
            </w:r>
          </w:p>
        </w:tc>
        <w:tc>
          <w:tcPr>
            <w:tcW w:w="1860" w:type="dxa"/>
            <w:tcMar>
              <w:top w:w="0" w:type="dxa"/>
              <w:bottom w:w="0" w:type="dxa"/>
            </w:tcMar>
            <w:vAlign w:val="center"/>
          </w:tcPr>
          <w:p w14:paraId="77A0238C" w14:textId="77777777" w:rsidR="00974B5C" w:rsidRDefault="00000000">
            <w:pPr>
              <w:keepNext/>
              <w:keepLines/>
              <w:spacing w:after="0" w:line="240" w:lineRule="auto"/>
              <w:jc w:val="right"/>
            </w:pPr>
            <w:r>
              <w:rPr>
                <w:sz w:val="18"/>
              </w:rPr>
              <w:t>6.643,25</w:t>
            </w:r>
          </w:p>
        </w:tc>
        <w:tc>
          <w:tcPr>
            <w:tcW w:w="1860" w:type="dxa"/>
            <w:tcMar>
              <w:top w:w="0" w:type="dxa"/>
              <w:bottom w:w="0" w:type="dxa"/>
            </w:tcMar>
            <w:vAlign w:val="center"/>
          </w:tcPr>
          <w:p w14:paraId="55809896" w14:textId="77777777" w:rsidR="00974B5C" w:rsidRDefault="00000000">
            <w:pPr>
              <w:keepNext/>
              <w:keepLines/>
              <w:spacing w:after="0" w:line="240" w:lineRule="auto"/>
              <w:jc w:val="right"/>
            </w:pPr>
            <w:r>
              <w:rPr>
                <w:sz w:val="18"/>
              </w:rPr>
              <w:t>14.583,19</w:t>
            </w:r>
          </w:p>
        </w:tc>
        <w:tc>
          <w:tcPr>
            <w:tcW w:w="700" w:type="dxa"/>
            <w:tcMar>
              <w:top w:w="0" w:type="dxa"/>
              <w:bottom w:w="0" w:type="dxa"/>
            </w:tcMar>
            <w:vAlign w:val="center"/>
          </w:tcPr>
          <w:p w14:paraId="416A8D88" w14:textId="77777777" w:rsidR="00974B5C" w:rsidRDefault="00000000">
            <w:pPr>
              <w:keepNext/>
              <w:keepLines/>
              <w:spacing w:after="0" w:line="240" w:lineRule="auto"/>
              <w:jc w:val="right"/>
            </w:pPr>
            <w:r>
              <w:rPr>
                <w:sz w:val="18"/>
              </w:rPr>
              <w:t>219,5</w:t>
            </w:r>
          </w:p>
        </w:tc>
      </w:tr>
    </w:tbl>
    <w:p w14:paraId="1CE91ADD" w14:textId="77777777" w:rsidR="00974B5C" w:rsidRDefault="00974B5C">
      <w:pPr>
        <w:spacing w:after="0"/>
      </w:pPr>
    </w:p>
    <w:p w14:paraId="35B86481" w14:textId="77777777" w:rsidR="00974B5C" w:rsidRDefault="00000000">
      <w:r>
        <w:t>Povećanje zbog ulaganja u novi softverski program-računovodstveni program</w:t>
      </w:r>
    </w:p>
    <w:p w14:paraId="7DF488FE" w14:textId="77777777" w:rsidR="00974B5C" w:rsidRDefault="00974B5C"/>
    <w:p w14:paraId="29387A33" w14:textId="77777777" w:rsidR="00974B5C"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0E2041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B4CF2A"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7C79E5"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CEE93"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3979EF"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079B78"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E415AD" w14:textId="77777777" w:rsidR="00974B5C" w:rsidRDefault="00000000">
            <w:pPr>
              <w:keepNext/>
              <w:keepLines/>
              <w:spacing w:after="0" w:line="240" w:lineRule="auto"/>
              <w:jc w:val="center"/>
            </w:pPr>
            <w:r>
              <w:rPr>
                <w:b/>
                <w:sz w:val="18"/>
              </w:rPr>
              <w:t>Indeks (%)</w:t>
            </w:r>
          </w:p>
        </w:tc>
      </w:tr>
      <w:tr w:rsidR="00974B5C" w14:paraId="07F62078" w14:textId="77777777">
        <w:tblPrEx>
          <w:tblCellMar>
            <w:top w:w="0" w:type="dxa"/>
            <w:bottom w:w="0" w:type="dxa"/>
          </w:tblCellMar>
        </w:tblPrEx>
        <w:trPr>
          <w:cantSplit/>
          <w:trHeight w:val="560"/>
        </w:trPr>
        <w:tc>
          <w:tcPr>
            <w:tcW w:w="700" w:type="dxa"/>
            <w:tcMar>
              <w:top w:w="0" w:type="dxa"/>
              <w:bottom w:w="0" w:type="dxa"/>
            </w:tcMar>
            <w:vAlign w:val="center"/>
          </w:tcPr>
          <w:p w14:paraId="067C9E92" w14:textId="77777777" w:rsidR="00974B5C" w:rsidRDefault="00000000">
            <w:pPr>
              <w:keepNext/>
              <w:keepLines/>
              <w:spacing w:after="0" w:line="240" w:lineRule="auto"/>
            </w:pPr>
            <w:r>
              <w:rPr>
                <w:sz w:val="18"/>
              </w:rPr>
              <w:t>0263</w:t>
            </w:r>
          </w:p>
        </w:tc>
        <w:tc>
          <w:tcPr>
            <w:tcW w:w="3180" w:type="dxa"/>
            <w:tcMar>
              <w:top w:w="0" w:type="dxa"/>
              <w:bottom w:w="0" w:type="dxa"/>
            </w:tcMar>
            <w:vAlign w:val="center"/>
          </w:tcPr>
          <w:p w14:paraId="75DBF1D2" w14:textId="77777777" w:rsidR="00974B5C" w:rsidRDefault="00000000">
            <w:pPr>
              <w:keepNext/>
              <w:keepLines/>
              <w:spacing w:after="0" w:line="240" w:lineRule="auto"/>
            </w:pPr>
            <w:r>
              <w:rPr>
                <w:sz w:val="18"/>
              </w:rPr>
              <w:t>Umjetnička, literarna i znanstvena djela</w:t>
            </w:r>
          </w:p>
        </w:tc>
        <w:tc>
          <w:tcPr>
            <w:tcW w:w="700" w:type="dxa"/>
            <w:tcMar>
              <w:top w:w="0" w:type="dxa"/>
              <w:bottom w:w="0" w:type="dxa"/>
            </w:tcMar>
            <w:vAlign w:val="center"/>
          </w:tcPr>
          <w:p w14:paraId="11D8FAA1" w14:textId="77777777" w:rsidR="00974B5C" w:rsidRDefault="00000000">
            <w:pPr>
              <w:keepNext/>
              <w:keepLines/>
              <w:spacing w:after="0" w:line="240" w:lineRule="auto"/>
            </w:pPr>
            <w:r>
              <w:rPr>
                <w:sz w:val="18"/>
              </w:rPr>
              <w:t>0263</w:t>
            </w:r>
          </w:p>
        </w:tc>
        <w:tc>
          <w:tcPr>
            <w:tcW w:w="1860" w:type="dxa"/>
            <w:tcMar>
              <w:top w:w="0" w:type="dxa"/>
              <w:bottom w:w="0" w:type="dxa"/>
            </w:tcMar>
            <w:vAlign w:val="center"/>
          </w:tcPr>
          <w:p w14:paraId="4C13B759" w14:textId="77777777" w:rsidR="00974B5C" w:rsidRDefault="00000000">
            <w:pPr>
              <w:keepNext/>
              <w:keepLines/>
              <w:spacing w:after="0" w:line="240" w:lineRule="auto"/>
              <w:jc w:val="right"/>
            </w:pPr>
            <w:r>
              <w:rPr>
                <w:sz w:val="18"/>
              </w:rPr>
              <w:t>38.164,44</w:t>
            </w:r>
          </w:p>
        </w:tc>
        <w:tc>
          <w:tcPr>
            <w:tcW w:w="1860" w:type="dxa"/>
            <w:tcMar>
              <w:top w:w="0" w:type="dxa"/>
              <w:bottom w:w="0" w:type="dxa"/>
            </w:tcMar>
            <w:vAlign w:val="center"/>
          </w:tcPr>
          <w:p w14:paraId="2B6DA866" w14:textId="77777777" w:rsidR="00974B5C" w:rsidRDefault="00000000">
            <w:pPr>
              <w:keepNext/>
              <w:keepLines/>
              <w:spacing w:after="0" w:line="240" w:lineRule="auto"/>
              <w:jc w:val="right"/>
            </w:pPr>
            <w:r>
              <w:rPr>
                <w:sz w:val="18"/>
              </w:rPr>
              <w:t>46.914,44</w:t>
            </w:r>
          </w:p>
        </w:tc>
        <w:tc>
          <w:tcPr>
            <w:tcW w:w="700" w:type="dxa"/>
            <w:tcMar>
              <w:top w:w="0" w:type="dxa"/>
              <w:bottom w:w="0" w:type="dxa"/>
            </w:tcMar>
            <w:vAlign w:val="center"/>
          </w:tcPr>
          <w:p w14:paraId="28E22D71" w14:textId="77777777" w:rsidR="00974B5C" w:rsidRDefault="00000000">
            <w:pPr>
              <w:keepNext/>
              <w:keepLines/>
              <w:spacing w:after="0" w:line="240" w:lineRule="auto"/>
              <w:jc w:val="right"/>
            </w:pPr>
            <w:r>
              <w:rPr>
                <w:sz w:val="18"/>
              </w:rPr>
              <w:t>122,9</w:t>
            </w:r>
          </w:p>
        </w:tc>
      </w:tr>
    </w:tbl>
    <w:p w14:paraId="08485BF6" w14:textId="77777777" w:rsidR="00974B5C" w:rsidRDefault="00974B5C">
      <w:pPr>
        <w:spacing w:after="0"/>
      </w:pPr>
    </w:p>
    <w:p w14:paraId="5AFCA0F7" w14:textId="77777777" w:rsidR="00974B5C" w:rsidRDefault="00000000">
      <w:r>
        <w:t>Odnosi se na dokumentaciju i radnje vezane za izmjenu i dopunu prostornog plana općine</w:t>
      </w:r>
    </w:p>
    <w:p w14:paraId="28B81134" w14:textId="77777777" w:rsidR="00974B5C" w:rsidRDefault="00000000">
      <w:r>
        <w:t> </w:t>
      </w:r>
    </w:p>
    <w:p w14:paraId="3878B9D4" w14:textId="77777777" w:rsidR="00974B5C" w:rsidRDefault="00974B5C"/>
    <w:p w14:paraId="0A7DCDDD" w14:textId="77777777" w:rsidR="00974B5C"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163D19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4F5494"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6C7B92"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CD66A8"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E813F9"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53023C"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899C47" w14:textId="77777777" w:rsidR="00974B5C" w:rsidRDefault="00000000">
            <w:pPr>
              <w:keepNext/>
              <w:keepLines/>
              <w:spacing w:after="0" w:line="240" w:lineRule="auto"/>
              <w:jc w:val="center"/>
            </w:pPr>
            <w:r>
              <w:rPr>
                <w:b/>
                <w:sz w:val="18"/>
              </w:rPr>
              <w:t>Indeks (%)</w:t>
            </w:r>
          </w:p>
        </w:tc>
      </w:tr>
      <w:tr w:rsidR="00974B5C" w14:paraId="174BA88F" w14:textId="77777777">
        <w:tblPrEx>
          <w:tblCellMar>
            <w:top w:w="0" w:type="dxa"/>
            <w:bottom w:w="0" w:type="dxa"/>
          </w:tblCellMar>
        </w:tblPrEx>
        <w:trPr>
          <w:cantSplit/>
          <w:trHeight w:val="560"/>
        </w:trPr>
        <w:tc>
          <w:tcPr>
            <w:tcW w:w="700" w:type="dxa"/>
            <w:tcMar>
              <w:top w:w="0" w:type="dxa"/>
              <w:bottom w:w="0" w:type="dxa"/>
            </w:tcMar>
            <w:vAlign w:val="center"/>
          </w:tcPr>
          <w:p w14:paraId="410BD933" w14:textId="77777777" w:rsidR="00974B5C" w:rsidRDefault="00000000">
            <w:pPr>
              <w:keepNext/>
              <w:keepLines/>
              <w:spacing w:after="0" w:line="240" w:lineRule="auto"/>
            </w:pPr>
            <w:r>
              <w:rPr>
                <w:sz w:val="18"/>
              </w:rPr>
              <w:t>129</w:t>
            </w:r>
          </w:p>
        </w:tc>
        <w:tc>
          <w:tcPr>
            <w:tcW w:w="3180" w:type="dxa"/>
            <w:tcMar>
              <w:top w:w="0" w:type="dxa"/>
              <w:bottom w:w="0" w:type="dxa"/>
            </w:tcMar>
            <w:vAlign w:val="center"/>
          </w:tcPr>
          <w:p w14:paraId="7E985277" w14:textId="77777777" w:rsidR="00974B5C" w:rsidRDefault="00000000">
            <w:pPr>
              <w:keepNext/>
              <w:keepLines/>
              <w:spacing w:after="0" w:line="240" w:lineRule="auto"/>
            </w:pPr>
            <w:r>
              <w:rPr>
                <w:sz w:val="18"/>
              </w:rPr>
              <w:t>Ostala potraživanja</w:t>
            </w:r>
          </w:p>
        </w:tc>
        <w:tc>
          <w:tcPr>
            <w:tcW w:w="700" w:type="dxa"/>
            <w:tcMar>
              <w:top w:w="0" w:type="dxa"/>
              <w:bottom w:w="0" w:type="dxa"/>
            </w:tcMar>
            <w:vAlign w:val="center"/>
          </w:tcPr>
          <w:p w14:paraId="34A09060" w14:textId="77777777" w:rsidR="00974B5C" w:rsidRDefault="00000000">
            <w:pPr>
              <w:keepNext/>
              <w:keepLines/>
              <w:spacing w:after="0" w:line="240" w:lineRule="auto"/>
            </w:pPr>
            <w:r>
              <w:rPr>
                <w:sz w:val="18"/>
              </w:rPr>
              <w:t>129</w:t>
            </w:r>
          </w:p>
        </w:tc>
        <w:tc>
          <w:tcPr>
            <w:tcW w:w="1860" w:type="dxa"/>
            <w:tcMar>
              <w:top w:w="0" w:type="dxa"/>
              <w:bottom w:w="0" w:type="dxa"/>
            </w:tcMar>
            <w:vAlign w:val="center"/>
          </w:tcPr>
          <w:p w14:paraId="0ECF7125" w14:textId="77777777" w:rsidR="00974B5C" w:rsidRDefault="00000000">
            <w:pPr>
              <w:keepNext/>
              <w:keepLines/>
              <w:spacing w:after="0" w:line="240" w:lineRule="auto"/>
              <w:jc w:val="right"/>
            </w:pPr>
            <w:r>
              <w:rPr>
                <w:sz w:val="18"/>
              </w:rPr>
              <w:t>95,13</w:t>
            </w:r>
          </w:p>
        </w:tc>
        <w:tc>
          <w:tcPr>
            <w:tcW w:w="1860" w:type="dxa"/>
            <w:tcMar>
              <w:top w:w="0" w:type="dxa"/>
              <w:bottom w:w="0" w:type="dxa"/>
            </w:tcMar>
            <w:vAlign w:val="center"/>
          </w:tcPr>
          <w:p w14:paraId="473449BE" w14:textId="77777777" w:rsidR="00974B5C" w:rsidRDefault="00000000">
            <w:pPr>
              <w:keepNext/>
              <w:keepLines/>
              <w:spacing w:after="0" w:line="240" w:lineRule="auto"/>
              <w:jc w:val="right"/>
            </w:pPr>
            <w:r>
              <w:rPr>
                <w:sz w:val="18"/>
              </w:rPr>
              <w:t>133,21</w:t>
            </w:r>
          </w:p>
        </w:tc>
        <w:tc>
          <w:tcPr>
            <w:tcW w:w="700" w:type="dxa"/>
            <w:tcMar>
              <w:top w:w="0" w:type="dxa"/>
              <w:bottom w:w="0" w:type="dxa"/>
            </w:tcMar>
            <w:vAlign w:val="center"/>
          </w:tcPr>
          <w:p w14:paraId="3BFDEBCB" w14:textId="77777777" w:rsidR="00974B5C" w:rsidRDefault="00000000">
            <w:pPr>
              <w:keepNext/>
              <w:keepLines/>
              <w:spacing w:after="0" w:line="240" w:lineRule="auto"/>
              <w:jc w:val="right"/>
            </w:pPr>
            <w:r>
              <w:rPr>
                <w:sz w:val="18"/>
              </w:rPr>
              <w:t>140,0</w:t>
            </w:r>
          </w:p>
        </w:tc>
      </w:tr>
    </w:tbl>
    <w:p w14:paraId="4C8E394F" w14:textId="77777777" w:rsidR="00974B5C" w:rsidRDefault="00974B5C">
      <w:pPr>
        <w:spacing w:after="0"/>
      </w:pPr>
    </w:p>
    <w:p w14:paraId="073970DB" w14:textId="77777777" w:rsidR="00974B5C" w:rsidRDefault="00000000">
      <w:r>
        <w:t>Iznos se odnosi na potraživanja za naknade koje se refundiraju, te ostale naknade npr. potraživanja za el. energiju PZ Brezine</w:t>
      </w:r>
    </w:p>
    <w:p w14:paraId="41AB3D47" w14:textId="77777777" w:rsidR="00974B5C" w:rsidRDefault="00974B5C"/>
    <w:p w14:paraId="615A9DB7" w14:textId="77777777" w:rsidR="00974B5C"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2D56DD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6155E9"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29C314"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2DC4C8"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E329DC"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C9CAD8"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7785DA" w14:textId="77777777" w:rsidR="00974B5C" w:rsidRDefault="00000000">
            <w:pPr>
              <w:keepNext/>
              <w:keepLines/>
              <w:spacing w:after="0" w:line="240" w:lineRule="auto"/>
              <w:jc w:val="center"/>
            </w:pPr>
            <w:r>
              <w:rPr>
                <w:b/>
                <w:sz w:val="18"/>
              </w:rPr>
              <w:t>Indeks (%)</w:t>
            </w:r>
          </w:p>
        </w:tc>
      </w:tr>
      <w:tr w:rsidR="00974B5C" w14:paraId="427C40AB" w14:textId="77777777">
        <w:tblPrEx>
          <w:tblCellMar>
            <w:top w:w="0" w:type="dxa"/>
            <w:bottom w:w="0" w:type="dxa"/>
          </w:tblCellMar>
        </w:tblPrEx>
        <w:trPr>
          <w:cantSplit/>
          <w:trHeight w:val="560"/>
        </w:trPr>
        <w:tc>
          <w:tcPr>
            <w:tcW w:w="700" w:type="dxa"/>
            <w:tcMar>
              <w:top w:w="0" w:type="dxa"/>
              <w:bottom w:w="0" w:type="dxa"/>
            </w:tcMar>
            <w:vAlign w:val="center"/>
          </w:tcPr>
          <w:p w14:paraId="78831BBF" w14:textId="77777777" w:rsidR="00974B5C" w:rsidRDefault="00000000">
            <w:pPr>
              <w:keepNext/>
              <w:keepLines/>
              <w:spacing w:after="0" w:line="240" w:lineRule="auto"/>
            </w:pPr>
            <w:r>
              <w:rPr>
                <w:sz w:val="18"/>
              </w:rPr>
              <w:t>16</w:t>
            </w:r>
          </w:p>
        </w:tc>
        <w:tc>
          <w:tcPr>
            <w:tcW w:w="3180" w:type="dxa"/>
            <w:tcMar>
              <w:top w:w="0" w:type="dxa"/>
              <w:bottom w:w="0" w:type="dxa"/>
            </w:tcMar>
            <w:vAlign w:val="center"/>
          </w:tcPr>
          <w:p w14:paraId="58CC6FC9" w14:textId="77777777" w:rsidR="00974B5C"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35E96689" w14:textId="77777777" w:rsidR="00974B5C" w:rsidRDefault="00000000">
            <w:pPr>
              <w:keepNext/>
              <w:keepLines/>
              <w:spacing w:after="0" w:line="240" w:lineRule="auto"/>
            </w:pPr>
            <w:r>
              <w:rPr>
                <w:sz w:val="18"/>
              </w:rPr>
              <w:t>16</w:t>
            </w:r>
          </w:p>
        </w:tc>
        <w:tc>
          <w:tcPr>
            <w:tcW w:w="1860" w:type="dxa"/>
            <w:tcMar>
              <w:top w:w="0" w:type="dxa"/>
              <w:bottom w:w="0" w:type="dxa"/>
            </w:tcMar>
            <w:vAlign w:val="center"/>
          </w:tcPr>
          <w:p w14:paraId="560F5A8D" w14:textId="77777777" w:rsidR="00974B5C" w:rsidRDefault="00000000">
            <w:pPr>
              <w:keepNext/>
              <w:keepLines/>
              <w:spacing w:after="0" w:line="240" w:lineRule="auto"/>
              <w:jc w:val="right"/>
            </w:pPr>
            <w:r>
              <w:rPr>
                <w:sz w:val="18"/>
              </w:rPr>
              <w:t>44.382,05</w:t>
            </w:r>
          </w:p>
        </w:tc>
        <w:tc>
          <w:tcPr>
            <w:tcW w:w="1860" w:type="dxa"/>
            <w:tcMar>
              <w:top w:w="0" w:type="dxa"/>
              <w:bottom w:w="0" w:type="dxa"/>
            </w:tcMar>
            <w:vAlign w:val="center"/>
          </w:tcPr>
          <w:p w14:paraId="2611C9B0" w14:textId="77777777" w:rsidR="00974B5C" w:rsidRDefault="00000000">
            <w:pPr>
              <w:keepNext/>
              <w:keepLines/>
              <w:spacing w:after="0" w:line="240" w:lineRule="auto"/>
              <w:jc w:val="right"/>
            </w:pPr>
            <w:r>
              <w:rPr>
                <w:sz w:val="18"/>
              </w:rPr>
              <w:t>55.470,40</w:t>
            </w:r>
          </w:p>
        </w:tc>
        <w:tc>
          <w:tcPr>
            <w:tcW w:w="700" w:type="dxa"/>
            <w:tcMar>
              <w:top w:w="0" w:type="dxa"/>
              <w:bottom w:w="0" w:type="dxa"/>
            </w:tcMar>
            <w:vAlign w:val="center"/>
          </w:tcPr>
          <w:p w14:paraId="13731F16" w14:textId="77777777" w:rsidR="00974B5C" w:rsidRDefault="00000000">
            <w:pPr>
              <w:keepNext/>
              <w:keepLines/>
              <w:spacing w:after="0" w:line="240" w:lineRule="auto"/>
              <w:jc w:val="right"/>
            </w:pPr>
            <w:r>
              <w:rPr>
                <w:sz w:val="18"/>
              </w:rPr>
              <w:t>125,0</w:t>
            </w:r>
          </w:p>
        </w:tc>
      </w:tr>
    </w:tbl>
    <w:p w14:paraId="33C9CA5F" w14:textId="77777777" w:rsidR="00974B5C" w:rsidRDefault="00974B5C">
      <w:pPr>
        <w:spacing w:after="0"/>
      </w:pPr>
    </w:p>
    <w:p w14:paraId="5F6567B7" w14:textId="77777777" w:rsidR="00974B5C" w:rsidRDefault="00000000">
      <w:r>
        <w:t>Iznos se odnosi na potraživanja  za poreze na kuću za odmor, porez na promet nekretnina, porez na potrošnju alkoholnih pića, porez na tvrtku.</w:t>
      </w:r>
    </w:p>
    <w:p w14:paraId="5048C314" w14:textId="77777777" w:rsidR="00974B5C" w:rsidRDefault="00974B5C"/>
    <w:p w14:paraId="1270A9D0" w14:textId="77777777" w:rsidR="00974B5C"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62E7F6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2F5859"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5D0242"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2C7319"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4846BE"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CEDDDB"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221E0F" w14:textId="77777777" w:rsidR="00974B5C" w:rsidRDefault="00000000">
            <w:pPr>
              <w:keepNext/>
              <w:keepLines/>
              <w:spacing w:after="0" w:line="240" w:lineRule="auto"/>
              <w:jc w:val="center"/>
            </w:pPr>
            <w:r>
              <w:rPr>
                <w:b/>
                <w:sz w:val="18"/>
              </w:rPr>
              <w:t>Indeks (%)</w:t>
            </w:r>
          </w:p>
        </w:tc>
      </w:tr>
      <w:tr w:rsidR="00974B5C" w14:paraId="2F17DE8D" w14:textId="77777777">
        <w:tblPrEx>
          <w:tblCellMar>
            <w:top w:w="0" w:type="dxa"/>
            <w:bottom w:w="0" w:type="dxa"/>
          </w:tblCellMar>
        </w:tblPrEx>
        <w:trPr>
          <w:cantSplit/>
          <w:trHeight w:val="560"/>
        </w:trPr>
        <w:tc>
          <w:tcPr>
            <w:tcW w:w="700" w:type="dxa"/>
            <w:tcMar>
              <w:top w:w="0" w:type="dxa"/>
              <w:bottom w:w="0" w:type="dxa"/>
            </w:tcMar>
            <w:vAlign w:val="center"/>
          </w:tcPr>
          <w:p w14:paraId="77F79A09" w14:textId="77777777" w:rsidR="00974B5C" w:rsidRDefault="00000000">
            <w:pPr>
              <w:keepNext/>
              <w:keepLines/>
              <w:spacing w:after="0" w:line="240" w:lineRule="auto"/>
            </w:pPr>
            <w:r>
              <w:rPr>
                <w:sz w:val="18"/>
              </w:rPr>
              <w:t>164</w:t>
            </w:r>
          </w:p>
        </w:tc>
        <w:tc>
          <w:tcPr>
            <w:tcW w:w="3180" w:type="dxa"/>
            <w:tcMar>
              <w:top w:w="0" w:type="dxa"/>
              <w:bottom w:w="0" w:type="dxa"/>
            </w:tcMar>
            <w:vAlign w:val="center"/>
          </w:tcPr>
          <w:p w14:paraId="70DD4C38" w14:textId="77777777" w:rsidR="00974B5C"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74C1F168" w14:textId="77777777" w:rsidR="00974B5C" w:rsidRDefault="00000000">
            <w:pPr>
              <w:keepNext/>
              <w:keepLines/>
              <w:spacing w:after="0" w:line="240" w:lineRule="auto"/>
            </w:pPr>
            <w:r>
              <w:rPr>
                <w:sz w:val="18"/>
              </w:rPr>
              <w:t>164</w:t>
            </w:r>
          </w:p>
        </w:tc>
        <w:tc>
          <w:tcPr>
            <w:tcW w:w="1860" w:type="dxa"/>
            <w:tcMar>
              <w:top w:w="0" w:type="dxa"/>
              <w:bottom w:w="0" w:type="dxa"/>
            </w:tcMar>
            <w:vAlign w:val="center"/>
          </w:tcPr>
          <w:p w14:paraId="4F5726BB" w14:textId="77777777" w:rsidR="00974B5C" w:rsidRDefault="00000000">
            <w:pPr>
              <w:keepNext/>
              <w:keepLines/>
              <w:spacing w:after="0" w:line="240" w:lineRule="auto"/>
              <w:jc w:val="right"/>
            </w:pPr>
            <w:r>
              <w:rPr>
                <w:sz w:val="18"/>
              </w:rPr>
              <w:t>2.597,30</w:t>
            </w:r>
          </w:p>
        </w:tc>
        <w:tc>
          <w:tcPr>
            <w:tcW w:w="1860" w:type="dxa"/>
            <w:tcMar>
              <w:top w:w="0" w:type="dxa"/>
              <w:bottom w:w="0" w:type="dxa"/>
            </w:tcMar>
            <w:vAlign w:val="center"/>
          </w:tcPr>
          <w:p w14:paraId="5D75A8D3" w14:textId="77777777" w:rsidR="00974B5C" w:rsidRDefault="00000000">
            <w:pPr>
              <w:keepNext/>
              <w:keepLines/>
              <w:spacing w:after="0" w:line="240" w:lineRule="auto"/>
              <w:jc w:val="right"/>
            </w:pPr>
            <w:r>
              <w:rPr>
                <w:sz w:val="18"/>
              </w:rPr>
              <w:t>5.001,25</w:t>
            </w:r>
          </w:p>
        </w:tc>
        <w:tc>
          <w:tcPr>
            <w:tcW w:w="700" w:type="dxa"/>
            <w:tcMar>
              <w:top w:w="0" w:type="dxa"/>
              <w:bottom w:w="0" w:type="dxa"/>
            </w:tcMar>
            <w:vAlign w:val="center"/>
          </w:tcPr>
          <w:p w14:paraId="05DA9F24" w14:textId="77777777" w:rsidR="00974B5C" w:rsidRDefault="00000000">
            <w:pPr>
              <w:keepNext/>
              <w:keepLines/>
              <w:spacing w:after="0" w:line="240" w:lineRule="auto"/>
              <w:jc w:val="right"/>
            </w:pPr>
            <w:r>
              <w:rPr>
                <w:sz w:val="18"/>
              </w:rPr>
              <w:t>192,6</w:t>
            </w:r>
          </w:p>
        </w:tc>
      </w:tr>
    </w:tbl>
    <w:p w14:paraId="41C1A316" w14:textId="77777777" w:rsidR="00974B5C" w:rsidRDefault="00974B5C">
      <w:pPr>
        <w:spacing w:after="0"/>
      </w:pPr>
    </w:p>
    <w:p w14:paraId="3C9A50FE" w14:textId="77777777" w:rsidR="00974B5C" w:rsidRDefault="00000000">
      <w:r>
        <w:t>Iznos se odnosi na zakupe poljoprivrednog zemljišta u vlasništvu RH, zakupe poslovnih prostora, te najmove sala, hladnjače i inventara</w:t>
      </w:r>
    </w:p>
    <w:p w14:paraId="0721FD7D" w14:textId="77777777" w:rsidR="00974B5C" w:rsidRDefault="00000000">
      <w:r>
        <w:t> </w:t>
      </w:r>
    </w:p>
    <w:p w14:paraId="3E065663" w14:textId="77777777" w:rsidR="00974B5C" w:rsidRDefault="00974B5C"/>
    <w:p w14:paraId="142CF3BA" w14:textId="77777777" w:rsidR="00974B5C"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714B16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8EDF4B"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1906FA"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2D90A5"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12CC08"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2A0A53"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DB0491" w14:textId="77777777" w:rsidR="00974B5C" w:rsidRDefault="00000000">
            <w:pPr>
              <w:keepNext/>
              <w:keepLines/>
              <w:spacing w:after="0" w:line="240" w:lineRule="auto"/>
              <w:jc w:val="center"/>
            </w:pPr>
            <w:r>
              <w:rPr>
                <w:b/>
                <w:sz w:val="18"/>
              </w:rPr>
              <w:t>Indeks (%)</w:t>
            </w:r>
          </w:p>
        </w:tc>
      </w:tr>
      <w:tr w:rsidR="00974B5C" w14:paraId="4F922FC3" w14:textId="77777777">
        <w:tblPrEx>
          <w:tblCellMar>
            <w:top w:w="0" w:type="dxa"/>
            <w:bottom w:w="0" w:type="dxa"/>
          </w:tblCellMar>
        </w:tblPrEx>
        <w:trPr>
          <w:cantSplit/>
          <w:trHeight w:val="560"/>
        </w:trPr>
        <w:tc>
          <w:tcPr>
            <w:tcW w:w="700" w:type="dxa"/>
            <w:tcMar>
              <w:top w:w="0" w:type="dxa"/>
              <w:bottom w:w="0" w:type="dxa"/>
            </w:tcMar>
            <w:vAlign w:val="center"/>
          </w:tcPr>
          <w:p w14:paraId="68AC0970" w14:textId="77777777" w:rsidR="00974B5C" w:rsidRDefault="00000000">
            <w:pPr>
              <w:keepNext/>
              <w:keepLines/>
              <w:spacing w:after="0" w:line="240" w:lineRule="auto"/>
            </w:pPr>
            <w:r>
              <w:rPr>
                <w:sz w:val="18"/>
              </w:rPr>
              <w:t>165</w:t>
            </w:r>
          </w:p>
        </w:tc>
        <w:tc>
          <w:tcPr>
            <w:tcW w:w="3180" w:type="dxa"/>
            <w:tcMar>
              <w:top w:w="0" w:type="dxa"/>
              <w:bottom w:w="0" w:type="dxa"/>
            </w:tcMar>
            <w:vAlign w:val="center"/>
          </w:tcPr>
          <w:p w14:paraId="2AF30A25" w14:textId="77777777" w:rsidR="00974B5C"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48D8FBF7" w14:textId="77777777" w:rsidR="00974B5C" w:rsidRDefault="00000000">
            <w:pPr>
              <w:keepNext/>
              <w:keepLines/>
              <w:spacing w:after="0" w:line="240" w:lineRule="auto"/>
            </w:pPr>
            <w:r>
              <w:rPr>
                <w:sz w:val="18"/>
              </w:rPr>
              <w:t>165</w:t>
            </w:r>
          </w:p>
        </w:tc>
        <w:tc>
          <w:tcPr>
            <w:tcW w:w="1860" w:type="dxa"/>
            <w:tcMar>
              <w:top w:w="0" w:type="dxa"/>
              <w:bottom w:w="0" w:type="dxa"/>
            </w:tcMar>
            <w:vAlign w:val="center"/>
          </w:tcPr>
          <w:p w14:paraId="47471A5B" w14:textId="77777777" w:rsidR="00974B5C" w:rsidRDefault="00000000">
            <w:pPr>
              <w:keepNext/>
              <w:keepLines/>
              <w:spacing w:after="0" w:line="240" w:lineRule="auto"/>
              <w:jc w:val="right"/>
            </w:pPr>
            <w:r>
              <w:rPr>
                <w:sz w:val="18"/>
              </w:rPr>
              <w:t>30.166,38</w:t>
            </w:r>
          </w:p>
        </w:tc>
        <w:tc>
          <w:tcPr>
            <w:tcW w:w="1860" w:type="dxa"/>
            <w:tcMar>
              <w:top w:w="0" w:type="dxa"/>
              <w:bottom w:w="0" w:type="dxa"/>
            </w:tcMar>
            <w:vAlign w:val="center"/>
          </w:tcPr>
          <w:p w14:paraId="0DCAF6EB" w14:textId="77777777" w:rsidR="00974B5C" w:rsidRDefault="00000000">
            <w:pPr>
              <w:keepNext/>
              <w:keepLines/>
              <w:spacing w:after="0" w:line="240" w:lineRule="auto"/>
              <w:jc w:val="right"/>
            </w:pPr>
            <w:r>
              <w:rPr>
                <w:sz w:val="18"/>
              </w:rPr>
              <w:t>40.272,48</w:t>
            </w:r>
          </w:p>
        </w:tc>
        <w:tc>
          <w:tcPr>
            <w:tcW w:w="700" w:type="dxa"/>
            <w:tcMar>
              <w:top w:w="0" w:type="dxa"/>
              <w:bottom w:w="0" w:type="dxa"/>
            </w:tcMar>
            <w:vAlign w:val="center"/>
          </w:tcPr>
          <w:p w14:paraId="3E6F5164" w14:textId="77777777" w:rsidR="00974B5C" w:rsidRDefault="00000000">
            <w:pPr>
              <w:keepNext/>
              <w:keepLines/>
              <w:spacing w:after="0" w:line="240" w:lineRule="auto"/>
              <w:jc w:val="right"/>
            </w:pPr>
            <w:r>
              <w:rPr>
                <w:sz w:val="18"/>
              </w:rPr>
              <w:t>133,5</w:t>
            </w:r>
          </w:p>
        </w:tc>
      </w:tr>
    </w:tbl>
    <w:p w14:paraId="363F1BCA" w14:textId="77777777" w:rsidR="00974B5C" w:rsidRDefault="00974B5C">
      <w:pPr>
        <w:spacing w:after="0"/>
      </w:pPr>
    </w:p>
    <w:p w14:paraId="2E19E6F5" w14:textId="77777777" w:rsidR="00974B5C" w:rsidRDefault="00000000">
      <w:r>
        <w:t xml:space="preserve">Potraživanja za iznose komunalne naknade, naknade za odvodnju, </w:t>
      </w:r>
      <w:proofErr w:type="spellStart"/>
      <w:r>
        <w:t>grobarine</w:t>
      </w:r>
      <w:proofErr w:type="spellEnd"/>
      <w:r>
        <w:t>, potraživanja za šumski doprinos, komunalni doprinos</w:t>
      </w:r>
    </w:p>
    <w:p w14:paraId="32BDFEED" w14:textId="77777777" w:rsidR="00974B5C" w:rsidRDefault="00974B5C"/>
    <w:p w14:paraId="3DE98D3C" w14:textId="77777777" w:rsidR="00974B5C"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1B7054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DC070C"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071F70"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4E01DA"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A9CCE7"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26A969"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3E05C6" w14:textId="77777777" w:rsidR="00974B5C" w:rsidRDefault="00000000">
            <w:pPr>
              <w:keepNext/>
              <w:keepLines/>
              <w:spacing w:after="0" w:line="240" w:lineRule="auto"/>
              <w:jc w:val="center"/>
            </w:pPr>
            <w:r>
              <w:rPr>
                <w:b/>
                <w:sz w:val="18"/>
              </w:rPr>
              <w:t>Indeks (%)</w:t>
            </w:r>
          </w:p>
        </w:tc>
      </w:tr>
      <w:tr w:rsidR="00974B5C" w14:paraId="7EB72CB7" w14:textId="77777777">
        <w:tblPrEx>
          <w:tblCellMar>
            <w:top w:w="0" w:type="dxa"/>
            <w:bottom w:w="0" w:type="dxa"/>
          </w:tblCellMar>
        </w:tblPrEx>
        <w:trPr>
          <w:cantSplit/>
          <w:trHeight w:val="560"/>
        </w:trPr>
        <w:tc>
          <w:tcPr>
            <w:tcW w:w="700" w:type="dxa"/>
            <w:tcMar>
              <w:top w:w="0" w:type="dxa"/>
              <w:bottom w:w="0" w:type="dxa"/>
            </w:tcMar>
            <w:vAlign w:val="center"/>
          </w:tcPr>
          <w:p w14:paraId="3F6D18DC" w14:textId="77777777" w:rsidR="00974B5C" w:rsidRDefault="00000000">
            <w:pPr>
              <w:keepNext/>
              <w:keepLines/>
              <w:spacing w:after="0" w:line="240" w:lineRule="auto"/>
            </w:pPr>
            <w:r>
              <w:rPr>
                <w:sz w:val="18"/>
              </w:rPr>
              <w:t>232</w:t>
            </w:r>
          </w:p>
        </w:tc>
        <w:tc>
          <w:tcPr>
            <w:tcW w:w="3180" w:type="dxa"/>
            <w:tcMar>
              <w:top w:w="0" w:type="dxa"/>
              <w:bottom w:w="0" w:type="dxa"/>
            </w:tcMar>
            <w:vAlign w:val="center"/>
          </w:tcPr>
          <w:p w14:paraId="575F899C" w14:textId="77777777" w:rsidR="00974B5C"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072F0FC6" w14:textId="77777777" w:rsidR="00974B5C" w:rsidRDefault="00000000">
            <w:pPr>
              <w:keepNext/>
              <w:keepLines/>
              <w:spacing w:after="0" w:line="240" w:lineRule="auto"/>
            </w:pPr>
            <w:r>
              <w:rPr>
                <w:sz w:val="18"/>
              </w:rPr>
              <w:t>232</w:t>
            </w:r>
          </w:p>
        </w:tc>
        <w:tc>
          <w:tcPr>
            <w:tcW w:w="1860" w:type="dxa"/>
            <w:tcMar>
              <w:top w:w="0" w:type="dxa"/>
              <w:bottom w:w="0" w:type="dxa"/>
            </w:tcMar>
            <w:vAlign w:val="center"/>
          </w:tcPr>
          <w:p w14:paraId="337CDA33" w14:textId="77777777" w:rsidR="00974B5C" w:rsidRDefault="00000000">
            <w:pPr>
              <w:keepNext/>
              <w:keepLines/>
              <w:spacing w:after="0" w:line="240" w:lineRule="auto"/>
              <w:jc w:val="right"/>
            </w:pPr>
            <w:r>
              <w:rPr>
                <w:sz w:val="18"/>
              </w:rPr>
              <w:t>9.809,07</w:t>
            </w:r>
          </w:p>
        </w:tc>
        <w:tc>
          <w:tcPr>
            <w:tcW w:w="1860" w:type="dxa"/>
            <w:tcMar>
              <w:top w:w="0" w:type="dxa"/>
              <w:bottom w:w="0" w:type="dxa"/>
            </w:tcMar>
            <w:vAlign w:val="center"/>
          </w:tcPr>
          <w:p w14:paraId="57CBA401" w14:textId="77777777" w:rsidR="00974B5C" w:rsidRDefault="00000000">
            <w:pPr>
              <w:keepNext/>
              <w:keepLines/>
              <w:spacing w:after="0" w:line="240" w:lineRule="auto"/>
              <w:jc w:val="right"/>
            </w:pPr>
            <w:r>
              <w:rPr>
                <w:sz w:val="18"/>
              </w:rPr>
              <w:t>20.393,93</w:t>
            </w:r>
          </w:p>
        </w:tc>
        <w:tc>
          <w:tcPr>
            <w:tcW w:w="700" w:type="dxa"/>
            <w:tcMar>
              <w:top w:w="0" w:type="dxa"/>
              <w:bottom w:w="0" w:type="dxa"/>
            </w:tcMar>
            <w:vAlign w:val="center"/>
          </w:tcPr>
          <w:p w14:paraId="3A5F8D29" w14:textId="77777777" w:rsidR="00974B5C" w:rsidRDefault="00000000">
            <w:pPr>
              <w:keepNext/>
              <w:keepLines/>
              <w:spacing w:after="0" w:line="240" w:lineRule="auto"/>
              <w:jc w:val="right"/>
            </w:pPr>
            <w:r>
              <w:rPr>
                <w:sz w:val="18"/>
              </w:rPr>
              <w:t>207,9</w:t>
            </w:r>
          </w:p>
        </w:tc>
      </w:tr>
    </w:tbl>
    <w:p w14:paraId="543B6BFB" w14:textId="77777777" w:rsidR="00974B5C" w:rsidRDefault="00974B5C">
      <w:pPr>
        <w:spacing w:after="0"/>
      </w:pPr>
    </w:p>
    <w:p w14:paraId="06AA4DA2" w14:textId="77777777" w:rsidR="00974B5C" w:rsidRDefault="00000000">
      <w:r>
        <w:t>Iznos se odnosi na razne materijalne troškove, troškove električne energije, goriva, usluge telefona, pošte, razna održavanja objekata, komunalne usluge, članarine LAD-u, naknade vijećnicima i volonterima</w:t>
      </w:r>
    </w:p>
    <w:p w14:paraId="4E710456" w14:textId="77777777" w:rsidR="00974B5C" w:rsidRDefault="00974B5C"/>
    <w:p w14:paraId="60C031D4" w14:textId="77777777" w:rsidR="00974B5C"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5D3CDA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448302"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62BA46"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90BB09"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643D88"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996E97"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3444B6" w14:textId="77777777" w:rsidR="00974B5C" w:rsidRDefault="00000000">
            <w:pPr>
              <w:keepNext/>
              <w:keepLines/>
              <w:spacing w:after="0" w:line="240" w:lineRule="auto"/>
              <w:jc w:val="center"/>
            </w:pPr>
            <w:r>
              <w:rPr>
                <w:b/>
                <w:sz w:val="18"/>
              </w:rPr>
              <w:t>Indeks (%)</w:t>
            </w:r>
          </w:p>
        </w:tc>
      </w:tr>
      <w:tr w:rsidR="00974B5C" w14:paraId="6F0BEB12" w14:textId="77777777">
        <w:tblPrEx>
          <w:tblCellMar>
            <w:top w:w="0" w:type="dxa"/>
            <w:bottom w:w="0" w:type="dxa"/>
          </w:tblCellMar>
        </w:tblPrEx>
        <w:trPr>
          <w:cantSplit/>
          <w:trHeight w:val="560"/>
        </w:trPr>
        <w:tc>
          <w:tcPr>
            <w:tcW w:w="700" w:type="dxa"/>
            <w:tcMar>
              <w:top w:w="0" w:type="dxa"/>
              <w:bottom w:w="0" w:type="dxa"/>
            </w:tcMar>
            <w:vAlign w:val="center"/>
          </w:tcPr>
          <w:p w14:paraId="028DA4D1" w14:textId="77777777" w:rsidR="00974B5C" w:rsidRDefault="00000000">
            <w:pPr>
              <w:keepNext/>
              <w:keepLines/>
              <w:spacing w:after="0" w:line="240" w:lineRule="auto"/>
            </w:pPr>
            <w:r>
              <w:rPr>
                <w:sz w:val="18"/>
              </w:rPr>
              <w:t>234</w:t>
            </w:r>
          </w:p>
        </w:tc>
        <w:tc>
          <w:tcPr>
            <w:tcW w:w="3180" w:type="dxa"/>
            <w:tcMar>
              <w:top w:w="0" w:type="dxa"/>
              <w:bottom w:w="0" w:type="dxa"/>
            </w:tcMar>
            <w:vAlign w:val="center"/>
          </w:tcPr>
          <w:p w14:paraId="0EF8980E" w14:textId="77777777" w:rsidR="00974B5C" w:rsidRDefault="0000000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71EE186B" w14:textId="77777777" w:rsidR="00974B5C" w:rsidRDefault="00000000">
            <w:pPr>
              <w:keepNext/>
              <w:keepLines/>
              <w:spacing w:after="0" w:line="240" w:lineRule="auto"/>
            </w:pPr>
            <w:r>
              <w:rPr>
                <w:sz w:val="18"/>
              </w:rPr>
              <w:t>234</w:t>
            </w:r>
          </w:p>
        </w:tc>
        <w:tc>
          <w:tcPr>
            <w:tcW w:w="1860" w:type="dxa"/>
            <w:tcMar>
              <w:top w:w="0" w:type="dxa"/>
              <w:bottom w:w="0" w:type="dxa"/>
            </w:tcMar>
            <w:vAlign w:val="center"/>
          </w:tcPr>
          <w:p w14:paraId="562BAEB7" w14:textId="77777777" w:rsidR="00974B5C" w:rsidRDefault="00000000">
            <w:pPr>
              <w:keepNext/>
              <w:keepLines/>
              <w:spacing w:after="0" w:line="240" w:lineRule="auto"/>
              <w:jc w:val="right"/>
            </w:pPr>
            <w:r>
              <w:rPr>
                <w:sz w:val="18"/>
              </w:rPr>
              <w:t>0,18</w:t>
            </w:r>
          </w:p>
        </w:tc>
        <w:tc>
          <w:tcPr>
            <w:tcW w:w="1860" w:type="dxa"/>
            <w:tcMar>
              <w:top w:w="0" w:type="dxa"/>
              <w:bottom w:w="0" w:type="dxa"/>
            </w:tcMar>
            <w:vAlign w:val="center"/>
          </w:tcPr>
          <w:p w14:paraId="64DA8768" w14:textId="77777777" w:rsidR="00974B5C" w:rsidRDefault="00000000">
            <w:pPr>
              <w:keepNext/>
              <w:keepLines/>
              <w:spacing w:after="0" w:line="240" w:lineRule="auto"/>
              <w:jc w:val="right"/>
            </w:pPr>
            <w:r>
              <w:rPr>
                <w:sz w:val="18"/>
              </w:rPr>
              <w:t>0,34</w:t>
            </w:r>
          </w:p>
        </w:tc>
        <w:tc>
          <w:tcPr>
            <w:tcW w:w="700" w:type="dxa"/>
            <w:tcMar>
              <w:top w:w="0" w:type="dxa"/>
              <w:bottom w:w="0" w:type="dxa"/>
            </w:tcMar>
            <w:vAlign w:val="center"/>
          </w:tcPr>
          <w:p w14:paraId="2E899452" w14:textId="77777777" w:rsidR="00974B5C" w:rsidRDefault="00000000">
            <w:pPr>
              <w:keepNext/>
              <w:keepLines/>
              <w:spacing w:after="0" w:line="240" w:lineRule="auto"/>
              <w:jc w:val="right"/>
            </w:pPr>
            <w:r>
              <w:rPr>
                <w:sz w:val="18"/>
              </w:rPr>
              <w:t>188,9</w:t>
            </w:r>
          </w:p>
        </w:tc>
      </w:tr>
    </w:tbl>
    <w:p w14:paraId="37461736" w14:textId="77777777" w:rsidR="00974B5C" w:rsidRDefault="00974B5C">
      <w:pPr>
        <w:spacing w:after="0"/>
      </w:pPr>
    </w:p>
    <w:p w14:paraId="16F54E42" w14:textId="77777777" w:rsidR="00974B5C" w:rsidRDefault="00000000">
      <w:r>
        <w:t>Iznos se odnosi na kamate po prekoračenjima dospijeća</w:t>
      </w:r>
    </w:p>
    <w:p w14:paraId="5BC7F312" w14:textId="77777777" w:rsidR="00974B5C" w:rsidRDefault="00974B5C"/>
    <w:p w14:paraId="20C4E31E" w14:textId="77777777" w:rsidR="00974B5C"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1A44ED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49A6C1"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8EFE12"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B5EF14"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A19387" w14:textId="77777777" w:rsidR="00974B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A583E6" w14:textId="77777777" w:rsidR="00974B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C1F0F0" w14:textId="77777777" w:rsidR="00974B5C" w:rsidRDefault="00000000">
            <w:pPr>
              <w:keepNext/>
              <w:keepLines/>
              <w:spacing w:after="0" w:line="240" w:lineRule="auto"/>
              <w:jc w:val="center"/>
            </w:pPr>
            <w:r>
              <w:rPr>
                <w:b/>
                <w:sz w:val="18"/>
              </w:rPr>
              <w:t>Indeks (%)</w:t>
            </w:r>
          </w:p>
        </w:tc>
      </w:tr>
      <w:tr w:rsidR="00974B5C" w14:paraId="499E25D2" w14:textId="77777777">
        <w:tblPrEx>
          <w:tblCellMar>
            <w:top w:w="0" w:type="dxa"/>
            <w:bottom w:w="0" w:type="dxa"/>
          </w:tblCellMar>
        </w:tblPrEx>
        <w:trPr>
          <w:cantSplit/>
          <w:trHeight w:val="560"/>
        </w:trPr>
        <w:tc>
          <w:tcPr>
            <w:tcW w:w="700" w:type="dxa"/>
            <w:tcMar>
              <w:top w:w="0" w:type="dxa"/>
              <w:bottom w:w="0" w:type="dxa"/>
            </w:tcMar>
            <w:vAlign w:val="center"/>
          </w:tcPr>
          <w:p w14:paraId="615F9C94" w14:textId="77777777" w:rsidR="00974B5C" w:rsidRDefault="00000000">
            <w:pPr>
              <w:keepNext/>
              <w:keepLines/>
              <w:spacing w:after="0" w:line="240" w:lineRule="auto"/>
            </w:pPr>
            <w:r>
              <w:rPr>
                <w:sz w:val="18"/>
              </w:rPr>
              <w:t>239</w:t>
            </w:r>
          </w:p>
        </w:tc>
        <w:tc>
          <w:tcPr>
            <w:tcW w:w="3180" w:type="dxa"/>
            <w:tcMar>
              <w:top w:w="0" w:type="dxa"/>
              <w:bottom w:w="0" w:type="dxa"/>
            </w:tcMar>
            <w:vAlign w:val="center"/>
          </w:tcPr>
          <w:p w14:paraId="2C06CE95" w14:textId="77777777" w:rsidR="00974B5C" w:rsidRDefault="00000000">
            <w:pPr>
              <w:keepNext/>
              <w:keepLines/>
              <w:spacing w:after="0" w:line="240" w:lineRule="auto"/>
            </w:pPr>
            <w:r>
              <w:rPr>
                <w:sz w:val="18"/>
              </w:rPr>
              <w:t>Ostale tekuće obveze</w:t>
            </w:r>
          </w:p>
        </w:tc>
        <w:tc>
          <w:tcPr>
            <w:tcW w:w="700" w:type="dxa"/>
            <w:tcMar>
              <w:top w:w="0" w:type="dxa"/>
              <w:bottom w:w="0" w:type="dxa"/>
            </w:tcMar>
            <w:vAlign w:val="center"/>
          </w:tcPr>
          <w:p w14:paraId="1C2FE46D" w14:textId="77777777" w:rsidR="00974B5C" w:rsidRDefault="00000000">
            <w:pPr>
              <w:keepNext/>
              <w:keepLines/>
              <w:spacing w:after="0" w:line="240" w:lineRule="auto"/>
            </w:pPr>
            <w:r>
              <w:rPr>
                <w:sz w:val="18"/>
              </w:rPr>
              <w:t>239</w:t>
            </w:r>
          </w:p>
        </w:tc>
        <w:tc>
          <w:tcPr>
            <w:tcW w:w="1860" w:type="dxa"/>
            <w:tcMar>
              <w:top w:w="0" w:type="dxa"/>
              <w:bottom w:w="0" w:type="dxa"/>
            </w:tcMar>
            <w:vAlign w:val="center"/>
          </w:tcPr>
          <w:p w14:paraId="745AE935" w14:textId="77777777" w:rsidR="00974B5C" w:rsidRDefault="00000000">
            <w:pPr>
              <w:keepNext/>
              <w:keepLines/>
              <w:spacing w:after="0" w:line="240" w:lineRule="auto"/>
              <w:jc w:val="right"/>
            </w:pPr>
            <w:r>
              <w:rPr>
                <w:sz w:val="18"/>
              </w:rPr>
              <w:t>11.919,53</w:t>
            </w:r>
          </w:p>
        </w:tc>
        <w:tc>
          <w:tcPr>
            <w:tcW w:w="1860" w:type="dxa"/>
            <w:tcMar>
              <w:top w:w="0" w:type="dxa"/>
              <w:bottom w:w="0" w:type="dxa"/>
            </w:tcMar>
            <w:vAlign w:val="center"/>
          </w:tcPr>
          <w:p w14:paraId="5EB19E9F" w14:textId="77777777" w:rsidR="00974B5C" w:rsidRDefault="00000000">
            <w:pPr>
              <w:keepNext/>
              <w:keepLines/>
              <w:spacing w:after="0" w:line="240" w:lineRule="auto"/>
              <w:jc w:val="right"/>
            </w:pPr>
            <w:r>
              <w:rPr>
                <w:sz w:val="18"/>
              </w:rPr>
              <w:t>73.630,36</w:t>
            </w:r>
          </w:p>
        </w:tc>
        <w:tc>
          <w:tcPr>
            <w:tcW w:w="700" w:type="dxa"/>
            <w:tcMar>
              <w:top w:w="0" w:type="dxa"/>
              <w:bottom w:w="0" w:type="dxa"/>
            </w:tcMar>
            <w:vAlign w:val="center"/>
          </w:tcPr>
          <w:p w14:paraId="5F1F2A14" w14:textId="77777777" w:rsidR="00974B5C" w:rsidRDefault="00000000">
            <w:pPr>
              <w:keepNext/>
              <w:keepLines/>
              <w:spacing w:after="0" w:line="240" w:lineRule="auto"/>
              <w:jc w:val="right"/>
            </w:pPr>
            <w:r>
              <w:rPr>
                <w:sz w:val="18"/>
              </w:rPr>
              <w:t>617,7</w:t>
            </w:r>
          </w:p>
        </w:tc>
      </w:tr>
    </w:tbl>
    <w:p w14:paraId="531DB9FC" w14:textId="77777777" w:rsidR="00974B5C" w:rsidRDefault="00974B5C">
      <w:pPr>
        <w:spacing w:after="0"/>
      </w:pPr>
    </w:p>
    <w:p w14:paraId="3674EA70" w14:textId="77777777" w:rsidR="00974B5C" w:rsidRDefault="00000000">
      <w:r>
        <w:t>Najveći dio tih obaveza je financiranje izgradnje odvodnje(kanalizacije) u naseljima općine</w:t>
      </w:r>
    </w:p>
    <w:p w14:paraId="3E52A820" w14:textId="77777777" w:rsidR="00974B5C" w:rsidRDefault="00974B5C"/>
    <w:p w14:paraId="04089A83" w14:textId="77777777" w:rsidR="00974B5C" w:rsidRDefault="00000000">
      <w:pPr>
        <w:keepNext/>
        <w:spacing w:line="240" w:lineRule="auto"/>
        <w:jc w:val="center"/>
      </w:pPr>
      <w:r>
        <w:rPr>
          <w:b/>
          <w:sz w:val="28"/>
        </w:rPr>
        <w:t>Promjene u vrijednosti i obujmu imovine i obveza</w:t>
      </w:r>
    </w:p>
    <w:p w14:paraId="591C409F" w14:textId="77777777" w:rsidR="00974B5C"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74B5C" w14:paraId="624B33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E7F3F9"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87539F"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9FF57E"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99D0FF" w14:textId="77777777" w:rsidR="00974B5C"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CF3819A" w14:textId="77777777" w:rsidR="00974B5C"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4BFEF46" w14:textId="77777777" w:rsidR="00974B5C" w:rsidRDefault="00000000">
            <w:pPr>
              <w:keepNext/>
              <w:keepLines/>
              <w:spacing w:after="0" w:line="240" w:lineRule="auto"/>
              <w:jc w:val="center"/>
            </w:pPr>
            <w:r>
              <w:rPr>
                <w:b/>
                <w:sz w:val="18"/>
              </w:rPr>
              <w:t>Indeks (%)</w:t>
            </w:r>
          </w:p>
        </w:tc>
      </w:tr>
      <w:tr w:rsidR="00974B5C" w14:paraId="5A1D3DBE" w14:textId="77777777">
        <w:tblPrEx>
          <w:tblCellMar>
            <w:top w:w="0" w:type="dxa"/>
            <w:bottom w:w="0" w:type="dxa"/>
          </w:tblCellMar>
        </w:tblPrEx>
        <w:trPr>
          <w:cantSplit/>
          <w:trHeight w:val="560"/>
        </w:trPr>
        <w:tc>
          <w:tcPr>
            <w:tcW w:w="700" w:type="dxa"/>
            <w:tcMar>
              <w:top w:w="0" w:type="dxa"/>
              <w:bottom w:w="0" w:type="dxa"/>
            </w:tcMar>
            <w:vAlign w:val="center"/>
          </w:tcPr>
          <w:p w14:paraId="7A115A2E" w14:textId="77777777" w:rsidR="00974B5C" w:rsidRDefault="00000000">
            <w:pPr>
              <w:keepNext/>
              <w:keepLines/>
              <w:spacing w:after="0" w:line="240" w:lineRule="auto"/>
            </w:pPr>
            <w:r>
              <w:rPr>
                <w:sz w:val="18"/>
              </w:rPr>
              <w:t>91512</w:t>
            </w:r>
          </w:p>
        </w:tc>
        <w:tc>
          <w:tcPr>
            <w:tcW w:w="3180" w:type="dxa"/>
            <w:tcMar>
              <w:top w:w="0" w:type="dxa"/>
              <w:bottom w:w="0" w:type="dxa"/>
            </w:tcMar>
            <w:vAlign w:val="center"/>
          </w:tcPr>
          <w:p w14:paraId="06BDA00F" w14:textId="77777777" w:rsidR="00974B5C"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33B210FA" w14:textId="77777777" w:rsidR="00974B5C" w:rsidRDefault="00000000">
            <w:pPr>
              <w:keepNext/>
              <w:keepLines/>
              <w:spacing w:after="0" w:line="240" w:lineRule="auto"/>
            </w:pPr>
            <w:r>
              <w:rPr>
                <w:sz w:val="18"/>
              </w:rPr>
              <w:t>91512</w:t>
            </w:r>
          </w:p>
        </w:tc>
        <w:tc>
          <w:tcPr>
            <w:tcW w:w="1860" w:type="dxa"/>
            <w:tcMar>
              <w:top w:w="0" w:type="dxa"/>
              <w:bottom w:w="0" w:type="dxa"/>
            </w:tcMar>
            <w:vAlign w:val="center"/>
          </w:tcPr>
          <w:p w14:paraId="51422322" w14:textId="77777777" w:rsidR="00974B5C" w:rsidRDefault="00000000">
            <w:pPr>
              <w:keepNext/>
              <w:keepLines/>
              <w:spacing w:after="0" w:line="240" w:lineRule="auto"/>
              <w:jc w:val="right"/>
            </w:pPr>
            <w:r>
              <w:rPr>
                <w:sz w:val="18"/>
              </w:rPr>
              <w:t>424,05</w:t>
            </w:r>
          </w:p>
        </w:tc>
        <w:tc>
          <w:tcPr>
            <w:tcW w:w="1860" w:type="dxa"/>
            <w:tcMar>
              <w:top w:w="0" w:type="dxa"/>
              <w:bottom w:w="0" w:type="dxa"/>
            </w:tcMar>
            <w:vAlign w:val="center"/>
          </w:tcPr>
          <w:p w14:paraId="714AA0CC" w14:textId="77777777" w:rsidR="00974B5C" w:rsidRDefault="00000000">
            <w:pPr>
              <w:keepNext/>
              <w:keepLines/>
              <w:spacing w:after="0" w:line="240" w:lineRule="auto"/>
              <w:jc w:val="right"/>
            </w:pPr>
            <w:r>
              <w:rPr>
                <w:sz w:val="18"/>
              </w:rPr>
              <w:t>19.661,41</w:t>
            </w:r>
          </w:p>
        </w:tc>
        <w:tc>
          <w:tcPr>
            <w:tcW w:w="700" w:type="dxa"/>
            <w:tcMar>
              <w:top w:w="0" w:type="dxa"/>
              <w:bottom w:w="0" w:type="dxa"/>
            </w:tcMar>
            <w:vAlign w:val="center"/>
          </w:tcPr>
          <w:p w14:paraId="57079CF5" w14:textId="77777777" w:rsidR="00974B5C" w:rsidRDefault="00000000">
            <w:pPr>
              <w:keepNext/>
              <w:keepLines/>
              <w:spacing w:after="0" w:line="240" w:lineRule="auto"/>
              <w:jc w:val="right"/>
            </w:pPr>
            <w:r>
              <w:rPr>
                <w:sz w:val="18"/>
              </w:rPr>
              <w:t>4636,6</w:t>
            </w:r>
          </w:p>
        </w:tc>
      </w:tr>
    </w:tbl>
    <w:p w14:paraId="2ED67A97" w14:textId="77777777" w:rsidR="00974B5C" w:rsidRDefault="00974B5C">
      <w:pPr>
        <w:spacing w:after="0"/>
      </w:pPr>
    </w:p>
    <w:p w14:paraId="7529C127" w14:textId="77777777" w:rsidR="00974B5C" w:rsidRDefault="00000000">
      <w:r>
        <w:t xml:space="preserve">U 2025. je bila  promjena u vrijednosti i obujmu imovine u iznosu 19.661,41 </w:t>
      </w:r>
      <w:proofErr w:type="spellStart"/>
      <w:r>
        <w:t>isknjiženje</w:t>
      </w:r>
      <w:proofErr w:type="spellEnd"/>
      <w:r>
        <w:t xml:space="preserve"> spomenika VSNM i usklađenje popisa dugotrajne imovine sa stvarnim stanjem u bilanci za knjižnicu</w:t>
      </w:r>
    </w:p>
    <w:p w14:paraId="5DE3EE40" w14:textId="77777777" w:rsidR="00974B5C" w:rsidRDefault="00974B5C"/>
    <w:p w14:paraId="0C37FB79" w14:textId="77777777" w:rsidR="00974B5C" w:rsidRDefault="00000000">
      <w:pPr>
        <w:keepNext/>
        <w:spacing w:line="240" w:lineRule="auto"/>
        <w:jc w:val="center"/>
      </w:pPr>
      <w:r>
        <w:rPr>
          <w:b/>
          <w:sz w:val="28"/>
        </w:rPr>
        <w:t>Izvještaj o obvezama</w:t>
      </w:r>
    </w:p>
    <w:p w14:paraId="5AB70BD9" w14:textId="77777777" w:rsidR="00974B5C"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74B5C" w14:paraId="15FDF6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4E7B32"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D8EE34"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370DD8"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1ADFDA" w14:textId="77777777" w:rsidR="00974B5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0A7380" w14:textId="77777777" w:rsidR="00974B5C" w:rsidRDefault="00000000">
            <w:pPr>
              <w:keepNext/>
              <w:keepLines/>
              <w:spacing w:after="0" w:line="240" w:lineRule="auto"/>
              <w:jc w:val="center"/>
            </w:pPr>
            <w:r>
              <w:rPr>
                <w:b/>
                <w:sz w:val="18"/>
              </w:rPr>
              <w:t>Indeks (%)</w:t>
            </w:r>
          </w:p>
        </w:tc>
      </w:tr>
      <w:tr w:rsidR="00974B5C" w14:paraId="1381084B" w14:textId="77777777">
        <w:tblPrEx>
          <w:tblCellMar>
            <w:top w:w="0" w:type="dxa"/>
            <w:bottom w:w="0" w:type="dxa"/>
          </w:tblCellMar>
        </w:tblPrEx>
        <w:trPr>
          <w:cantSplit/>
          <w:trHeight w:val="560"/>
        </w:trPr>
        <w:tc>
          <w:tcPr>
            <w:tcW w:w="700" w:type="dxa"/>
            <w:tcMar>
              <w:top w:w="0" w:type="dxa"/>
              <w:bottom w:w="0" w:type="dxa"/>
            </w:tcMar>
            <w:vAlign w:val="center"/>
          </w:tcPr>
          <w:p w14:paraId="4AE1AAE6" w14:textId="77777777" w:rsidR="00974B5C" w:rsidRDefault="00974B5C">
            <w:pPr>
              <w:keepNext/>
              <w:keepLines/>
              <w:spacing w:after="0" w:line="240" w:lineRule="auto"/>
            </w:pPr>
          </w:p>
        </w:tc>
        <w:tc>
          <w:tcPr>
            <w:tcW w:w="3180" w:type="dxa"/>
            <w:tcMar>
              <w:top w:w="0" w:type="dxa"/>
              <w:bottom w:w="0" w:type="dxa"/>
            </w:tcMar>
            <w:vAlign w:val="center"/>
          </w:tcPr>
          <w:p w14:paraId="4E661438" w14:textId="77777777" w:rsidR="00974B5C"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D2279F1" w14:textId="77777777" w:rsidR="00974B5C" w:rsidRDefault="00000000">
            <w:pPr>
              <w:keepNext/>
              <w:keepLines/>
              <w:spacing w:after="0" w:line="240" w:lineRule="auto"/>
            </w:pPr>
            <w:r>
              <w:rPr>
                <w:sz w:val="18"/>
              </w:rPr>
              <w:t>V006</w:t>
            </w:r>
          </w:p>
        </w:tc>
        <w:tc>
          <w:tcPr>
            <w:tcW w:w="1860" w:type="dxa"/>
            <w:tcMar>
              <w:top w:w="0" w:type="dxa"/>
              <w:bottom w:w="0" w:type="dxa"/>
            </w:tcMar>
            <w:vAlign w:val="center"/>
          </w:tcPr>
          <w:p w14:paraId="6EACE4F8" w14:textId="77777777" w:rsidR="00974B5C" w:rsidRDefault="00000000">
            <w:pPr>
              <w:keepNext/>
              <w:keepLines/>
              <w:spacing w:after="0" w:line="240" w:lineRule="auto"/>
              <w:jc w:val="right"/>
            </w:pPr>
            <w:r>
              <w:rPr>
                <w:sz w:val="18"/>
              </w:rPr>
              <w:t>238.292,85</w:t>
            </w:r>
          </w:p>
        </w:tc>
        <w:tc>
          <w:tcPr>
            <w:tcW w:w="700" w:type="dxa"/>
            <w:tcMar>
              <w:top w:w="0" w:type="dxa"/>
              <w:bottom w:w="0" w:type="dxa"/>
            </w:tcMar>
            <w:vAlign w:val="center"/>
          </w:tcPr>
          <w:p w14:paraId="79D8F6CD" w14:textId="77777777" w:rsidR="00974B5C" w:rsidRDefault="00000000">
            <w:pPr>
              <w:keepNext/>
              <w:keepLines/>
              <w:spacing w:after="0" w:line="240" w:lineRule="auto"/>
              <w:jc w:val="right"/>
            </w:pPr>
            <w:r>
              <w:rPr>
                <w:sz w:val="18"/>
              </w:rPr>
              <w:t>-</w:t>
            </w:r>
          </w:p>
        </w:tc>
      </w:tr>
    </w:tbl>
    <w:p w14:paraId="5827D56D" w14:textId="77777777" w:rsidR="00974B5C" w:rsidRDefault="00974B5C">
      <w:pPr>
        <w:spacing w:after="0"/>
      </w:pPr>
    </w:p>
    <w:p w14:paraId="0B338893" w14:textId="77777777" w:rsidR="00974B5C" w:rsidRDefault="00000000">
      <w:r>
        <w:t>Iznos od 238.292,85 je stanje obveza dospjelih i nedospjelih  na dan 31.12.2025. od toga dospjelih obveza je 151.384,97,a nedospjelih 86.907,88 eura</w:t>
      </w:r>
    </w:p>
    <w:p w14:paraId="530B17F0" w14:textId="77777777" w:rsidR="00974B5C" w:rsidRDefault="00000000">
      <w:r>
        <w:lastRenderedPageBreak/>
        <w:t> </w:t>
      </w:r>
    </w:p>
    <w:p w14:paraId="6BA2364A" w14:textId="77777777" w:rsidR="00974B5C" w:rsidRDefault="00974B5C"/>
    <w:p w14:paraId="4909A87F" w14:textId="77777777" w:rsidR="00974B5C"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74B5C" w14:paraId="501DC0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91F478" w14:textId="77777777" w:rsidR="00974B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5C5B64" w14:textId="77777777" w:rsidR="00974B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2ABCDB" w14:textId="77777777" w:rsidR="00974B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9BF9E0" w14:textId="77777777" w:rsidR="00974B5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ACDB175" w14:textId="77777777" w:rsidR="00974B5C" w:rsidRDefault="00000000">
            <w:pPr>
              <w:keepNext/>
              <w:keepLines/>
              <w:spacing w:after="0" w:line="240" w:lineRule="auto"/>
              <w:jc w:val="center"/>
            </w:pPr>
            <w:r>
              <w:rPr>
                <w:b/>
                <w:sz w:val="18"/>
              </w:rPr>
              <w:t>Indeks (%)</w:t>
            </w:r>
          </w:p>
        </w:tc>
      </w:tr>
      <w:tr w:rsidR="00974B5C" w14:paraId="679574CA" w14:textId="77777777">
        <w:tblPrEx>
          <w:tblCellMar>
            <w:top w:w="0" w:type="dxa"/>
            <w:bottom w:w="0" w:type="dxa"/>
          </w:tblCellMar>
        </w:tblPrEx>
        <w:trPr>
          <w:cantSplit/>
          <w:trHeight w:val="560"/>
        </w:trPr>
        <w:tc>
          <w:tcPr>
            <w:tcW w:w="700" w:type="dxa"/>
            <w:tcMar>
              <w:top w:w="0" w:type="dxa"/>
              <w:bottom w:w="0" w:type="dxa"/>
            </w:tcMar>
            <w:vAlign w:val="center"/>
          </w:tcPr>
          <w:p w14:paraId="20691749" w14:textId="77777777" w:rsidR="00974B5C" w:rsidRDefault="00974B5C">
            <w:pPr>
              <w:keepNext/>
              <w:keepLines/>
              <w:spacing w:after="0" w:line="240" w:lineRule="auto"/>
            </w:pPr>
          </w:p>
        </w:tc>
        <w:tc>
          <w:tcPr>
            <w:tcW w:w="3180" w:type="dxa"/>
            <w:tcMar>
              <w:top w:w="0" w:type="dxa"/>
              <w:bottom w:w="0" w:type="dxa"/>
            </w:tcMar>
            <w:vAlign w:val="center"/>
          </w:tcPr>
          <w:p w14:paraId="7AAF1625" w14:textId="77777777" w:rsidR="00974B5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9F18659" w14:textId="77777777" w:rsidR="00974B5C" w:rsidRDefault="00000000">
            <w:pPr>
              <w:keepNext/>
              <w:keepLines/>
              <w:spacing w:after="0" w:line="240" w:lineRule="auto"/>
            </w:pPr>
            <w:r>
              <w:rPr>
                <w:sz w:val="18"/>
              </w:rPr>
              <w:t>V007</w:t>
            </w:r>
          </w:p>
        </w:tc>
        <w:tc>
          <w:tcPr>
            <w:tcW w:w="1860" w:type="dxa"/>
            <w:tcMar>
              <w:top w:w="0" w:type="dxa"/>
              <w:bottom w:w="0" w:type="dxa"/>
            </w:tcMar>
            <w:vAlign w:val="center"/>
          </w:tcPr>
          <w:p w14:paraId="31BBD661" w14:textId="77777777" w:rsidR="00974B5C" w:rsidRDefault="00000000">
            <w:pPr>
              <w:keepNext/>
              <w:keepLines/>
              <w:spacing w:after="0" w:line="240" w:lineRule="auto"/>
              <w:jc w:val="right"/>
            </w:pPr>
            <w:r>
              <w:rPr>
                <w:sz w:val="18"/>
              </w:rPr>
              <w:t>151.384,97</w:t>
            </w:r>
          </w:p>
        </w:tc>
        <w:tc>
          <w:tcPr>
            <w:tcW w:w="700" w:type="dxa"/>
            <w:tcMar>
              <w:top w:w="0" w:type="dxa"/>
              <w:bottom w:w="0" w:type="dxa"/>
            </w:tcMar>
            <w:vAlign w:val="center"/>
          </w:tcPr>
          <w:p w14:paraId="0E1C1D1C" w14:textId="77777777" w:rsidR="00974B5C" w:rsidRDefault="00000000">
            <w:pPr>
              <w:keepNext/>
              <w:keepLines/>
              <w:spacing w:after="0" w:line="240" w:lineRule="auto"/>
              <w:jc w:val="right"/>
            </w:pPr>
            <w:r>
              <w:rPr>
                <w:sz w:val="18"/>
              </w:rPr>
              <w:t>-</w:t>
            </w:r>
          </w:p>
        </w:tc>
      </w:tr>
    </w:tbl>
    <w:p w14:paraId="6BAE5D5F" w14:textId="77777777" w:rsidR="00974B5C" w:rsidRDefault="00974B5C">
      <w:pPr>
        <w:spacing w:after="0"/>
      </w:pPr>
    </w:p>
    <w:p w14:paraId="1B40E63F" w14:textId="77777777" w:rsidR="00974B5C" w:rsidRDefault="00000000">
      <w:r>
        <w:t>Iznos se odnosi na račune za materijalne troškove,  najvećim djelom za financiranje izgradnje odvodnje ( kanalizacije), javne rasvjete koji su dospjeli, a koji nisu bili plaćeni do 31.12.</w:t>
      </w:r>
    </w:p>
    <w:p w14:paraId="23CDC58C" w14:textId="77777777" w:rsidR="00974B5C" w:rsidRDefault="00000000">
      <w:r>
        <w:t> </w:t>
      </w:r>
    </w:p>
    <w:p w14:paraId="28204A5A" w14:textId="77777777" w:rsidR="00974B5C" w:rsidRDefault="00974B5C"/>
    <w:p w14:paraId="79D124E6" w14:textId="77777777" w:rsidR="00974B5C" w:rsidRDefault="00000000">
      <w:pPr>
        <w:keepNext/>
        <w:spacing w:line="240" w:lineRule="auto"/>
        <w:jc w:val="center"/>
      </w:pPr>
      <w:r>
        <w:rPr>
          <w:sz w:val="28"/>
        </w:rPr>
        <w:t>Bilješka 46.</w:t>
      </w:r>
    </w:p>
    <w:p w14:paraId="67819353" w14:textId="77777777" w:rsidR="00974B5C" w:rsidRDefault="00000000">
      <w:pPr>
        <w:spacing w:line="240" w:lineRule="auto"/>
        <w:jc w:val="both"/>
      </w:pPr>
      <w:proofErr w:type="spellStart"/>
      <w:r>
        <w:rPr>
          <w:b/>
        </w:rPr>
        <w:t>Unutargrupne</w:t>
      </w:r>
      <w:proofErr w:type="spellEnd"/>
      <w:r>
        <w:rPr>
          <w:b/>
        </w:rPr>
        <w:t xml:space="preserve"> transakcije koje su u izvještajima eliminirane</w:t>
      </w:r>
    </w:p>
    <w:p w14:paraId="70FDB615" w14:textId="77777777" w:rsidR="00974B5C" w:rsidRDefault="00000000">
      <w:r>
        <w:t>Iznos  od 31.465,30 € je dotacija Općine kao osnivača narodne  knjižnice i čitaonice  za redovan rad knjižnice.</w:t>
      </w:r>
    </w:p>
    <w:p w14:paraId="503F4927" w14:textId="77777777" w:rsidR="00974B5C" w:rsidRDefault="00000000">
      <w:r>
        <w:t> </w:t>
      </w:r>
    </w:p>
    <w:p w14:paraId="26E62B05" w14:textId="77777777" w:rsidR="00974B5C" w:rsidRDefault="00974B5C"/>
    <w:p w14:paraId="670D2E17" w14:textId="77777777" w:rsidR="00974B5C" w:rsidRDefault="00000000">
      <w:pPr>
        <w:keepNext/>
        <w:spacing w:line="240" w:lineRule="auto"/>
        <w:jc w:val="center"/>
      </w:pPr>
      <w:r>
        <w:rPr>
          <w:sz w:val="28"/>
        </w:rPr>
        <w:t>Bilješka 47.</w:t>
      </w:r>
    </w:p>
    <w:p w14:paraId="7FAE08EF" w14:textId="77777777" w:rsidR="00974B5C" w:rsidRDefault="00000000">
      <w:pPr>
        <w:spacing w:line="240" w:lineRule="auto"/>
        <w:jc w:val="both"/>
      </w:pPr>
      <w:r>
        <w:rPr>
          <w:b/>
        </w:rPr>
        <w:t xml:space="preserve">Manjak ili višak u poslovanju grupe i pregled strukture manjka/viška po proračunskim korisnicima </w:t>
      </w:r>
    </w:p>
    <w:p w14:paraId="5299BE32" w14:textId="77777777" w:rsidR="00974B5C" w:rsidRDefault="00000000">
      <w:r>
        <w:t> U izvještajnom razdoblju  proračunskog korisnika narodne knjižnice i čitaonice evidentirani su svi poslovni događaji koji utječu na financijski položaj i poslovni rezultat. Na temelju obrasca PR-RAS iskazani su ključni pokazatelji ukupni prihodi/rashodi poslovanja te višak prihoda poslovanja u iznosu 5.396,83€. Zatim ukupni prihodi/rashodi od prodaje nefinancijske imovine i manjak prihoda od nefinancijske imovine u iznosu 8.619,26€.  Na temelju navedenog, ostvaren je manjak prihoda i primitaka u iznosu 3.222,43€. Ostvareni manjak je rezultat povećanih rashoda poslovanja u odnosu na planirane rashode. Dio rashoda se odnosi na aktivnosti koje su financirane iz prethodno prenesenih sredstava, a nadoknada se očekuje u narednom razdoblju kroz planirane prihode budućih razdoblja. Nisu uočene značajne promjene u imovini, obvezama, prihodima  koje bi bitno utjecale na financijski rezultat.</w:t>
      </w:r>
    </w:p>
    <w:p w14:paraId="6F226A4A" w14:textId="77777777" w:rsidR="00974B5C" w:rsidRDefault="00000000">
      <w:r>
        <w:t> </w:t>
      </w:r>
    </w:p>
    <w:p w14:paraId="165488D4" w14:textId="77777777" w:rsidR="00974B5C" w:rsidRDefault="00000000">
      <w:r>
        <w:t> </w:t>
      </w:r>
    </w:p>
    <w:p w14:paraId="4411EEE1" w14:textId="77777777" w:rsidR="00974B5C" w:rsidRDefault="00974B5C"/>
    <w:sectPr w:rsidR="00974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5C"/>
    <w:rsid w:val="0092159E"/>
    <w:rsid w:val="00974B5C"/>
    <w:rsid w:val="00C510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AE48"/>
  <w15:docId w15:val="{88ADD0BA-6353-4B57-B793-019CF799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2734</Words>
  <Characters>15590</Characters>
  <Application>Microsoft Office Word</Application>
  <DocSecurity>0</DocSecurity>
  <Lines>129</Lines>
  <Paragraphs>36</Paragraphs>
  <ScaleCrop>false</ScaleCrop>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opcinagb22@outlook.com</cp:lastModifiedBy>
  <cp:revision>2</cp:revision>
  <dcterms:created xsi:type="dcterms:W3CDTF">2026-02-18T13:52:00Z</dcterms:created>
  <dcterms:modified xsi:type="dcterms:W3CDTF">2026-02-18T13:52:00Z</dcterms:modified>
</cp:coreProperties>
</file>