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emf" ContentType="image/x-emf"/>
  <Override PartName="/word/diagrams/colors1.xml" ContentType="application/vnd.openxmlformats-officedocument.drawingml.diagramColor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0B2A" w:rsidRPr="009A49E2" w:rsidRDefault="007F0B2A" w:rsidP="009A49E2">
      <w:pPr>
        <w:suppressAutoHyphens/>
        <w:spacing w:after="0" w:line="240" w:lineRule="auto"/>
        <w:rPr>
          <w:rFonts w:ascii="Times New Roman" w:eastAsia="Times New Roman" w:hAnsi="Times New Roman" w:cs="Times New Roman"/>
          <w:szCs w:val="24"/>
          <w:lang w:eastAsia="hr-HR"/>
        </w:rPr>
      </w:pPr>
      <w:r w:rsidRPr="009A49E2">
        <w:rPr>
          <w:rFonts w:ascii="Monotype Corsiva" w:eastAsia="Times New Roman" w:hAnsi="Monotype Corsiva" w:cs="Arial"/>
          <w:color w:val="0000FF"/>
          <w:sz w:val="56"/>
          <w:szCs w:val="72"/>
          <w:lang w:eastAsia="hr-HR"/>
        </w:rPr>
        <w:t>SLUŽBENI   GLASNIK</w:t>
      </w:r>
    </w:p>
    <w:p w:rsidR="007F0B2A" w:rsidRPr="004D022F" w:rsidRDefault="007F0B2A" w:rsidP="009A49E2">
      <w:pPr>
        <w:suppressAutoHyphens/>
        <w:spacing w:after="0" w:line="240" w:lineRule="auto"/>
        <w:ind w:left="2832" w:firstLine="708"/>
        <w:jc w:val="center"/>
        <w:rPr>
          <w:rFonts w:ascii="Monotype Corsiva" w:eastAsia="Times New Roman" w:hAnsi="Monotype Corsiva" w:cs="Times New Roman"/>
          <w:color w:val="FF0000"/>
          <w:sz w:val="28"/>
          <w:szCs w:val="24"/>
          <w:lang w:eastAsia="hr-HR"/>
        </w:rPr>
      </w:pPr>
      <w:r w:rsidRPr="004D022F">
        <w:rPr>
          <w:rFonts w:ascii="Monotype Corsiva" w:eastAsia="Times New Roman" w:hAnsi="Monotype Corsiva" w:cs="Times New Roman"/>
          <w:color w:val="FF0000"/>
          <w:sz w:val="28"/>
          <w:szCs w:val="24"/>
          <w:lang w:eastAsia="hr-HR"/>
        </w:rPr>
        <w:t>Službeno glasilo općine Gornji Bogićevci</w:t>
      </w:r>
    </w:p>
    <w:p w:rsidR="007F0B2A" w:rsidRPr="004D022F" w:rsidRDefault="007F0B2A" w:rsidP="007F0B2A">
      <w:pPr>
        <w:suppressAutoHyphens/>
        <w:spacing w:after="0" w:line="240" w:lineRule="auto"/>
        <w:rPr>
          <w:rFonts w:ascii="Monotype Corsiva" w:eastAsia="Times New Roman" w:hAnsi="Monotype Corsiva" w:cs="Times New Roman"/>
          <w:color w:val="FF0000"/>
          <w:sz w:val="28"/>
          <w:szCs w:val="24"/>
          <w:lang w:eastAsia="hr-HR"/>
        </w:rPr>
      </w:pPr>
    </w:p>
    <w:p w:rsidR="007F0B2A" w:rsidRPr="004D022F" w:rsidRDefault="007F0B2A" w:rsidP="007F0B2A">
      <w:pPr>
        <w:keepNext/>
        <w:suppressAutoHyphens/>
        <w:spacing w:after="0" w:line="240" w:lineRule="auto"/>
        <w:jc w:val="both"/>
        <w:outlineLvl w:val="2"/>
        <w:rPr>
          <w:rFonts w:ascii="Monotype Corsiva" w:eastAsia="Times New Roman" w:hAnsi="Monotype Corsiva" w:cs="Arial"/>
          <w:b/>
          <w:bCs/>
          <w:sz w:val="24"/>
          <w:szCs w:val="24"/>
          <w:lang w:eastAsia="hr-HR"/>
        </w:rPr>
      </w:pPr>
      <w:r w:rsidRPr="004D022F">
        <w:rPr>
          <w:rFonts w:ascii="Monotype Corsiva" w:eastAsia="Times New Roman" w:hAnsi="Monotype Corsiva" w:cs="Arial"/>
          <w:b/>
          <w:bCs/>
          <w:sz w:val="24"/>
          <w:szCs w:val="24"/>
          <w:lang w:eastAsia="hr-HR"/>
        </w:rPr>
        <w:t>R E P U B L I K A  H R V A T S K A</w:t>
      </w:r>
    </w:p>
    <w:p w:rsidR="007F0B2A" w:rsidRPr="004D022F" w:rsidRDefault="007F0B2A" w:rsidP="007F0B2A">
      <w:pPr>
        <w:keepNext/>
        <w:suppressAutoHyphens/>
        <w:spacing w:after="0" w:line="240" w:lineRule="auto"/>
        <w:jc w:val="both"/>
        <w:outlineLvl w:val="2"/>
        <w:rPr>
          <w:rFonts w:ascii="Monotype Corsiva" w:eastAsia="Times New Roman" w:hAnsi="Monotype Corsiva" w:cs="Arial"/>
          <w:b/>
          <w:bCs/>
          <w:sz w:val="24"/>
          <w:szCs w:val="24"/>
          <w:lang w:eastAsia="hr-HR"/>
        </w:rPr>
      </w:pPr>
      <w:r w:rsidRPr="004D022F">
        <w:rPr>
          <w:rFonts w:ascii="Monotype Corsiva" w:eastAsia="Times New Roman" w:hAnsi="Monotype Corsiva" w:cs="Arial"/>
          <w:b/>
          <w:bCs/>
          <w:sz w:val="24"/>
          <w:szCs w:val="24"/>
          <w:lang w:eastAsia="hr-HR"/>
        </w:rPr>
        <w:t>BRODSKO – POSAVSKA ŽUPANIJA</w:t>
      </w:r>
    </w:p>
    <w:p w:rsidR="007F0B2A" w:rsidRPr="004D022F" w:rsidRDefault="007F0B2A" w:rsidP="007F0B2A">
      <w:pPr>
        <w:keepNext/>
        <w:suppressAutoHyphens/>
        <w:spacing w:after="0" w:line="240" w:lineRule="auto"/>
        <w:jc w:val="both"/>
        <w:outlineLvl w:val="1"/>
        <w:rPr>
          <w:rFonts w:ascii="Monotype Corsiva" w:eastAsia="Times New Roman" w:hAnsi="Monotype Corsiva" w:cs="Arial"/>
          <w:b/>
          <w:bCs/>
          <w:sz w:val="24"/>
          <w:szCs w:val="24"/>
          <w:lang w:eastAsia="hr-HR"/>
        </w:rPr>
      </w:pPr>
      <w:r w:rsidRPr="004D022F">
        <w:rPr>
          <w:rFonts w:ascii="Monotype Corsiva" w:eastAsia="Times New Roman" w:hAnsi="Monotype Corsiva" w:cs="Arial"/>
          <w:b/>
          <w:bCs/>
          <w:sz w:val="24"/>
          <w:szCs w:val="24"/>
          <w:lang w:eastAsia="hr-HR"/>
        </w:rPr>
        <w:t xml:space="preserve">   OPĆINA  GORNJI   BOGIĆEVCI</w:t>
      </w:r>
    </w:p>
    <w:p w:rsidR="007F0B2A" w:rsidRPr="004D022F" w:rsidRDefault="007F0B2A" w:rsidP="007F0B2A">
      <w:pPr>
        <w:suppressAutoHyphens/>
        <w:spacing w:after="0" w:line="240" w:lineRule="auto"/>
        <w:rPr>
          <w:rFonts w:ascii="Times New Roman" w:eastAsia="Times New Roman" w:hAnsi="Times New Roman" w:cs="Times New Roman"/>
          <w:sz w:val="24"/>
          <w:szCs w:val="24"/>
          <w:lang w:eastAsia="hr-HR"/>
        </w:rPr>
      </w:pPr>
    </w:p>
    <w:tbl>
      <w:tblPr>
        <w:tblW w:w="9000" w:type="dxa"/>
        <w:tblInd w:w="109" w:type="dxa"/>
        <w:tblLayout w:type="fixed"/>
        <w:tblLook w:val="04A0"/>
      </w:tblPr>
      <w:tblGrid>
        <w:gridCol w:w="1635"/>
        <w:gridCol w:w="5220"/>
        <w:gridCol w:w="2145"/>
      </w:tblGrid>
      <w:tr w:rsidR="007F0B2A" w:rsidRPr="004D022F" w:rsidTr="00026940">
        <w:trPr>
          <w:trHeight w:val="100"/>
        </w:trPr>
        <w:tc>
          <w:tcPr>
            <w:tcW w:w="1635" w:type="dxa"/>
            <w:tcBorders>
              <w:top w:val="double" w:sz="4" w:space="0" w:color="000000"/>
              <w:left w:val="double" w:sz="4" w:space="0" w:color="000000"/>
              <w:bottom w:val="double" w:sz="4" w:space="0" w:color="000000"/>
              <w:right w:val="double" w:sz="4" w:space="0" w:color="000000"/>
            </w:tcBorders>
            <w:hideMark/>
          </w:tcPr>
          <w:p w:rsidR="007F0B2A" w:rsidRPr="004D022F" w:rsidRDefault="007F0B2A" w:rsidP="00026940">
            <w:pPr>
              <w:widowControl w:val="0"/>
              <w:suppressAutoHyphens/>
              <w:spacing w:after="0" w:line="240" w:lineRule="auto"/>
              <w:jc w:val="center"/>
              <w:rPr>
                <w:rFonts w:ascii="Monotype Corsiva" w:eastAsia="Times New Roman" w:hAnsi="Monotype Corsiva" w:cs="Times New Roman"/>
                <w:color w:val="993366"/>
                <w:sz w:val="28"/>
                <w:szCs w:val="24"/>
                <w:lang w:eastAsia="hr-HR"/>
              </w:rPr>
            </w:pPr>
            <w:r w:rsidRPr="004D022F">
              <w:rPr>
                <w:rFonts w:ascii="Monotype Corsiva" w:eastAsia="Times New Roman" w:hAnsi="Monotype Corsiva" w:cs="Times New Roman"/>
                <w:color w:val="993366"/>
                <w:sz w:val="28"/>
                <w:szCs w:val="24"/>
                <w:lang w:eastAsia="hr-HR"/>
              </w:rPr>
              <w:t>Godina</w:t>
            </w:r>
          </w:p>
          <w:p w:rsidR="007F0B2A" w:rsidRPr="004D022F" w:rsidRDefault="00433EF3" w:rsidP="00026940">
            <w:pPr>
              <w:widowControl w:val="0"/>
              <w:suppressAutoHyphens/>
              <w:spacing w:after="0" w:line="240" w:lineRule="auto"/>
              <w:jc w:val="center"/>
              <w:rPr>
                <w:rFonts w:ascii="Monotype Corsiva" w:eastAsia="Times New Roman" w:hAnsi="Monotype Corsiva" w:cs="Times New Roman"/>
                <w:color w:val="993366"/>
                <w:sz w:val="28"/>
                <w:szCs w:val="24"/>
                <w:lang w:eastAsia="hr-HR"/>
              </w:rPr>
            </w:pPr>
            <w:r>
              <w:rPr>
                <w:rFonts w:ascii="Monotype Corsiva" w:eastAsia="Times New Roman" w:hAnsi="Monotype Corsiva" w:cs="Times New Roman"/>
                <w:color w:val="993366"/>
                <w:sz w:val="28"/>
                <w:szCs w:val="24"/>
                <w:lang w:eastAsia="hr-HR"/>
              </w:rPr>
              <w:t>2025</w:t>
            </w:r>
            <w:r w:rsidR="007F0B2A">
              <w:rPr>
                <w:rFonts w:ascii="Monotype Corsiva" w:eastAsia="Times New Roman" w:hAnsi="Monotype Corsiva" w:cs="Times New Roman"/>
                <w:color w:val="993366"/>
                <w:sz w:val="28"/>
                <w:szCs w:val="24"/>
                <w:lang w:eastAsia="hr-HR"/>
              </w:rPr>
              <w:t>.</w:t>
            </w:r>
          </w:p>
        </w:tc>
        <w:tc>
          <w:tcPr>
            <w:tcW w:w="5220" w:type="dxa"/>
            <w:tcBorders>
              <w:top w:val="double" w:sz="4" w:space="0" w:color="000000"/>
              <w:left w:val="double" w:sz="4" w:space="0" w:color="000000"/>
              <w:bottom w:val="double" w:sz="4" w:space="0" w:color="000000"/>
              <w:right w:val="double" w:sz="4" w:space="0" w:color="000000"/>
            </w:tcBorders>
          </w:tcPr>
          <w:p w:rsidR="007F0B2A" w:rsidRPr="004D022F" w:rsidRDefault="007F0B2A" w:rsidP="00026940">
            <w:pPr>
              <w:widowControl w:val="0"/>
              <w:suppressAutoHyphens/>
              <w:spacing w:after="0" w:line="240" w:lineRule="auto"/>
              <w:jc w:val="center"/>
              <w:rPr>
                <w:rFonts w:ascii="Monotype Corsiva" w:eastAsia="Times New Roman" w:hAnsi="Monotype Corsiva" w:cs="Times New Roman"/>
                <w:color w:val="993366"/>
                <w:sz w:val="28"/>
                <w:szCs w:val="24"/>
                <w:lang w:eastAsia="hr-HR"/>
              </w:rPr>
            </w:pPr>
            <w:r w:rsidRPr="004D022F">
              <w:rPr>
                <w:rFonts w:ascii="Monotype Corsiva" w:eastAsia="Times New Roman" w:hAnsi="Monotype Corsiva" w:cs="Times New Roman"/>
                <w:color w:val="993366"/>
                <w:sz w:val="28"/>
                <w:szCs w:val="24"/>
                <w:lang w:eastAsia="hr-HR"/>
              </w:rPr>
              <w:t xml:space="preserve">Gornji Bogićevci,   </w:t>
            </w:r>
            <w:r w:rsidR="00440A6E">
              <w:rPr>
                <w:rFonts w:ascii="Monotype Corsiva" w:eastAsia="Times New Roman" w:hAnsi="Monotype Corsiva" w:cs="Times New Roman"/>
                <w:b/>
                <w:color w:val="993366"/>
                <w:sz w:val="28"/>
                <w:szCs w:val="24"/>
                <w:lang w:eastAsia="hr-HR"/>
              </w:rPr>
              <w:t>22</w:t>
            </w:r>
            <w:r w:rsidR="00100801" w:rsidRPr="00100801">
              <w:rPr>
                <w:rFonts w:ascii="Monotype Corsiva" w:eastAsia="Times New Roman" w:hAnsi="Monotype Corsiva" w:cs="Times New Roman"/>
                <w:b/>
                <w:color w:val="993366"/>
                <w:sz w:val="28"/>
                <w:szCs w:val="24"/>
                <w:lang w:eastAsia="hr-HR"/>
              </w:rPr>
              <w:t>.1</w:t>
            </w:r>
            <w:r w:rsidR="00440A6E">
              <w:rPr>
                <w:rFonts w:ascii="Monotype Corsiva" w:eastAsia="Times New Roman" w:hAnsi="Monotype Corsiva" w:cs="Times New Roman"/>
                <w:b/>
                <w:color w:val="993366"/>
                <w:sz w:val="28"/>
                <w:szCs w:val="24"/>
                <w:lang w:eastAsia="hr-HR"/>
              </w:rPr>
              <w:t>2</w:t>
            </w:r>
            <w:r w:rsidR="00B675CA" w:rsidRPr="00100801">
              <w:rPr>
                <w:rFonts w:ascii="Monotype Corsiva" w:eastAsia="Times New Roman" w:hAnsi="Monotype Corsiva" w:cs="Times New Roman"/>
                <w:b/>
                <w:color w:val="993366"/>
                <w:sz w:val="28"/>
                <w:szCs w:val="24"/>
                <w:lang w:eastAsia="hr-HR"/>
              </w:rPr>
              <w:t>.2025</w:t>
            </w:r>
            <w:r w:rsidRPr="00100801">
              <w:rPr>
                <w:rFonts w:ascii="Monotype Corsiva" w:eastAsia="Times New Roman" w:hAnsi="Monotype Corsiva" w:cs="Times New Roman"/>
                <w:b/>
                <w:color w:val="993366"/>
                <w:sz w:val="28"/>
                <w:szCs w:val="24"/>
                <w:lang w:eastAsia="hr-HR"/>
              </w:rPr>
              <w:t>. godine</w:t>
            </w:r>
          </w:p>
          <w:p w:rsidR="007F0B2A" w:rsidRPr="004D022F" w:rsidRDefault="007F0B2A" w:rsidP="00026940">
            <w:pPr>
              <w:widowControl w:val="0"/>
              <w:suppressAutoHyphens/>
              <w:spacing w:after="0" w:line="240" w:lineRule="auto"/>
              <w:jc w:val="center"/>
              <w:rPr>
                <w:rFonts w:ascii="Monotype Corsiva" w:eastAsia="Times New Roman" w:hAnsi="Monotype Corsiva" w:cs="Times New Roman"/>
                <w:color w:val="993366"/>
                <w:sz w:val="28"/>
                <w:szCs w:val="24"/>
                <w:lang w:eastAsia="hr-HR"/>
              </w:rPr>
            </w:pPr>
          </w:p>
        </w:tc>
        <w:tc>
          <w:tcPr>
            <w:tcW w:w="2145" w:type="dxa"/>
            <w:tcBorders>
              <w:top w:val="double" w:sz="4" w:space="0" w:color="000000"/>
              <w:left w:val="double" w:sz="4" w:space="0" w:color="000000"/>
              <w:bottom w:val="double" w:sz="4" w:space="0" w:color="000000"/>
              <w:right w:val="double" w:sz="4" w:space="0" w:color="000000"/>
            </w:tcBorders>
            <w:hideMark/>
          </w:tcPr>
          <w:p w:rsidR="007F0B2A" w:rsidRPr="004D022F" w:rsidRDefault="007F0B2A" w:rsidP="00026940">
            <w:pPr>
              <w:widowControl w:val="0"/>
              <w:suppressAutoHyphens/>
              <w:spacing w:after="0" w:line="240" w:lineRule="auto"/>
              <w:jc w:val="center"/>
              <w:rPr>
                <w:rFonts w:ascii="Monotype Corsiva" w:eastAsia="Times New Roman" w:hAnsi="Monotype Corsiva" w:cs="Times New Roman"/>
                <w:color w:val="993366"/>
                <w:sz w:val="28"/>
                <w:szCs w:val="24"/>
                <w:lang w:eastAsia="hr-HR"/>
              </w:rPr>
            </w:pPr>
            <w:r w:rsidRPr="004D022F">
              <w:rPr>
                <w:rFonts w:ascii="Monotype Corsiva" w:eastAsia="Times New Roman" w:hAnsi="Monotype Corsiva" w:cs="Times New Roman"/>
                <w:color w:val="993366"/>
                <w:sz w:val="28"/>
                <w:szCs w:val="24"/>
                <w:lang w:eastAsia="hr-HR"/>
              </w:rPr>
              <w:t>Broj</w:t>
            </w:r>
          </w:p>
          <w:p w:rsidR="007F0B2A" w:rsidRPr="004D022F" w:rsidRDefault="00440A6E" w:rsidP="00026940">
            <w:pPr>
              <w:widowControl w:val="0"/>
              <w:suppressAutoHyphens/>
              <w:spacing w:after="0" w:line="240" w:lineRule="auto"/>
              <w:jc w:val="center"/>
              <w:rPr>
                <w:rFonts w:ascii="Monotype Corsiva" w:eastAsia="Times New Roman" w:hAnsi="Monotype Corsiva" w:cs="Times New Roman"/>
                <w:color w:val="993366"/>
                <w:sz w:val="28"/>
                <w:szCs w:val="24"/>
                <w:lang w:eastAsia="hr-HR"/>
              </w:rPr>
            </w:pPr>
            <w:r>
              <w:rPr>
                <w:rFonts w:ascii="Monotype Corsiva" w:eastAsia="Times New Roman" w:hAnsi="Monotype Corsiva" w:cs="Times New Roman"/>
                <w:color w:val="993366"/>
                <w:sz w:val="28"/>
                <w:szCs w:val="24"/>
                <w:lang w:eastAsia="hr-HR"/>
              </w:rPr>
              <w:t>8</w:t>
            </w:r>
            <w:r w:rsidR="007F0B2A">
              <w:rPr>
                <w:rFonts w:ascii="Monotype Corsiva" w:eastAsia="Times New Roman" w:hAnsi="Monotype Corsiva" w:cs="Times New Roman"/>
                <w:color w:val="993366"/>
                <w:sz w:val="28"/>
                <w:szCs w:val="24"/>
                <w:lang w:eastAsia="hr-HR"/>
              </w:rPr>
              <w:t>/</w:t>
            </w:r>
            <w:r w:rsidR="007F0B2A" w:rsidRPr="004D022F">
              <w:rPr>
                <w:rFonts w:ascii="Monotype Corsiva" w:eastAsia="Times New Roman" w:hAnsi="Monotype Corsiva" w:cs="Times New Roman"/>
                <w:color w:val="993366"/>
                <w:sz w:val="28"/>
                <w:szCs w:val="24"/>
                <w:lang w:eastAsia="hr-HR"/>
              </w:rPr>
              <w:t>202</w:t>
            </w:r>
            <w:r w:rsidR="00B675CA">
              <w:rPr>
                <w:rFonts w:ascii="Monotype Corsiva" w:eastAsia="Times New Roman" w:hAnsi="Monotype Corsiva" w:cs="Times New Roman"/>
                <w:color w:val="993366"/>
                <w:sz w:val="28"/>
                <w:szCs w:val="24"/>
                <w:lang w:eastAsia="hr-HR"/>
              </w:rPr>
              <w:t>5</w:t>
            </w:r>
          </w:p>
        </w:tc>
      </w:tr>
    </w:tbl>
    <w:p w:rsidR="007F0B2A" w:rsidRPr="004D022F" w:rsidRDefault="007F0B2A" w:rsidP="007F0B2A">
      <w:pPr>
        <w:suppressAutoHyphens/>
        <w:spacing w:after="0" w:line="240" w:lineRule="auto"/>
        <w:rPr>
          <w:rFonts w:ascii="Times New Roman" w:eastAsia="Times New Roman" w:hAnsi="Times New Roman" w:cs="Times New Roman"/>
          <w:sz w:val="24"/>
          <w:szCs w:val="24"/>
          <w:lang w:eastAsia="hr-HR"/>
        </w:rPr>
      </w:pPr>
    </w:p>
    <w:p w:rsidR="007F0B2A" w:rsidRPr="004D022F" w:rsidRDefault="007F0B2A" w:rsidP="007F0B2A">
      <w:pPr>
        <w:suppressAutoHyphens/>
        <w:spacing w:after="0" w:line="240" w:lineRule="auto"/>
        <w:rPr>
          <w:rFonts w:ascii="Times New Roman" w:eastAsia="Times New Roman" w:hAnsi="Times New Roman" w:cs="Times New Roman"/>
          <w:sz w:val="24"/>
          <w:szCs w:val="24"/>
          <w:lang w:eastAsia="hr-HR"/>
        </w:rPr>
      </w:pPr>
    </w:p>
    <w:p w:rsidR="007F0B2A" w:rsidRPr="004D022F" w:rsidRDefault="007F0B2A" w:rsidP="007F0B2A">
      <w:pPr>
        <w:numPr>
          <w:ilvl w:val="0"/>
          <w:numId w:val="1"/>
        </w:numPr>
        <w:suppressAutoHyphens/>
        <w:spacing w:after="0" w:line="240" w:lineRule="auto"/>
        <w:rPr>
          <w:rFonts w:ascii="Arial" w:eastAsia="Times New Roman" w:hAnsi="Arial" w:cs="Arial"/>
          <w:color w:val="0000FF"/>
          <w:sz w:val="28"/>
          <w:szCs w:val="24"/>
          <w:lang w:eastAsia="hr-HR"/>
        </w:rPr>
      </w:pPr>
      <w:r w:rsidRPr="004D022F">
        <w:rPr>
          <w:rFonts w:ascii="Arial" w:eastAsia="Times New Roman" w:hAnsi="Arial" w:cs="Arial"/>
          <w:color w:val="0000FF"/>
          <w:sz w:val="28"/>
          <w:szCs w:val="24"/>
          <w:lang w:eastAsia="hr-HR"/>
        </w:rPr>
        <w:t>Akti Općinskog vijeća</w:t>
      </w:r>
    </w:p>
    <w:p w:rsidR="007F0B2A" w:rsidRPr="004D022F" w:rsidRDefault="007F0B2A" w:rsidP="007F0B2A">
      <w:pPr>
        <w:suppressAutoHyphens/>
        <w:spacing w:after="0" w:line="240" w:lineRule="auto"/>
        <w:ind w:left="360"/>
        <w:rPr>
          <w:rFonts w:ascii="Arial" w:eastAsia="Times New Roman" w:hAnsi="Arial" w:cs="Arial"/>
          <w:color w:val="FF0000"/>
          <w:sz w:val="28"/>
          <w:szCs w:val="24"/>
          <w:lang w:eastAsia="hr-HR"/>
        </w:rPr>
      </w:pPr>
      <w:r w:rsidRPr="004D022F">
        <w:rPr>
          <w:rFonts w:ascii="Arial" w:eastAsia="Times New Roman" w:hAnsi="Arial" w:cs="Arial"/>
          <w:color w:val="FF0000"/>
          <w:sz w:val="28"/>
          <w:szCs w:val="24"/>
          <w:lang w:eastAsia="hr-HR"/>
        </w:rPr>
        <w:t xml:space="preserve">2. Akti Načelnika </w:t>
      </w:r>
    </w:p>
    <w:p w:rsidR="007F0B2A" w:rsidRDefault="007F0B2A" w:rsidP="009A49E2">
      <w:pPr>
        <w:suppressAutoHyphens/>
        <w:spacing w:after="0" w:line="240" w:lineRule="auto"/>
        <w:ind w:left="360"/>
        <w:rPr>
          <w:rFonts w:ascii="Arial" w:eastAsia="Times New Roman" w:hAnsi="Arial" w:cs="Arial"/>
          <w:sz w:val="28"/>
          <w:szCs w:val="24"/>
          <w:lang w:eastAsia="hr-HR"/>
        </w:rPr>
      </w:pPr>
      <w:r w:rsidRPr="004D022F">
        <w:rPr>
          <w:rFonts w:ascii="Arial" w:eastAsia="Times New Roman" w:hAnsi="Arial" w:cs="Arial"/>
          <w:sz w:val="28"/>
          <w:szCs w:val="24"/>
          <w:lang w:eastAsia="hr-HR"/>
        </w:rPr>
        <w:t>3. Ostalo</w:t>
      </w:r>
    </w:p>
    <w:p w:rsidR="009A49E2" w:rsidRPr="009A49E2" w:rsidRDefault="009A49E2" w:rsidP="009A49E2">
      <w:pPr>
        <w:suppressAutoHyphens/>
        <w:spacing w:after="0" w:line="240" w:lineRule="auto"/>
        <w:ind w:left="360"/>
        <w:rPr>
          <w:rFonts w:ascii="Arial" w:eastAsia="Times New Roman" w:hAnsi="Arial" w:cs="Arial"/>
          <w:sz w:val="28"/>
          <w:szCs w:val="24"/>
          <w:lang w:eastAsia="hr-HR"/>
        </w:rPr>
      </w:pPr>
    </w:p>
    <w:p w:rsidR="007F0B2A" w:rsidRDefault="007F0B2A" w:rsidP="007F0B2A">
      <w:pPr>
        <w:numPr>
          <w:ilvl w:val="0"/>
          <w:numId w:val="2"/>
        </w:numPr>
        <w:suppressAutoHyphens/>
        <w:spacing w:after="0" w:line="240" w:lineRule="auto"/>
        <w:jc w:val="both"/>
        <w:rPr>
          <w:rFonts w:ascii="Times New Roman" w:eastAsia="Times New Roman" w:hAnsi="Times New Roman" w:cs="Times New Roman"/>
          <w:b/>
          <w:i/>
          <w:sz w:val="32"/>
          <w:szCs w:val="32"/>
          <w:u w:val="single"/>
          <w:lang w:eastAsia="hr-HR"/>
        </w:rPr>
      </w:pPr>
      <w:bookmarkStart w:id="0" w:name="_Hlk217045972"/>
      <w:r w:rsidRPr="004D022F">
        <w:rPr>
          <w:rFonts w:ascii="Times New Roman" w:eastAsia="Times New Roman" w:hAnsi="Times New Roman" w:cs="Times New Roman"/>
          <w:b/>
          <w:i/>
          <w:sz w:val="32"/>
          <w:szCs w:val="32"/>
          <w:u w:val="single"/>
          <w:lang w:eastAsia="hr-HR"/>
        </w:rPr>
        <w:t>Akti Općinskog vijeća:</w:t>
      </w:r>
      <w:bookmarkEnd w:id="0"/>
    </w:p>
    <w:p w:rsidR="00440A6E" w:rsidRDefault="00440A6E" w:rsidP="00440A6E">
      <w:pPr>
        <w:pStyle w:val="Bezproreda"/>
        <w:ind w:left="720"/>
        <w:rPr>
          <w:rFonts w:ascii="Times New Roman" w:hAnsi="Times New Roman" w:cs="Times New Roman"/>
          <w:sz w:val="24"/>
          <w:szCs w:val="24"/>
        </w:rPr>
      </w:pPr>
      <w:bookmarkStart w:id="1" w:name="_Hlk217046047"/>
      <w:r>
        <w:rPr>
          <w:rFonts w:ascii="Times New Roman" w:hAnsi="Times New Roman" w:cs="Times New Roman"/>
          <w:sz w:val="24"/>
          <w:szCs w:val="24"/>
        </w:rPr>
        <w:t>38. Odluka o osnivanju riznice</w:t>
      </w:r>
      <w:bookmarkEnd w:id="1"/>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 xml:space="preserve">39. </w:t>
      </w:r>
      <w:bookmarkStart w:id="2" w:name="_Hlk217046145"/>
      <w:r>
        <w:rPr>
          <w:rFonts w:ascii="Times New Roman" w:hAnsi="Times New Roman" w:cs="Times New Roman"/>
          <w:sz w:val="24"/>
          <w:szCs w:val="24"/>
        </w:rPr>
        <w:t xml:space="preserve">Program stambenog zbrinjavanja </w:t>
      </w:r>
      <w:bookmarkEnd w:id="2"/>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40. II. Izmjene i dopune proračuna Općine Gornji Bogićevci za 2025.</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41. Proračun Općine Gornji Bogićevci za 2026. i plan i program NKČ Grigor Vitez Gornji Bogićevci</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42. Prijedlog odluke o grobljima</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43. Prijedlog odluke o ponašanju na groblju</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44. Prijedlog odluke o visini i načinu plaćanja naknade kod dodjele grobnog mjesta i godišnje naknade za korištenje grobnog mjesta na području općine Gornji Bogićevci</w:t>
      </w:r>
    </w:p>
    <w:p w:rsidR="00440A6E" w:rsidRDefault="00371200"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 xml:space="preserve">45. </w:t>
      </w:r>
      <w:r w:rsidR="00440A6E">
        <w:rPr>
          <w:rFonts w:ascii="Times New Roman" w:hAnsi="Times New Roman" w:cs="Times New Roman"/>
          <w:sz w:val="24"/>
          <w:szCs w:val="24"/>
        </w:rPr>
        <w:t>Donošenje Statuta NKČ Grigor Vitez Gornji Bogićevci</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 xml:space="preserve">46. Financijski plan rada Vijeća srpske nacionalne manjine za 2026. godinu </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47. Analizu stanja sustava civilne zaštite za 2025. godinu</w:t>
      </w:r>
    </w:p>
    <w:p w:rsidR="00440A6E" w:rsidRDefault="00440A6E" w:rsidP="00440A6E">
      <w:pPr>
        <w:pStyle w:val="Bezproreda"/>
        <w:numPr>
          <w:ilvl w:val="0"/>
          <w:numId w:val="2"/>
        </w:numPr>
        <w:rPr>
          <w:rFonts w:ascii="Times New Roman" w:hAnsi="Times New Roman" w:cs="Times New Roman"/>
          <w:sz w:val="24"/>
          <w:szCs w:val="24"/>
        </w:rPr>
      </w:pPr>
      <w:bookmarkStart w:id="3" w:name="_Hlk217048003"/>
      <w:r>
        <w:rPr>
          <w:rFonts w:ascii="Times New Roman" w:hAnsi="Times New Roman" w:cs="Times New Roman"/>
          <w:sz w:val="24"/>
          <w:szCs w:val="24"/>
        </w:rPr>
        <w:t>48. Godišnji Plan razvoja sustava civilne zaštite s financijskim učincima za trogodišnje razdoblje</w:t>
      </w:r>
    </w:p>
    <w:p w:rsidR="00440A6E" w:rsidRDefault="00440A6E" w:rsidP="00440A6E">
      <w:pPr>
        <w:pStyle w:val="Bezproreda"/>
        <w:numPr>
          <w:ilvl w:val="0"/>
          <w:numId w:val="2"/>
        </w:numPr>
        <w:rPr>
          <w:rFonts w:ascii="Times New Roman" w:hAnsi="Times New Roman" w:cs="Times New Roman"/>
          <w:sz w:val="24"/>
          <w:szCs w:val="24"/>
        </w:rPr>
      </w:pPr>
      <w:bookmarkStart w:id="4" w:name="_Hlk217048059"/>
      <w:bookmarkEnd w:id="3"/>
      <w:r>
        <w:rPr>
          <w:rFonts w:ascii="Times New Roman" w:hAnsi="Times New Roman" w:cs="Times New Roman"/>
          <w:sz w:val="24"/>
          <w:szCs w:val="24"/>
        </w:rPr>
        <w:t>49. Smjernice za organizaciju i razvoj sustava c</w:t>
      </w:r>
      <w:r w:rsidR="00CB691B">
        <w:rPr>
          <w:rFonts w:ascii="Times New Roman" w:hAnsi="Times New Roman" w:cs="Times New Roman"/>
          <w:sz w:val="24"/>
          <w:szCs w:val="24"/>
        </w:rPr>
        <w:t>ivilne zaštite od  2026.- 2029.g</w:t>
      </w:r>
    </w:p>
    <w:p w:rsidR="00CB691B" w:rsidRPr="00CB691B" w:rsidRDefault="00CB691B" w:rsidP="00CB691B">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49.a Odluka o usvajanju procjene rizika od velikih nesreća</w:t>
      </w:r>
    </w:p>
    <w:bookmarkEnd w:id="4"/>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50. Plan djelovanja – prirodne nepogode</w:t>
      </w:r>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51. Odluka o općinskim porezima</w:t>
      </w:r>
    </w:p>
    <w:p w:rsidR="00440A6E" w:rsidRDefault="00440A6E" w:rsidP="00440A6E">
      <w:pPr>
        <w:pStyle w:val="Bezproreda"/>
        <w:numPr>
          <w:ilvl w:val="0"/>
          <w:numId w:val="2"/>
        </w:numPr>
        <w:rPr>
          <w:rFonts w:ascii="Times New Roman" w:hAnsi="Times New Roman" w:cs="Times New Roman"/>
          <w:sz w:val="24"/>
          <w:szCs w:val="24"/>
        </w:rPr>
      </w:pPr>
      <w:bookmarkStart w:id="5" w:name="_Hlk217045932"/>
      <w:r>
        <w:rPr>
          <w:rFonts w:ascii="Times New Roman" w:hAnsi="Times New Roman" w:cs="Times New Roman"/>
          <w:sz w:val="24"/>
          <w:szCs w:val="24"/>
        </w:rPr>
        <w:t>52. Godišnji plan rada za 2026. godinu</w:t>
      </w:r>
      <w:bookmarkEnd w:id="5"/>
    </w:p>
    <w:p w:rsidR="00440A6E" w:rsidRDefault="00440A6E"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53. Odluka o izmjenama odluke o načinu pružanja javne usluge sakupljanja komunalnog otpada na području Općine Gornji Bogićevci</w:t>
      </w:r>
    </w:p>
    <w:p w:rsidR="00A44BDC" w:rsidRDefault="00A44BDC" w:rsidP="00440A6E">
      <w:pPr>
        <w:pStyle w:val="Bezproreda"/>
        <w:numPr>
          <w:ilvl w:val="0"/>
          <w:numId w:val="2"/>
        </w:numPr>
        <w:rPr>
          <w:rFonts w:ascii="Times New Roman" w:hAnsi="Times New Roman" w:cs="Times New Roman"/>
          <w:sz w:val="24"/>
          <w:szCs w:val="24"/>
        </w:rPr>
      </w:pPr>
      <w:r>
        <w:rPr>
          <w:rFonts w:ascii="Times New Roman" w:hAnsi="Times New Roman" w:cs="Times New Roman"/>
          <w:sz w:val="24"/>
          <w:szCs w:val="24"/>
        </w:rPr>
        <w:t>54. Odluka o davanju prethodne suglasnosti na Statut NKČ Grigor Vitez Gornji Bogićevci</w:t>
      </w:r>
    </w:p>
    <w:p w:rsidR="00647F44" w:rsidRDefault="00647F44" w:rsidP="00647F44">
      <w:pPr>
        <w:suppressAutoHyphens/>
        <w:spacing w:after="0" w:line="240" w:lineRule="auto"/>
        <w:ind w:left="720"/>
        <w:jc w:val="both"/>
        <w:rPr>
          <w:rFonts w:ascii="Times New Roman" w:eastAsia="Times New Roman" w:hAnsi="Times New Roman" w:cs="Times New Roman"/>
          <w:b/>
          <w:i/>
          <w:sz w:val="32"/>
          <w:szCs w:val="32"/>
          <w:u w:val="single"/>
          <w:lang w:eastAsia="hr-HR"/>
        </w:rPr>
      </w:pPr>
    </w:p>
    <w:p w:rsidR="00360577" w:rsidRDefault="00360577" w:rsidP="00C20815">
      <w:pPr>
        <w:pStyle w:val="Bezproreda"/>
        <w:ind w:firstLine="360"/>
        <w:rPr>
          <w:rFonts w:ascii="Times New Roman" w:hAnsi="Times New Roman" w:cs="Times New Roman"/>
          <w:sz w:val="24"/>
          <w:szCs w:val="24"/>
        </w:rPr>
      </w:pPr>
    </w:p>
    <w:p w:rsidR="00360577" w:rsidRDefault="00360577" w:rsidP="00360577">
      <w:pPr>
        <w:pStyle w:val="Bezproreda"/>
        <w:numPr>
          <w:ilvl w:val="0"/>
          <w:numId w:val="2"/>
        </w:numPr>
        <w:rPr>
          <w:rFonts w:ascii="Times New Roman" w:hAnsi="Times New Roman" w:cs="Times New Roman"/>
          <w:b/>
          <w:i/>
          <w:sz w:val="32"/>
          <w:szCs w:val="24"/>
          <w:u w:val="single"/>
        </w:rPr>
      </w:pPr>
      <w:r w:rsidRPr="00360577">
        <w:rPr>
          <w:rFonts w:ascii="Times New Roman" w:hAnsi="Times New Roman" w:cs="Times New Roman"/>
          <w:b/>
          <w:i/>
          <w:sz w:val="32"/>
          <w:szCs w:val="24"/>
          <w:u w:val="single"/>
        </w:rPr>
        <w:t xml:space="preserve">Akti načelnika </w:t>
      </w:r>
    </w:p>
    <w:p w:rsidR="00360577" w:rsidRPr="00360577" w:rsidRDefault="00647F44" w:rsidP="00360577">
      <w:pPr>
        <w:pStyle w:val="Bezproreda"/>
        <w:ind w:left="360"/>
        <w:rPr>
          <w:rFonts w:ascii="Times New Roman" w:hAnsi="Times New Roman" w:cs="Times New Roman"/>
          <w:b/>
          <w:i/>
          <w:sz w:val="32"/>
          <w:szCs w:val="24"/>
          <w:u w:val="single"/>
        </w:rPr>
      </w:pPr>
      <w:r>
        <w:rPr>
          <w:rFonts w:ascii="Times New Roman" w:hAnsi="Times New Roman" w:cs="Times New Roman"/>
          <w:sz w:val="24"/>
          <w:szCs w:val="24"/>
        </w:rPr>
        <w:t>6.</w:t>
      </w:r>
      <w:r w:rsidR="00440A6E" w:rsidRPr="00440A6E">
        <w:rPr>
          <w:rFonts w:ascii="Times New Roman" w:hAnsi="Times New Roman" w:cs="Times New Roman"/>
          <w:sz w:val="24"/>
          <w:szCs w:val="24"/>
        </w:rPr>
        <w:t xml:space="preserve"> </w:t>
      </w:r>
      <w:r w:rsidR="00440A6E">
        <w:rPr>
          <w:rFonts w:ascii="Times New Roman" w:hAnsi="Times New Roman" w:cs="Times New Roman"/>
          <w:sz w:val="24"/>
          <w:szCs w:val="24"/>
        </w:rPr>
        <w:t xml:space="preserve"> Godišnji plan rada za 2026. godinu</w:t>
      </w:r>
    </w:p>
    <w:p w:rsidR="00C20815" w:rsidRDefault="00C20815" w:rsidP="00C20815">
      <w:pPr>
        <w:pStyle w:val="Bezproreda"/>
        <w:rPr>
          <w:rFonts w:ascii="Times New Roman" w:hAnsi="Times New Roman" w:cs="Times New Roman"/>
          <w:sz w:val="24"/>
          <w:szCs w:val="24"/>
        </w:rPr>
      </w:pPr>
    </w:p>
    <w:p w:rsidR="00677F66" w:rsidRDefault="00677F66" w:rsidP="007F0B2A">
      <w:pPr>
        <w:suppressAutoHyphens/>
        <w:spacing w:after="200" w:line="276" w:lineRule="auto"/>
        <w:contextualSpacing/>
        <w:jc w:val="both"/>
        <w:rPr>
          <w:rFonts w:ascii="Times New Roman" w:eastAsia="Times New Roman" w:hAnsi="Times New Roman" w:cs="Times New Roman"/>
          <w:sz w:val="24"/>
          <w:szCs w:val="24"/>
          <w:lang w:eastAsia="hr-HR"/>
        </w:rPr>
      </w:pPr>
    </w:p>
    <w:p w:rsidR="007F0B2A" w:rsidRDefault="00BC48C1" w:rsidP="007F0B2A">
      <w:pPr>
        <w:numPr>
          <w:ilvl w:val="0"/>
          <w:numId w:val="3"/>
        </w:numPr>
        <w:suppressAutoHyphens/>
        <w:spacing w:after="0" w:line="240" w:lineRule="auto"/>
        <w:contextualSpacing/>
        <w:jc w:val="both"/>
        <w:rPr>
          <w:rFonts w:ascii="Times New Roman" w:eastAsia="Times New Roman" w:hAnsi="Times New Roman" w:cs="Times New Roman"/>
          <w:b/>
          <w:i/>
          <w:sz w:val="32"/>
          <w:szCs w:val="32"/>
          <w:u w:val="single"/>
          <w:lang w:eastAsia="hr-HR"/>
        </w:rPr>
      </w:pPr>
      <w:r>
        <w:rPr>
          <w:rFonts w:ascii="Times New Roman" w:eastAsia="Times New Roman" w:hAnsi="Times New Roman" w:cs="Times New Roman"/>
          <w:b/>
          <w:i/>
          <w:sz w:val="32"/>
          <w:szCs w:val="32"/>
          <w:u w:val="single"/>
          <w:lang w:eastAsia="hr-HR"/>
        </w:rPr>
        <w:t>Ostalo:</w:t>
      </w:r>
    </w:p>
    <w:p w:rsidR="00440A6E" w:rsidRDefault="00440A6E" w:rsidP="00360577">
      <w:pPr>
        <w:spacing w:line="360" w:lineRule="auto"/>
        <w:jc w:val="both"/>
        <w:rPr>
          <w:rFonts w:ascii="Times New Roman" w:eastAsia="Times New Roman" w:hAnsi="Times New Roman" w:cs="Times New Roman"/>
          <w:b/>
          <w:i/>
          <w:sz w:val="32"/>
          <w:szCs w:val="32"/>
          <w:u w:val="single"/>
          <w:lang w:eastAsia="hr-HR"/>
        </w:rPr>
      </w:pPr>
    </w:p>
    <w:p w:rsidR="00440A6E" w:rsidRDefault="00440A6E" w:rsidP="00360577">
      <w:pPr>
        <w:spacing w:line="360" w:lineRule="auto"/>
        <w:jc w:val="both"/>
        <w:rPr>
          <w:rFonts w:ascii="Times New Roman" w:hAnsi="Times New Roman" w:cs="Times New Roman"/>
          <w:sz w:val="24"/>
          <w:szCs w:val="24"/>
        </w:rPr>
      </w:pPr>
    </w:p>
    <w:p w:rsidR="00100801" w:rsidRDefault="00440A6E" w:rsidP="00360577">
      <w:pPr>
        <w:spacing w:line="360" w:lineRule="auto"/>
        <w:jc w:val="both"/>
        <w:rPr>
          <w:rFonts w:ascii="Times New Roman" w:hAnsi="Times New Roman" w:cs="Times New Roman"/>
          <w:sz w:val="24"/>
          <w:szCs w:val="24"/>
        </w:rPr>
      </w:pPr>
      <w:r w:rsidRPr="004D022F">
        <w:rPr>
          <w:rFonts w:ascii="Times New Roman" w:eastAsia="Times New Roman" w:hAnsi="Times New Roman" w:cs="Times New Roman"/>
          <w:b/>
          <w:i/>
          <w:sz w:val="32"/>
          <w:szCs w:val="32"/>
          <w:u w:val="single"/>
          <w:lang w:eastAsia="hr-HR"/>
        </w:rPr>
        <w:t>Akti Općinskog vijeća:</w:t>
      </w:r>
    </w:p>
    <w:p w:rsidR="00440A6E" w:rsidRDefault="00440A6E" w:rsidP="00360577">
      <w:pPr>
        <w:spacing w:line="360" w:lineRule="auto"/>
        <w:jc w:val="both"/>
        <w:rPr>
          <w:rFonts w:ascii="Times New Roman" w:hAnsi="Times New Roman" w:cs="Times New Roman"/>
          <w:b/>
          <w:bCs/>
          <w:sz w:val="24"/>
          <w:szCs w:val="24"/>
        </w:rPr>
      </w:pPr>
      <w:r w:rsidRPr="00440A6E">
        <w:rPr>
          <w:rFonts w:ascii="Times New Roman" w:hAnsi="Times New Roman" w:cs="Times New Roman"/>
          <w:b/>
          <w:bCs/>
          <w:sz w:val="24"/>
          <w:szCs w:val="24"/>
        </w:rPr>
        <w:t>38. Odluka o osnivanju riznice</w:t>
      </w:r>
    </w:p>
    <w:p w:rsidR="00440A6E" w:rsidRDefault="00440A6E" w:rsidP="00440A6E">
      <w:pPr>
        <w:spacing w:after="0"/>
        <w:jc w:val="both"/>
        <w:rPr>
          <w:rFonts w:ascii="Times New Roman" w:hAnsi="Times New Roman" w:cs="Times New Roman"/>
        </w:rPr>
      </w:pPr>
      <w:r>
        <w:rPr>
          <w:rFonts w:ascii="Times New Roman" w:hAnsi="Times New Roman" w:cs="Times New Roman"/>
        </w:rPr>
        <w:t>Na temelju članka 50. Zakona o proračunu (Narodne novine, 144/21) i te članka 39. Statuta Općine Gornji Bogićevci (“Službeni glasnik Općine Gornji Bogićevci” 02/21), Općinsko vijeće Općine Gornji Bogićevci na 5. sjednici održanoj 22.12. 2025. godine, donijelo je</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ODLUKU</w:t>
      </w: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 xml:space="preserve">o uvođenju Riznice Općine Gornji Bogićevci </w:t>
      </w:r>
    </w:p>
    <w:p w:rsidR="00440A6E" w:rsidRDefault="00440A6E" w:rsidP="00440A6E">
      <w:pPr>
        <w:spacing w:after="0"/>
        <w:jc w:val="both"/>
        <w:rPr>
          <w:rFonts w:ascii="Times New Roman" w:hAnsi="Times New Roman" w:cs="Times New Roman"/>
          <w:b/>
          <w:bCs/>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1.</w:t>
      </w:r>
    </w:p>
    <w:p w:rsidR="00440A6E" w:rsidRDefault="00440A6E" w:rsidP="00440A6E">
      <w:pPr>
        <w:spacing w:after="0"/>
        <w:jc w:val="both"/>
        <w:rPr>
          <w:rFonts w:ascii="Times New Roman" w:hAnsi="Times New Roman" w:cs="Times New Roman"/>
        </w:rPr>
      </w:pPr>
      <w:r>
        <w:rPr>
          <w:rFonts w:ascii="Times New Roman" w:hAnsi="Times New Roman" w:cs="Times New Roman"/>
        </w:rPr>
        <w:t>Ovom Odlukom uvodi se sustav rizničnog poslovanja na razini proračuna i proračunskog korisnika Općine Gornji Bogićevci (u daljnjem tekstu: proračunski korisnici), koji se temelji na jedinstvenom računovodstveno-informacijskom sustavu, s ciljem stvaranja pretpostavki za učinkovito upravljanje proračunskim sredstvima i obavljanje poslovanja preko jedinstvenog računa Riznice Općine Gornji Bogićevci (u daljnjem tekstu: Općinska riznica).</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2.</w:t>
      </w:r>
    </w:p>
    <w:p w:rsidR="00440A6E" w:rsidRDefault="00440A6E" w:rsidP="00440A6E">
      <w:pPr>
        <w:spacing w:after="0"/>
        <w:jc w:val="both"/>
        <w:rPr>
          <w:rFonts w:ascii="Times New Roman" w:hAnsi="Times New Roman" w:cs="Times New Roman"/>
        </w:rPr>
      </w:pPr>
      <w:r>
        <w:rPr>
          <w:rFonts w:ascii="Times New Roman" w:hAnsi="Times New Roman" w:cs="Times New Roman"/>
        </w:rPr>
        <w:t>Općinska riznica je cjelovit sustav u kojemu se u skladu sa Zakonom o proračunu, ovom Odlukom i drugim propisima, obavljaju poslovi koji se odnose na pripremu, izvršavanje i konsolidaciju Proračuna Općine Gornji Bogićevci i financijskih planova proračunskih korisnika, proračunsko računovodstvo i računovodstvo proračunskih korisnika, upravljanje platnim prometom općinskog korisnika te upravljanje platnim prometom Proračuna.</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3.</w:t>
      </w:r>
    </w:p>
    <w:p w:rsidR="00440A6E" w:rsidRDefault="00440A6E" w:rsidP="00440A6E">
      <w:pPr>
        <w:spacing w:after="0"/>
        <w:jc w:val="both"/>
        <w:rPr>
          <w:rFonts w:ascii="Times New Roman" w:hAnsi="Times New Roman" w:cs="Times New Roman"/>
        </w:rPr>
      </w:pPr>
      <w:r>
        <w:rPr>
          <w:rFonts w:ascii="Times New Roman" w:hAnsi="Times New Roman" w:cs="Times New Roman"/>
        </w:rPr>
        <w:t>Uspostava sustava Općinske riznice provest će se tako da svi proračunski korisnici budu integrirani u jedinstveni računovodstveni-informacijski sustav Općinske riznice koji omogućava jednostavnu konsolidaciju proračuna Općine i proračunskih korisnika uz zadržavanje pravne osobnosti.</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4.</w:t>
      </w:r>
    </w:p>
    <w:p w:rsidR="00440A6E" w:rsidRDefault="00440A6E" w:rsidP="00440A6E">
      <w:pPr>
        <w:spacing w:after="0"/>
        <w:jc w:val="both"/>
        <w:rPr>
          <w:rFonts w:ascii="Times New Roman" w:hAnsi="Times New Roman" w:cs="Times New Roman"/>
        </w:rPr>
      </w:pPr>
      <w:r>
        <w:rPr>
          <w:rFonts w:ascii="Times New Roman" w:hAnsi="Times New Roman" w:cs="Times New Roman"/>
        </w:rPr>
        <w:t>Svi prihodi i primici proračuna i proračunskih korisnika uplaćuju se u korist jedinstvenog računa riznice, uključujući i prihode koje proračunski korisnik ostvaruje po posebnim propisima ili od obavljanja poslova na tržištu i u tržišnim uvjetima koji se ne financiraju iz proračuna.</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U Proračunu Općine Gornji Bogićevci iskazivat će se i evidentirati vlastiti i namjenski prihodi proračunskih korisnika i rashodi proračunskih korisnika koji se financiraju iz tih prihoda.</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Sva plaćanja unutar Općinske riznice za proračunske korisnike izvršavaju se izravno, na temelju zahtjeva proračunskih korisnika Općinske riznice za plaćanje, putem jedinstvenog računa.</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 xml:space="preserve">Transakcije i poslovni događaji u glavnoj knjizi proračunskih korisnika moraju biti usklađeni sa sadržajem i iznosom transakcija i poslovnih događaja sustava glavne knjige riznice. </w:t>
      </w:r>
    </w:p>
    <w:p w:rsidR="00440A6E" w:rsidRDefault="00440A6E" w:rsidP="00440A6E">
      <w:pPr>
        <w:spacing w:after="0"/>
        <w:jc w:val="both"/>
        <w:rPr>
          <w:rFonts w:ascii="Times New Roman" w:hAnsi="Times New Roman" w:cs="Times New Roman"/>
        </w:rPr>
      </w:pPr>
      <w:r>
        <w:rPr>
          <w:rFonts w:ascii="Times New Roman" w:hAnsi="Times New Roman" w:cs="Times New Roman"/>
        </w:rPr>
        <w:t>Za sva poslovanja i transakcije unutar same Općinske riznice koriste se vjerodostojne knjigovodstvene i elektroničke isprave.</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5.</w:t>
      </w:r>
    </w:p>
    <w:p w:rsidR="00440A6E" w:rsidRDefault="00440A6E" w:rsidP="00440A6E">
      <w:pPr>
        <w:spacing w:after="0"/>
        <w:jc w:val="both"/>
        <w:rPr>
          <w:rFonts w:ascii="Times New Roman" w:hAnsi="Times New Roman" w:cs="Times New Roman"/>
        </w:rPr>
      </w:pPr>
      <w:r>
        <w:rPr>
          <w:rFonts w:ascii="Times New Roman" w:hAnsi="Times New Roman" w:cs="Times New Roman"/>
        </w:rPr>
        <w:lastRenderedPageBreak/>
        <w:t xml:space="preserve">Priprema i planiranje Proračuna obuhvaća poslove vezane uz planiranje, izradu i donošenje Proračuna, financijskih planova proračunskog korisnika te konsolidiranog Proračuna Općine, pripremu i uspostavljanje sustava planiranja i praćenja proračuna po programima te izradu smjernica i uputa za izradu proračuna. </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Priprema i planiranje Proračuna obveza je Jedinstvenog upravnog odjela Općine Gornji Bogićevci i svih proračunskih korisnika u sustavu Riznice.</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Glavna knjiga Riznice vodi se u Jedinstvenom upravnom odjelu Općine Gornji Bogićevci. Uspostavom Riznice i jedinstvenog računa Riznice glavna knjiga obuhvaćat će sve transakcije i poslovne događaje, odnosno imovinu i obveze koje se odnose na proračun i na proračunske korisnike.</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Sastavni dio glavne knjige su pomoćne knjige kao dodatni izvor analitičkih podataka potrebnih za efikasno upravljanje financijama i kontrolu izvršenih prihoda i primitaka te rashoda i izdataka.</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6.</w:t>
      </w:r>
    </w:p>
    <w:p w:rsidR="00440A6E" w:rsidRDefault="00440A6E" w:rsidP="00440A6E">
      <w:pPr>
        <w:spacing w:after="0"/>
        <w:jc w:val="both"/>
        <w:rPr>
          <w:rFonts w:ascii="Times New Roman" w:hAnsi="Times New Roman" w:cs="Times New Roman"/>
        </w:rPr>
      </w:pPr>
      <w:r>
        <w:rPr>
          <w:rFonts w:ascii="Times New Roman" w:hAnsi="Times New Roman" w:cs="Times New Roman"/>
        </w:rPr>
        <w:t>Uspostavom jedinstvenog računa Riznice taj račun postaje instrument upravljanja likvidnošću općinskog Proračuna putem kojeg se upravlja transakcijama prema mjestu nastanka događaja (glavna knjiga proračuna i proračunskih korisnika) te omogućava provođenje financijske kontrole na razini Općinske riznice.</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7.</w:t>
      </w:r>
    </w:p>
    <w:p w:rsidR="00440A6E" w:rsidRDefault="00440A6E" w:rsidP="00440A6E">
      <w:pPr>
        <w:spacing w:after="0"/>
        <w:jc w:val="both"/>
        <w:rPr>
          <w:rFonts w:ascii="Times New Roman" w:hAnsi="Times New Roman" w:cs="Times New Roman"/>
        </w:rPr>
      </w:pPr>
      <w:r>
        <w:rPr>
          <w:rFonts w:ascii="Times New Roman" w:hAnsi="Times New Roman" w:cs="Times New Roman"/>
        </w:rPr>
        <w:t>Općinsko vijeće Općine Gornji Bogićevci daje suglasnost Općinskom načelniku da posebnim aktima potrebnim za izvršavanje proračuna u tome dijelu uredi način plaćanja, ovlaštenja i obveze proračunskih korisnika u postupku plaćanja i drugih pitanja vezana za upravljanje i korištenje Općinske riznice.</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8.</w:t>
      </w:r>
    </w:p>
    <w:p w:rsidR="00440A6E" w:rsidRDefault="00440A6E" w:rsidP="00440A6E">
      <w:pPr>
        <w:spacing w:after="0"/>
        <w:jc w:val="both"/>
        <w:rPr>
          <w:rFonts w:ascii="Times New Roman" w:hAnsi="Times New Roman" w:cs="Times New Roman"/>
        </w:rPr>
      </w:pPr>
      <w:r>
        <w:rPr>
          <w:rFonts w:ascii="Times New Roman" w:hAnsi="Times New Roman" w:cs="Times New Roman"/>
        </w:rPr>
        <w:t>Jedinstveni upravni odjel Općine Gornji Bogićevci i proračunski korisnici čija se financijska izvješća konsolidiraju u financijskim izvješćima Općine Gornji Bogićevci obvezni su svoje poslovanje obavljati putem Općinske riznice.</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9.</w:t>
      </w:r>
    </w:p>
    <w:p w:rsidR="00440A6E" w:rsidRDefault="00440A6E" w:rsidP="00440A6E">
      <w:pPr>
        <w:spacing w:after="0"/>
        <w:jc w:val="both"/>
        <w:rPr>
          <w:rFonts w:ascii="Times New Roman" w:hAnsi="Times New Roman" w:cs="Times New Roman"/>
        </w:rPr>
      </w:pPr>
      <w:r>
        <w:rPr>
          <w:rFonts w:ascii="Times New Roman" w:hAnsi="Times New Roman" w:cs="Times New Roman"/>
        </w:rPr>
        <w:t>Informacijski sustav Riznice primjenjivat će se od 1. siječnja 2026. godine.</w:t>
      </w:r>
    </w:p>
    <w:p w:rsidR="00440A6E" w:rsidRDefault="00440A6E" w:rsidP="00440A6E">
      <w:pPr>
        <w:spacing w:after="0"/>
        <w:jc w:val="both"/>
        <w:rPr>
          <w:rFonts w:ascii="Times New Roman" w:hAnsi="Times New Roman" w:cs="Times New Roman"/>
        </w:rPr>
      </w:pPr>
      <w:r>
        <w:rPr>
          <w:rFonts w:ascii="Times New Roman" w:hAnsi="Times New Roman" w:cs="Times New Roman"/>
        </w:rPr>
        <w:t>Proračunski korisnik obvezan je zatvoriti svoje žiro račune s 31. 12. 2025. godine, odnosno od uključivanja u Riznicu, a sredstva koja se nalaze na računu obvezan je uplatiti u Proračun Općine Gornji Bogićevci.</w:t>
      </w:r>
    </w:p>
    <w:p w:rsidR="00440A6E" w:rsidRDefault="00440A6E" w:rsidP="00440A6E">
      <w:pPr>
        <w:spacing w:after="0"/>
        <w:jc w:val="both"/>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10.</w:t>
      </w:r>
    </w:p>
    <w:p w:rsidR="00440A6E" w:rsidRDefault="00440A6E" w:rsidP="00440A6E">
      <w:pPr>
        <w:spacing w:after="0"/>
        <w:jc w:val="both"/>
        <w:rPr>
          <w:rFonts w:ascii="Times New Roman" w:hAnsi="Times New Roman" w:cs="Times New Roman"/>
        </w:rPr>
      </w:pPr>
      <w:r>
        <w:rPr>
          <w:rFonts w:ascii="Times New Roman" w:hAnsi="Times New Roman" w:cs="Times New Roman"/>
        </w:rPr>
        <w:t>Ova odluka stupa na snagu osmog dana od dana objave u Službenom glasniku Općine Gornji Bogićevci, a sustav Riznice u potpunosti se uspostavlja 1. siječnja 2026. godine.</w:t>
      </w:r>
    </w:p>
    <w:p w:rsidR="00440A6E" w:rsidRDefault="00440A6E" w:rsidP="00440A6E">
      <w:pPr>
        <w:spacing w:after="0"/>
        <w:jc w:val="center"/>
        <w:rPr>
          <w:rFonts w:ascii="Times New Roman" w:hAnsi="Times New Roman" w:cs="Times New Roman"/>
        </w:rPr>
      </w:pPr>
    </w:p>
    <w:p w:rsidR="00440A6E" w:rsidRDefault="00440A6E" w:rsidP="00440A6E">
      <w:pPr>
        <w:spacing w:after="0"/>
        <w:rPr>
          <w:rFonts w:ascii="Times New Roman" w:hAnsi="Times New Roman" w:cs="Times New Roman"/>
        </w:rPr>
      </w:pPr>
    </w:p>
    <w:p w:rsidR="00440A6E" w:rsidRDefault="00440A6E" w:rsidP="00440A6E">
      <w:pPr>
        <w:spacing w:after="0"/>
        <w:jc w:val="center"/>
        <w:rPr>
          <w:rFonts w:ascii="Times New Roman" w:hAnsi="Times New Roman" w:cs="Times New Roman"/>
        </w:rPr>
      </w:pPr>
      <w:r>
        <w:rPr>
          <w:rFonts w:ascii="Times New Roman" w:hAnsi="Times New Roman" w:cs="Times New Roman"/>
        </w:rPr>
        <w:t>OPĆINSKO VIJEĆE OPĆINE GORNJI BOGIĆEVCI</w:t>
      </w: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p>
    <w:p w:rsidR="00440A6E" w:rsidRDefault="00440A6E" w:rsidP="00440A6E">
      <w:pPr>
        <w:spacing w:after="0"/>
        <w:jc w:val="both"/>
        <w:rPr>
          <w:rFonts w:ascii="Times New Roman" w:hAnsi="Times New Roman" w:cs="Times New Roman"/>
        </w:rPr>
      </w:pPr>
      <w:r>
        <w:rPr>
          <w:rFonts w:ascii="Times New Roman" w:hAnsi="Times New Roman" w:cs="Times New Roman"/>
        </w:rPr>
        <w:t>KLASA: 400-01/25-01/ 1</w:t>
      </w:r>
    </w:p>
    <w:p w:rsidR="00440A6E" w:rsidRDefault="00440A6E" w:rsidP="00440A6E">
      <w:pPr>
        <w:spacing w:after="0"/>
        <w:jc w:val="both"/>
        <w:rPr>
          <w:rFonts w:ascii="Times New Roman" w:hAnsi="Times New Roman" w:cs="Times New Roman"/>
        </w:rPr>
      </w:pPr>
      <w:r>
        <w:rPr>
          <w:rFonts w:ascii="Times New Roman" w:hAnsi="Times New Roman" w:cs="Times New Roman"/>
        </w:rPr>
        <w:t>URBROJ: 2178-22-03-25-1</w:t>
      </w:r>
    </w:p>
    <w:p w:rsidR="00440A6E" w:rsidRDefault="00440A6E" w:rsidP="00440A6E">
      <w:pPr>
        <w:spacing w:after="0"/>
        <w:jc w:val="both"/>
        <w:rPr>
          <w:rFonts w:ascii="Times New Roman" w:hAnsi="Times New Roman" w:cs="Times New Roman"/>
        </w:rPr>
      </w:pPr>
      <w:r>
        <w:rPr>
          <w:rFonts w:ascii="Times New Roman" w:hAnsi="Times New Roman" w:cs="Times New Roman"/>
        </w:rPr>
        <w:t>Gornji Bogićevci, 22.12.2025.</w:t>
      </w:r>
    </w:p>
    <w:p w:rsidR="00440A6E" w:rsidRDefault="00440A6E" w:rsidP="00440A6E">
      <w:pPr>
        <w:spacing w:after="0"/>
        <w:jc w:val="right"/>
        <w:rPr>
          <w:rFonts w:ascii="Times New Roman" w:hAnsi="Times New Roman" w:cs="Times New Roman"/>
        </w:rPr>
      </w:pPr>
    </w:p>
    <w:p w:rsidR="00440A6E" w:rsidRDefault="00440A6E" w:rsidP="00440A6E">
      <w:pPr>
        <w:spacing w:after="0"/>
        <w:jc w:val="right"/>
        <w:rPr>
          <w:rFonts w:ascii="Times New Roman" w:hAnsi="Times New Roman" w:cs="Times New Roman"/>
        </w:rPr>
      </w:pPr>
    </w:p>
    <w:p w:rsidR="00440A6E" w:rsidRDefault="00440A6E" w:rsidP="00440A6E">
      <w:pPr>
        <w:spacing w:after="0"/>
        <w:jc w:val="right"/>
        <w:rPr>
          <w:rFonts w:ascii="Times New Roman" w:hAnsi="Times New Roman" w:cs="Times New Roman"/>
        </w:rPr>
      </w:pPr>
    </w:p>
    <w:p w:rsidR="00440A6E" w:rsidRDefault="00440A6E" w:rsidP="00440A6E">
      <w:pPr>
        <w:spacing w:after="0"/>
        <w:jc w:val="right"/>
        <w:rPr>
          <w:rFonts w:ascii="Times New Roman" w:hAnsi="Times New Roman" w:cs="Times New Roman"/>
        </w:rPr>
      </w:pPr>
      <w:r>
        <w:rPr>
          <w:rFonts w:ascii="Times New Roman" w:hAnsi="Times New Roman" w:cs="Times New Roman"/>
        </w:rPr>
        <w:t>Predsjednik OV-a:</w:t>
      </w:r>
    </w:p>
    <w:p w:rsidR="00440A6E" w:rsidRDefault="00440A6E" w:rsidP="00440A6E">
      <w:pPr>
        <w:spacing w:after="0"/>
        <w:jc w:val="right"/>
        <w:rPr>
          <w:rFonts w:ascii="Times New Roman" w:hAnsi="Times New Roman" w:cs="Times New Roman"/>
        </w:rPr>
      </w:pPr>
      <w:r>
        <w:rPr>
          <w:rFonts w:ascii="Times New Roman" w:hAnsi="Times New Roman" w:cs="Times New Roman"/>
        </w:rPr>
        <w:t>Željko Klarić</w:t>
      </w:r>
    </w:p>
    <w:p w:rsidR="00440A6E" w:rsidRDefault="00440A6E" w:rsidP="00440A6E"/>
    <w:p w:rsidR="00440A6E" w:rsidRDefault="00440A6E" w:rsidP="00440A6E">
      <w:pPr>
        <w:pStyle w:val="box469218"/>
        <w:shd w:val="clear" w:color="auto" w:fill="FFFFFF"/>
        <w:spacing w:before="204" w:beforeAutospacing="0" w:after="72" w:afterAutospacing="0"/>
        <w:jc w:val="center"/>
        <w:textAlignment w:val="baseline"/>
        <w:rPr>
          <w:i/>
          <w:iCs/>
          <w:color w:val="231F20"/>
          <w:sz w:val="26"/>
          <w:szCs w:val="26"/>
        </w:rPr>
      </w:pPr>
    </w:p>
    <w:p w:rsidR="00440A6E" w:rsidRDefault="00440A6E" w:rsidP="00440A6E">
      <w:pPr>
        <w:pStyle w:val="box469218"/>
        <w:shd w:val="clear" w:color="auto" w:fill="FFFFFF"/>
        <w:spacing w:before="204" w:beforeAutospacing="0" w:after="72" w:afterAutospacing="0"/>
        <w:jc w:val="center"/>
        <w:textAlignment w:val="baseline"/>
        <w:rPr>
          <w:i/>
          <w:iCs/>
          <w:color w:val="231F20"/>
          <w:sz w:val="26"/>
          <w:szCs w:val="26"/>
        </w:rPr>
      </w:pPr>
      <w:r>
        <w:rPr>
          <w:i/>
          <w:iCs/>
          <w:color w:val="231F20"/>
          <w:sz w:val="26"/>
          <w:szCs w:val="26"/>
        </w:rPr>
        <w:t>Računi za izvršavanje državnog proračuna i proračuna jedinica lokalne i područne (regionalne) samouprave</w:t>
      </w:r>
    </w:p>
    <w:p w:rsidR="00440A6E" w:rsidRDefault="00440A6E" w:rsidP="00440A6E">
      <w:pPr>
        <w:pStyle w:val="box469218"/>
        <w:shd w:val="clear" w:color="auto" w:fill="FFFFFF"/>
        <w:spacing w:before="34" w:beforeAutospacing="0" w:after="48" w:afterAutospacing="0"/>
        <w:jc w:val="center"/>
        <w:textAlignment w:val="baseline"/>
        <w:rPr>
          <w:color w:val="231F20"/>
        </w:rPr>
      </w:pPr>
      <w:r>
        <w:rPr>
          <w:color w:val="231F20"/>
        </w:rPr>
        <w:t>Članak 50.</w:t>
      </w:r>
    </w:p>
    <w:p w:rsidR="00440A6E" w:rsidRDefault="00440A6E" w:rsidP="00440A6E">
      <w:pPr>
        <w:pStyle w:val="box469218"/>
        <w:shd w:val="clear" w:color="auto" w:fill="FFFFFF"/>
        <w:spacing w:before="0" w:beforeAutospacing="0" w:after="48" w:afterAutospacing="0"/>
        <w:ind w:firstLine="408"/>
        <w:textAlignment w:val="baseline"/>
        <w:rPr>
          <w:color w:val="231F20"/>
        </w:rPr>
      </w:pPr>
      <w:r>
        <w:rPr>
          <w:color w:val="231F20"/>
        </w:rPr>
        <w:t>(1) Državni proračun ima jedinstveni račun državnog proračuna koji se otvara i vodi u Hrvatskoj narodnoj banci, a na kojem se ostvaruju svi priljevi i izvršavaju svi odljevi proračuna i proračunskih korisnika državnog proračuna.</w:t>
      </w:r>
    </w:p>
    <w:p w:rsidR="00440A6E" w:rsidRDefault="00440A6E" w:rsidP="00440A6E">
      <w:pPr>
        <w:pStyle w:val="box469218"/>
        <w:shd w:val="clear" w:color="auto" w:fill="FFFFFF"/>
        <w:spacing w:before="0" w:beforeAutospacing="0" w:after="48" w:afterAutospacing="0"/>
        <w:ind w:firstLine="408"/>
        <w:textAlignment w:val="baseline"/>
        <w:rPr>
          <w:color w:val="231F20"/>
        </w:rPr>
      </w:pPr>
      <w:r>
        <w:rPr>
          <w:color w:val="231F20"/>
        </w:rPr>
        <w:t>(2) Jedinica lokalne i područne (regionalne) samouprave ima jedinstveni račun proračuna koji se otvara i vodi u kreditnoj instituciji, a na kojem se ostvaruju svi priljevi i izvršavaju svi odljevi proračuna i proračunskih korisnika jedinice lokalne i područne (regionalne) samouprave.</w:t>
      </w:r>
    </w:p>
    <w:p w:rsidR="00440A6E" w:rsidRDefault="00440A6E" w:rsidP="00440A6E"/>
    <w:p w:rsidR="00440A6E" w:rsidRPr="00440A6E" w:rsidRDefault="00440A6E" w:rsidP="00360577">
      <w:pPr>
        <w:spacing w:line="360" w:lineRule="auto"/>
        <w:jc w:val="both"/>
        <w:rPr>
          <w:rFonts w:ascii="Times New Roman" w:hAnsi="Times New Roman" w:cs="Times New Roman"/>
          <w:b/>
          <w:bCs/>
          <w:sz w:val="24"/>
          <w:szCs w:val="24"/>
        </w:rPr>
      </w:pPr>
    </w:p>
    <w:p w:rsidR="00440A6E" w:rsidRDefault="00440A6E" w:rsidP="00360577">
      <w:pPr>
        <w:spacing w:line="360" w:lineRule="auto"/>
        <w:jc w:val="both"/>
        <w:rPr>
          <w:rFonts w:ascii="Times New Roman" w:hAnsi="Times New Roman" w:cs="Times New Roman"/>
          <w:b/>
          <w:bCs/>
          <w:sz w:val="24"/>
          <w:szCs w:val="24"/>
        </w:rPr>
      </w:pPr>
      <w:r w:rsidRPr="00440A6E">
        <w:rPr>
          <w:rFonts w:ascii="Times New Roman" w:hAnsi="Times New Roman" w:cs="Times New Roman"/>
          <w:b/>
          <w:bCs/>
          <w:sz w:val="24"/>
          <w:szCs w:val="24"/>
        </w:rPr>
        <w:t>39. Program stambenog zbrinjavanja</w:t>
      </w:r>
    </w:p>
    <w:p w:rsidR="00777ABF" w:rsidRDefault="00777ABF" w:rsidP="00777ABF">
      <w:pPr>
        <w:ind w:firstLine="708"/>
        <w:jc w:val="both"/>
      </w:pPr>
      <w:r>
        <w:t xml:space="preserve">Na temelju članka </w:t>
      </w:r>
      <w:r>
        <w:rPr>
          <w:color w:val="000000"/>
        </w:rPr>
        <w:t>39. Statuta Općine Gornji Bogićevci (“Službeni glasnik Općine Gornji Bogićevci” 02/21)</w:t>
      </w:r>
      <w:r>
        <w:t>, Općinsko vijeće Općine Gornji Bogićevci na 5. sjednici održanoj 22.12.2025. godine, donijelo je</w:t>
      </w:r>
    </w:p>
    <w:p w:rsidR="00777ABF" w:rsidRDefault="00777ABF" w:rsidP="00777ABF">
      <w:pPr>
        <w:ind w:firstLine="708"/>
        <w:jc w:val="both"/>
      </w:pPr>
    </w:p>
    <w:p w:rsidR="00777ABF" w:rsidRDefault="00777ABF" w:rsidP="00777ABF">
      <w:pPr>
        <w:jc w:val="center"/>
        <w:rPr>
          <w:b/>
          <w:bCs/>
        </w:rPr>
      </w:pPr>
      <w:bookmarkStart w:id="6" w:name="_Hlk123726048"/>
      <w:r>
        <w:rPr>
          <w:b/>
          <w:bCs/>
        </w:rPr>
        <w:t>PROGRAM MJERA ZA POTICANJE RJEŠAVANJA</w:t>
      </w:r>
    </w:p>
    <w:p w:rsidR="00777ABF" w:rsidRDefault="00777ABF" w:rsidP="00777ABF">
      <w:pPr>
        <w:jc w:val="center"/>
        <w:rPr>
          <w:b/>
          <w:bCs/>
        </w:rPr>
      </w:pPr>
      <w:r>
        <w:rPr>
          <w:b/>
          <w:bCs/>
        </w:rPr>
        <w:t>STAMBENOG PITANJA</w:t>
      </w:r>
    </w:p>
    <w:p w:rsidR="00777ABF" w:rsidRDefault="00777ABF" w:rsidP="00777ABF">
      <w:pPr>
        <w:jc w:val="center"/>
        <w:rPr>
          <w:b/>
          <w:bCs/>
        </w:rPr>
      </w:pPr>
      <w:r>
        <w:rPr>
          <w:b/>
          <w:bCs/>
        </w:rPr>
        <w:t>NA PODRUČJU OPĆINE GORNJI BOGIĆEVCI</w:t>
      </w:r>
    </w:p>
    <w:bookmarkEnd w:id="6"/>
    <w:p w:rsidR="00777ABF" w:rsidRDefault="00777ABF" w:rsidP="00777ABF">
      <w:pPr>
        <w:ind w:firstLine="708"/>
        <w:jc w:val="both"/>
      </w:pPr>
    </w:p>
    <w:p w:rsidR="00777ABF" w:rsidRDefault="00777ABF" w:rsidP="00777ABF">
      <w:pPr>
        <w:jc w:val="both"/>
      </w:pPr>
    </w:p>
    <w:p w:rsidR="00777ABF" w:rsidRDefault="00777ABF" w:rsidP="00A66748">
      <w:pPr>
        <w:pStyle w:val="Odlomakpopisa"/>
        <w:numPr>
          <w:ilvl w:val="0"/>
          <w:numId w:val="33"/>
        </w:numPr>
        <w:jc w:val="both"/>
        <w:rPr>
          <w:b/>
          <w:bCs/>
        </w:rPr>
      </w:pPr>
      <w:r>
        <w:rPr>
          <w:b/>
          <w:bCs/>
        </w:rPr>
        <w:t>CILJ PROGRAMA</w:t>
      </w:r>
    </w:p>
    <w:p w:rsidR="00777ABF" w:rsidRDefault="00777ABF" w:rsidP="00777ABF">
      <w:pPr>
        <w:ind w:firstLine="360"/>
        <w:jc w:val="both"/>
      </w:pPr>
      <w:r>
        <w:t>Glavni cilj koji se želi postići ovim Programom je uspostaviti učinkovit, efikasan i operativan sustav mjera i aktivnosti koji će rezultirati poticanjem povratka, ostanka i naseljavanja stanovništva na području općine Gornji Bogićevci, a sve u svrhu demografske revitalizacije.</w:t>
      </w:r>
    </w:p>
    <w:p w:rsidR="00777ABF" w:rsidRDefault="00777ABF" w:rsidP="00777ABF">
      <w:pPr>
        <w:ind w:firstLine="360"/>
        <w:jc w:val="both"/>
        <w:rPr>
          <w:b/>
          <w:bCs/>
        </w:rPr>
      </w:pPr>
      <w:r>
        <w:t xml:space="preserve">Potpora je jednokratna po obitelji odnosno po stambenom objektu i Mjere iz ovog Programa </w:t>
      </w:r>
      <w:r>
        <w:rPr>
          <w:b/>
          <w:bCs/>
        </w:rPr>
        <w:t>se ne mogu kombinirati</w:t>
      </w:r>
      <w:r>
        <w:t xml:space="preserve"> </w:t>
      </w:r>
      <w:r>
        <w:rPr>
          <w:b/>
          <w:bCs/>
        </w:rPr>
        <w:t>niti ponavljati.</w:t>
      </w:r>
    </w:p>
    <w:p w:rsidR="00777ABF" w:rsidRDefault="00777ABF" w:rsidP="00777ABF">
      <w:pPr>
        <w:ind w:firstLine="708"/>
        <w:jc w:val="both"/>
      </w:pPr>
      <w:r>
        <w:t>Kupljeni ili adaptirani stambeni objekti, odnosno građevinsko zemljište na kojima se planira graditi stambeni objekt, moraju biti bez tereta (hipotekarnih tražbina, zabilježbi uzdržavanja ili bilo kojih drugih tereta koji utječu na slobodno raspolaganje istim).</w:t>
      </w:r>
    </w:p>
    <w:p w:rsidR="00777ABF" w:rsidRDefault="00777ABF" w:rsidP="00777ABF">
      <w:pPr>
        <w:jc w:val="both"/>
      </w:pPr>
    </w:p>
    <w:p w:rsidR="00777ABF" w:rsidRDefault="00777ABF" w:rsidP="00A66748">
      <w:pPr>
        <w:pStyle w:val="Odlomakpopisa"/>
        <w:numPr>
          <w:ilvl w:val="0"/>
          <w:numId w:val="33"/>
        </w:numPr>
        <w:spacing w:after="0" w:line="240" w:lineRule="auto"/>
        <w:jc w:val="both"/>
        <w:rPr>
          <w:b/>
          <w:bCs/>
        </w:rPr>
      </w:pPr>
      <w:r>
        <w:rPr>
          <w:b/>
          <w:bCs/>
        </w:rPr>
        <w:t>KORISNICI PROGRAMA</w:t>
      </w:r>
    </w:p>
    <w:p w:rsidR="00777ABF" w:rsidRDefault="00777ABF" w:rsidP="00777ABF">
      <w:pPr>
        <w:ind w:firstLine="360"/>
        <w:jc w:val="both"/>
      </w:pPr>
      <w:r>
        <w:t>Za potrebe ovog Programa izrazi koji imaju rodno značenje odnose se jednako na muški i ženski rod.</w:t>
      </w:r>
    </w:p>
    <w:p w:rsidR="00777ABF" w:rsidRDefault="00777ABF" w:rsidP="00777ABF">
      <w:pPr>
        <w:ind w:firstLine="360"/>
        <w:jc w:val="both"/>
        <w:rPr>
          <w:b/>
          <w:bCs/>
          <w:u w:val="single"/>
        </w:rPr>
      </w:pPr>
    </w:p>
    <w:p w:rsidR="00777ABF" w:rsidRDefault="00777ABF" w:rsidP="00777ABF">
      <w:pPr>
        <w:ind w:firstLine="360"/>
        <w:jc w:val="both"/>
        <w:rPr>
          <w:b/>
          <w:bCs/>
          <w:u w:val="single"/>
        </w:rPr>
      </w:pPr>
      <w:r>
        <w:rPr>
          <w:b/>
          <w:bCs/>
          <w:u w:val="single"/>
        </w:rPr>
        <w:t>Tko može biti korisnik:</w:t>
      </w:r>
    </w:p>
    <w:p w:rsidR="00777ABF" w:rsidRDefault="00777ABF" w:rsidP="00777ABF">
      <w:pPr>
        <w:ind w:firstLine="360"/>
        <w:jc w:val="both"/>
      </w:pPr>
      <w:r>
        <w:t>Korisnici mjera i olakšica iz ovog Programa su mlade obitelji.</w:t>
      </w:r>
    </w:p>
    <w:p w:rsidR="00777ABF" w:rsidRDefault="00777ABF" w:rsidP="00777ABF">
      <w:pPr>
        <w:ind w:firstLine="360"/>
        <w:jc w:val="both"/>
      </w:pPr>
      <w:r>
        <w:lastRenderedPageBreak/>
        <w:t>Mladom obitelji  u smislu ovog Programa, smatra se podnositelj zahtjeva, njegov bračni drug i djeca ukoliko ih imaju, pod uvjetom da podnositelj zahtjeva nije navršio 40 godina života prije nego je raspisan javni poziv.</w:t>
      </w:r>
    </w:p>
    <w:p w:rsidR="00777ABF" w:rsidRDefault="00777ABF" w:rsidP="00777ABF">
      <w:pPr>
        <w:ind w:firstLine="360"/>
        <w:jc w:val="both"/>
      </w:pPr>
      <w:r>
        <w:t>Mladom obitelji se smatra i samohrani roditelj s djetetom, odnosno djecom. Samohranim roditeljem ne smatra se osoba koja je ponovo osnovala bračnu / izvanbračnu zajednicu. Samohrani roditelj je dužan potpisati izjavu pod materijalnom i krivičnom odgovornošću da nije ponovo osnovao bračnu / izvanbračnu zajednicu. Komisija za provedbu javnog poziva može, temeljem osobnih saznanja, osporiti izjavu samohranog roditelja.</w:t>
      </w:r>
    </w:p>
    <w:p w:rsidR="00777ABF" w:rsidRDefault="00777ABF" w:rsidP="00777ABF">
      <w:pPr>
        <w:ind w:firstLine="360"/>
        <w:jc w:val="both"/>
      </w:pPr>
      <w:r>
        <w:t xml:space="preserve">Korisnici ovoga Programa mogu biti i osobe koje su u </w:t>
      </w:r>
      <w:r>
        <w:rPr>
          <w:b/>
          <w:bCs/>
        </w:rPr>
        <w:t>suvlasništvu</w:t>
      </w:r>
      <w:r>
        <w:t xml:space="preserve"> obiteljske kuće ili stana temeljem uknjižbe prava vlasništva prema ugovoru o darovanju nekretnina od strane Republike Hrvatske. Ova povlaštena odredba ne odnosi se na osobe koje su temeljem ugovora o darovanju nekretnina od strane Republike Hrvatske postale vlasnici 1/1 obiteljske kuće ili stana, kao ni na njihove supružnike.</w:t>
      </w:r>
    </w:p>
    <w:p w:rsidR="00777ABF" w:rsidRDefault="00777ABF" w:rsidP="00777ABF">
      <w:pPr>
        <w:ind w:firstLine="360"/>
        <w:jc w:val="both"/>
      </w:pPr>
    </w:p>
    <w:p w:rsidR="00777ABF" w:rsidRDefault="00777ABF" w:rsidP="00777ABF">
      <w:pPr>
        <w:ind w:firstLine="360"/>
        <w:jc w:val="both"/>
        <w:rPr>
          <w:b/>
          <w:bCs/>
          <w:u w:val="single"/>
        </w:rPr>
      </w:pPr>
      <w:r>
        <w:rPr>
          <w:b/>
          <w:bCs/>
          <w:u w:val="single"/>
        </w:rPr>
        <w:t>Tko ne može biti korisnik:</w:t>
      </w:r>
    </w:p>
    <w:p w:rsidR="00777ABF" w:rsidRDefault="00777ABF" w:rsidP="00777ABF">
      <w:pPr>
        <w:ind w:firstLine="360"/>
        <w:jc w:val="both"/>
        <w:rPr>
          <w:color w:val="000000" w:themeColor="text1"/>
        </w:rPr>
      </w:pPr>
      <w:r>
        <w:rPr>
          <w:color w:val="000000" w:themeColor="text1"/>
        </w:rPr>
        <w:t xml:space="preserve">Korisnik programa </w:t>
      </w:r>
      <w:r>
        <w:rPr>
          <w:b/>
          <w:bCs/>
          <w:color w:val="000000" w:themeColor="text1"/>
        </w:rPr>
        <w:t>ne može biti</w:t>
      </w:r>
      <w:r>
        <w:rPr>
          <w:color w:val="000000" w:themeColor="text1"/>
        </w:rPr>
        <w:t xml:space="preserve"> osoba i/ili njen bračni / izvanbračni drug kojemu predmetna nekretnina nije </w:t>
      </w:r>
      <w:r>
        <w:rPr>
          <w:b/>
          <w:bCs/>
          <w:color w:val="000000" w:themeColor="text1"/>
        </w:rPr>
        <w:t>prva i jedina</w:t>
      </w:r>
      <w:r>
        <w:rPr>
          <w:color w:val="000000" w:themeColor="text1"/>
        </w:rPr>
        <w:t xml:space="preserve"> stambena nekretnina.</w:t>
      </w:r>
    </w:p>
    <w:p w:rsidR="00777ABF" w:rsidRDefault="00777ABF" w:rsidP="00777ABF">
      <w:pPr>
        <w:ind w:firstLine="360"/>
        <w:jc w:val="both"/>
        <w:rPr>
          <w:color w:val="000000" w:themeColor="text1"/>
        </w:rPr>
      </w:pPr>
      <w:r>
        <w:rPr>
          <w:color w:val="000000" w:themeColor="text1"/>
        </w:rPr>
        <w:t xml:space="preserve">Korisnik programa </w:t>
      </w:r>
      <w:r>
        <w:rPr>
          <w:b/>
          <w:bCs/>
          <w:color w:val="000000" w:themeColor="text1"/>
        </w:rPr>
        <w:t>ne može biti</w:t>
      </w:r>
      <w:r>
        <w:rPr>
          <w:color w:val="000000" w:themeColor="text1"/>
        </w:rPr>
        <w:t xml:space="preserve"> osoba koja je prvu nekretninu stekla darovanjem ili kupnjom od svojih roditelja i/ili roditelja bračnog/izvanbračnog druga.</w:t>
      </w:r>
    </w:p>
    <w:p w:rsidR="00777ABF" w:rsidRDefault="00777ABF" w:rsidP="00777ABF">
      <w:pPr>
        <w:ind w:firstLine="360"/>
        <w:jc w:val="both"/>
        <w:rPr>
          <w:color w:val="000000" w:themeColor="text1"/>
        </w:rPr>
      </w:pPr>
      <w:r>
        <w:rPr>
          <w:color w:val="000000" w:themeColor="text1"/>
        </w:rPr>
        <w:t xml:space="preserve">Korisnik programa </w:t>
      </w:r>
      <w:r>
        <w:rPr>
          <w:b/>
          <w:bCs/>
          <w:color w:val="000000" w:themeColor="text1"/>
        </w:rPr>
        <w:t>ne može biti</w:t>
      </w:r>
      <w:r>
        <w:rPr>
          <w:color w:val="000000" w:themeColor="text1"/>
        </w:rPr>
        <w:t xml:space="preserve"> osoba koja predmetnu nekretninu kupuje, gradi ili adaptira izvan područja općine Gornji Bogićevci</w:t>
      </w:r>
    </w:p>
    <w:p w:rsidR="00777ABF" w:rsidRDefault="00777ABF" w:rsidP="00777ABF">
      <w:pPr>
        <w:ind w:firstLine="360"/>
        <w:jc w:val="both"/>
      </w:pPr>
      <w:r>
        <w:t>Korisnik programa ne može biti osoba koja je pod bilo kojim oblikom blokade u pogledu novčanih ovrha.</w:t>
      </w:r>
    </w:p>
    <w:p w:rsidR="00777ABF" w:rsidRDefault="00777ABF" w:rsidP="00777ABF">
      <w:pPr>
        <w:ind w:firstLine="360"/>
        <w:jc w:val="both"/>
      </w:pPr>
      <w:r>
        <w:t>Ukoliko Korisnici nakon potpisivanja Ugovora o sufinanciranju postanu ovršenici bilo na novčanim sredstvima ili postupak ovrhe bude zabilježen na nekretnini u odnosu na koju su postali korisnikom sufinanciranja, dužni su o postupku ovrhe obavijestiti Općinu Gornji Bogićevci.</w:t>
      </w:r>
    </w:p>
    <w:p w:rsidR="00777ABF" w:rsidRDefault="00777ABF" w:rsidP="00777ABF">
      <w:pPr>
        <w:jc w:val="both"/>
      </w:pPr>
    </w:p>
    <w:p w:rsidR="00777ABF" w:rsidRDefault="00777ABF" w:rsidP="00A66748">
      <w:pPr>
        <w:pStyle w:val="Odlomakpopisa"/>
        <w:numPr>
          <w:ilvl w:val="0"/>
          <w:numId w:val="33"/>
        </w:numPr>
        <w:spacing w:after="0" w:line="240" w:lineRule="auto"/>
        <w:jc w:val="both"/>
        <w:rPr>
          <w:b/>
          <w:bCs/>
        </w:rPr>
      </w:pPr>
      <w:r>
        <w:rPr>
          <w:b/>
          <w:bCs/>
        </w:rPr>
        <w:t>TRAJANJE PROGRAMA</w:t>
      </w:r>
    </w:p>
    <w:p w:rsidR="00777ABF" w:rsidRDefault="00777ABF" w:rsidP="00777ABF">
      <w:pPr>
        <w:spacing w:after="0" w:line="240" w:lineRule="auto"/>
        <w:ind w:left="360"/>
        <w:jc w:val="both"/>
        <w:rPr>
          <w:b/>
          <w:bCs/>
        </w:rPr>
      </w:pPr>
    </w:p>
    <w:p w:rsidR="00777ABF" w:rsidRDefault="00777ABF" w:rsidP="00777ABF">
      <w:pPr>
        <w:ind w:firstLine="360"/>
        <w:jc w:val="both"/>
      </w:pPr>
      <w:r>
        <w:t xml:space="preserve">U svakoj novoj proračunskoj godini Jedinstveni upravni odjel raspisuje Javni poziv sukladno ovom Programu i planiranim ukupnim sredstvima u Proračunu za tu godinu. Javni poziv će trajati do 10. prosinca tekuće godine ili do iskorištenja planiranih sredstava. </w:t>
      </w:r>
    </w:p>
    <w:p w:rsidR="00777ABF" w:rsidRDefault="00777ABF" w:rsidP="00777ABF">
      <w:pPr>
        <w:ind w:firstLine="360"/>
        <w:jc w:val="both"/>
        <w:rPr>
          <w:color w:val="000000" w:themeColor="text1"/>
        </w:rPr>
      </w:pPr>
      <w:r>
        <w:rPr>
          <w:color w:val="000000" w:themeColor="text1"/>
        </w:rPr>
        <w:t>Rok za prijavu na javni poziv počinje teći od trenutka kupnje predmetne nekretnine te traje godinu dana.</w:t>
      </w:r>
    </w:p>
    <w:p w:rsidR="00777ABF" w:rsidRDefault="00777ABF" w:rsidP="00777ABF">
      <w:pPr>
        <w:ind w:firstLine="360"/>
        <w:jc w:val="both"/>
      </w:pPr>
    </w:p>
    <w:p w:rsidR="00777ABF" w:rsidRDefault="00777ABF" w:rsidP="00A66748">
      <w:pPr>
        <w:pStyle w:val="Odlomakpopisa"/>
        <w:numPr>
          <w:ilvl w:val="0"/>
          <w:numId w:val="33"/>
        </w:numPr>
        <w:spacing w:after="0" w:line="240" w:lineRule="auto"/>
        <w:jc w:val="both"/>
        <w:rPr>
          <w:b/>
          <w:bCs/>
        </w:rPr>
      </w:pPr>
      <w:r>
        <w:rPr>
          <w:b/>
          <w:bCs/>
        </w:rPr>
        <w:t>MJERE POTICANJA</w:t>
      </w:r>
    </w:p>
    <w:p w:rsidR="00777ABF" w:rsidRDefault="00777ABF" w:rsidP="00777ABF">
      <w:pPr>
        <w:jc w:val="both"/>
        <w:rPr>
          <w:b/>
          <w:bCs/>
        </w:rPr>
      </w:pPr>
    </w:p>
    <w:p w:rsidR="00777ABF" w:rsidRDefault="00777ABF" w:rsidP="00777ABF">
      <w:pPr>
        <w:jc w:val="both"/>
        <w:rPr>
          <w:b/>
          <w:bCs/>
        </w:rPr>
      </w:pPr>
      <w:r>
        <w:rPr>
          <w:b/>
          <w:bCs/>
        </w:rPr>
        <w:t xml:space="preserve">Mjera 1. Financijska pomoć za kupnju stambenog objekta na području Općine Gornji </w:t>
      </w:r>
    </w:p>
    <w:p w:rsidR="00777ABF" w:rsidRDefault="00777ABF" w:rsidP="00777ABF">
      <w:pPr>
        <w:jc w:val="both"/>
        <w:rPr>
          <w:b/>
          <w:bCs/>
        </w:rPr>
      </w:pPr>
      <w:r>
        <w:rPr>
          <w:b/>
          <w:bCs/>
        </w:rPr>
        <w:tab/>
        <w:t xml:space="preserve">     Bogićevci</w:t>
      </w:r>
    </w:p>
    <w:p w:rsidR="00777ABF" w:rsidRDefault="00777ABF" w:rsidP="00777ABF">
      <w:pPr>
        <w:jc w:val="both"/>
        <w:rPr>
          <w:b/>
          <w:bCs/>
        </w:rPr>
      </w:pPr>
    </w:p>
    <w:p w:rsidR="00777ABF" w:rsidRDefault="00777ABF" w:rsidP="00777ABF">
      <w:pPr>
        <w:ind w:firstLine="708"/>
        <w:jc w:val="both"/>
      </w:pPr>
      <w:r>
        <w:lastRenderedPageBreak/>
        <w:t xml:space="preserve">Intenzitet potpore na ime subvencije kupoprodajne cijene iznosi </w:t>
      </w:r>
      <w:r>
        <w:rPr>
          <w:b/>
          <w:bCs/>
        </w:rPr>
        <w:t>4.000,00 eura</w:t>
      </w:r>
      <w:r>
        <w:t xml:space="preserve"> na temelju valjano zaključenog kupoprodajnog ugov</w:t>
      </w:r>
      <w:r>
        <w:rPr>
          <w:color w:val="000000" w:themeColor="text1"/>
        </w:rPr>
        <w:t>ora uz uvjet da isti ugovor nije zaključen s roditeljima podnositelja zahtjeva i/ili roditeljima njegovog bračnog/izvanbračnog druga.</w:t>
      </w:r>
    </w:p>
    <w:p w:rsidR="00777ABF" w:rsidRDefault="00777ABF" w:rsidP="00777ABF">
      <w:pPr>
        <w:ind w:firstLine="708"/>
        <w:jc w:val="both"/>
      </w:pPr>
      <w:r>
        <w:t>Podnositelj zahtjeva kojem je odobrena financijska pomoć/subvencija za kupnju stambenog objekta i koji je time postao Korisnikom ovog Programa mjera dužan je dostaviti dokaz o uknjižbi vlasništava u zemljišne knjige u roku 30 dana od dana zaključenja Ugovora o financijskoj pomoći /subvencija za kupnju stambenog objekta.</w:t>
      </w:r>
    </w:p>
    <w:p w:rsidR="00777ABF" w:rsidRDefault="00777ABF" w:rsidP="00777ABF">
      <w:pPr>
        <w:ind w:firstLine="708"/>
        <w:jc w:val="both"/>
      </w:pPr>
      <w:r>
        <w:t>Općina Gornji Bogićevci zadržava pravo provjere i uvida na terenu po ovlaštenoj osobi i prije odobravanja mjere, a i nakon potpisivanja Ugovora o financiranju.</w:t>
      </w:r>
    </w:p>
    <w:p w:rsidR="00777ABF" w:rsidRDefault="00777ABF" w:rsidP="00777ABF">
      <w:pPr>
        <w:ind w:firstLine="708"/>
        <w:jc w:val="both"/>
      </w:pPr>
      <w:r>
        <w:t>Podnositelj zahtjeva kojem je odobrena financijska pomoć/subvencija za kupnju stambenog objekta na području Općine Gornji Bogićevci i time postao Korisnikom ovog Programa, dužan je sebe i članove svoje obitelji prijaviti na adresu kupljenog stambenog objekta u roku 6 mjeseci od zaključenja kupoprodajnog ugovora, te zadržati to prebivalište slijedećih 10 godina. Izuzetak od obveze zadržavanja prebivališta mogu imati djeca korisnika ukoliko se u međuvremenu osamostale ili osnuju svoje obitelji.</w:t>
      </w:r>
    </w:p>
    <w:p w:rsidR="00777ABF" w:rsidRDefault="00777ABF" w:rsidP="00777ABF">
      <w:pPr>
        <w:ind w:firstLine="708"/>
        <w:jc w:val="both"/>
        <w:rPr>
          <w:color w:val="000000" w:themeColor="text1"/>
        </w:rPr>
      </w:pPr>
      <w:r>
        <w:rPr>
          <w:color w:val="000000" w:themeColor="text1"/>
        </w:rPr>
        <w:t>Podnositelj zahtjeva, odnosno Korisnik ovog Programa dužan je dostaviti tražene potvrde / uvjerenja o prebivalištu za sebe i članove svoje obitelji u Jedinstveni upravni odjel Općine Gornji Bogićevci.</w:t>
      </w:r>
    </w:p>
    <w:p w:rsidR="00777ABF" w:rsidRDefault="00777ABF" w:rsidP="00777ABF">
      <w:pPr>
        <w:ind w:firstLine="708"/>
        <w:jc w:val="both"/>
      </w:pPr>
      <w:r>
        <w:t>Korisnik ovog Programa mjera dužan je prilikom potpisivanja Ugovora za dodjelu financijske pomoći / subvencije dostaviti instrument osiguranja u obliku ovjerene bjanko zadužnice na iznos koji pokriva iznos odobrene financijske pomoći/subvencije u korist Općine Gornji Bogićevci.</w:t>
      </w:r>
    </w:p>
    <w:p w:rsidR="00777ABF" w:rsidRDefault="00777ABF" w:rsidP="00777ABF">
      <w:pPr>
        <w:ind w:firstLine="360"/>
      </w:pPr>
      <w:r>
        <w:t>Instrument osiguranja se aktivira u slučaju:</w:t>
      </w:r>
    </w:p>
    <w:p w:rsidR="00777ABF" w:rsidRDefault="00777ABF" w:rsidP="00A66748">
      <w:pPr>
        <w:numPr>
          <w:ilvl w:val="0"/>
          <w:numId w:val="34"/>
        </w:numPr>
        <w:contextualSpacing/>
      </w:pPr>
      <w:r>
        <w:t>da podnositelj zahtjeva odnosno korisnik mjere ne prijavi svoje prebivalište i prebivalište članova svoje obitelji u propisanim rokovima,</w:t>
      </w:r>
    </w:p>
    <w:p w:rsidR="00777ABF" w:rsidRDefault="00777ABF" w:rsidP="00A66748">
      <w:pPr>
        <w:numPr>
          <w:ilvl w:val="0"/>
          <w:numId w:val="34"/>
        </w:numPr>
        <w:contextualSpacing/>
      </w:pPr>
      <w:r>
        <w:t>ne izvršava ili ne izvrši obveze iz Ugovora za dodjelu financijske pomoći /subvencije,</w:t>
      </w:r>
    </w:p>
    <w:p w:rsidR="00777ABF" w:rsidRDefault="00777ABF" w:rsidP="00A66748">
      <w:pPr>
        <w:numPr>
          <w:ilvl w:val="0"/>
          <w:numId w:val="34"/>
        </w:numPr>
        <w:contextualSpacing/>
      </w:pPr>
      <w:r>
        <w:t>ukoliko podnositelj ne zadrži prebivalište u roku određenom ovim Programom,</w:t>
      </w:r>
    </w:p>
    <w:p w:rsidR="00777ABF" w:rsidRDefault="00777ABF" w:rsidP="00A66748">
      <w:pPr>
        <w:numPr>
          <w:ilvl w:val="0"/>
          <w:numId w:val="34"/>
        </w:numPr>
        <w:contextualSpacing/>
      </w:pPr>
      <w:r>
        <w:t>ukoliko podnositelj postupa protivno smislu Javnog poziva koji će se raspisati po ovom Programu,</w:t>
      </w:r>
    </w:p>
    <w:p w:rsidR="00777ABF" w:rsidRDefault="00777ABF" w:rsidP="00A66748">
      <w:pPr>
        <w:numPr>
          <w:ilvl w:val="0"/>
          <w:numId w:val="34"/>
        </w:numPr>
        <w:contextualSpacing/>
      </w:pPr>
      <w:r>
        <w:t>ukoliko podnositelj otuđi, proda ili daruje nekretninu za čiju kupovinu je primio financijsku pomoć/subvenciju u roku određenom ovim Programom,</w:t>
      </w:r>
    </w:p>
    <w:p w:rsidR="00777ABF" w:rsidRDefault="00777ABF" w:rsidP="00A66748">
      <w:pPr>
        <w:numPr>
          <w:ilvl w:val="0"/>
          <w:numId w:val="34"/>
        </w:numPr>
        <w:contextualSpacing/>
      </w:pPr>
      <w:r>
        <w:t>ukoliko podnositelj ne dostavi dokaz o uknjižbi vlasništva u zemljišne knjige u roku 30 dana od dana zaključenja Ugovora o financijskoj pomoći.</w:t>
      </w:r>
    </w:p>
    <w:p w:rsidR="00777ABF" w:rsidRDefault="00777ABF" w:rsidP="00777ABF"/>
    <w:p w:rsidR="00777ABF" w:rsidRDefault="00777ABF" w:rsidP="00777ABF">
      <w:pPr>
        <w:ind w:firstLine="360"/>
        <w:jc w:val="both"/>
      </w:pPr>
      <w:r>
        <w:t>Neiskorištena bjanko zadužnica dostavljena kao instrument osiguranja vraća se po proteku 10 godina od dana od kada je Korisnik prvi puta prijavio svoje prebivalište i prebivalište članova svoje obitelji na adresi nekretnine za čiju kupovinu je primio financijsku pomoć/subvenciju i pod uvjetom urednog ispunjenja svih obveza iz Ugovora i ovog Programa.</w:t>
      </w:r>
    </w:p>
    <w:p w:rsidR="00777ABF" w:rsidRDefault="00777ABF" w:rsidP="00777ABF">
      <w:pPr>
        <w:ind w:firstLine="360"/>
        <w:jc w:val="both"/>
        <w:rPr>
          <w:color w:val="000000" w:themeColor="text1"/>
        </w:rPr>
      </w:pPr>
      <w:r>
        <w:rPr>
          <w:color w:val="000000" w:themeColor="text1"/>
        </w:rPr>
        <w:t>Bjanko zadužnica će se vratiti i u slučaju kada Korisnik vrati iznos subvencije Općini Gornji Bogićevci. U tom slučaju će Općina Gornji Bogićevci izdati Korisniku potvrdu kojom se potvrđuje da je Korisnik u cijelosti vratio subvencionirani iznos.</w:t>
      </w:r>
    </w:p>
    <w:p w:rsidR="00777ABF" w:rsidRDefault="00777ABF" w:rsidP="00777ABF">
      <w:pPr>
        <w:ind w:firstLine="360"/>
        <w:jc w:val="both"/>
      </w:pPr>
    </w:p>
    <w:p w:rsidR="00777ABF" w:rsidRDefault="00777ABF" w:rsidP="00777ABF">
      <w:pPr>
        <w:spacing w:after="200" w:line="276" w:lineRule="auto"/>
        <w:jc w:val="both"/>
        <w:rPr>
          <w:rFonts w:eastAsia="Calibri"/>
          <w:u w:val="single"/>
        </w:rPr>
      </w:pPr>
      <w:r>
        <w:rPr>
          <w:rFonts w:eastAsia="Calibri"/>
          <w:u w:val="single"/>
        </w:rPr>
        <w:t>Potrebna dokumentacija koja se prilaže prijavi:</w:t>
      </w:r>
    </w:p>
    <w:p w:rsidR="00777ABF" w:rsidRDefault="00777ABF" w:rsidP="00A66748">
      <w:pPr>
        <w:numPr>
          <w:ilvl w:val="0"/>
          <w:numId w:val="35"/>
        </w:numPr>
        <w:suppressAutoHyphens/>
        <w:ind w:right="7"/>
        <w:jc w:val="both"/>
        <w:rPr>
          <w:rFonts w:eastAsia="Arial"/>
          <w:color w:val="000000"/>
        </w:rPr>
      </w:pPr>
      <w:bookmarkStart w:id="7" w:name="_Hlk103856790"/>
      <w:r>
        <w:rPr>
          <w:rFonts w:eastAsia="Arial"/>
          <w:bCs/>
          <w:color w:val="000000"/>
        </w:rPr>
        <w:t>prijava za Mjeru 1</w:t>
      </w:r>
      <w:r>
        <w:rPr>
          <w:rFonts w:eastAsia="Arial"/>
          <w:color w:val="000000"/>
        </w:rPr>
        <w:t xml:space="preserve">  (Obrazac br. M1)</w:t>
      </w:r>
    </w:p>
    <w:p w:rsidR="00777ABF" w:rsidRDefault="00777ABF" w:rsidP="00A66748">
      <w:pPr>
        <w:numPr>
          <w:ilvl w:val="0"/>
          <w:numId w:val="35"/>
        </w:numPr>
        <w:suppressAutoHyphens/>
        <w:ind w:right="7"/>
        <w:jc w:val="both"/>
        <w:rPr>
          <w:rFonts w:eastAsia="Arial"/>
          <w:color w:val="000000"/>
        </w:rPr>
      </w:pPr>
      <w:r>
        <w:rPr>
          <w:rFonts w:eastAsia="Arial"/>
          <w:color w:val="000000"/>
        </w:rPr>
        <w:t xml:space="preserve">izjava za suvlasnika – </w:t>
      </w:r>
      <w:r>
        <w:rPr>
          <w:rFonts w:eastAsia="Arial"/>
          <w:b/>
          <w:bCs/>
          <w:color w:val="000000"/>
        </w:rPr>
        <w:t>ako je primjenjivo</w:t>
      </w:r>
      <w:r>
        <w:rPr>
          <w:rFonts w:eastAsia="Arial"/>
          <w:color w:val="000000"/>
        </w:rPr>
        <w:t xml:space="preserve"> (Obrazac 2)</w:t>
      </w:r>
    </w:p>
    <w:p w:rsidR="00777ABF" w:rsidRDefault="00777ABF" w:rsidP="00A66748">
      <w:pPr>
        <w:numPr>
          <w:ilvl w:val="0"/>
          <w:numId w:val="35"/>
        </w:numPr>
        <w:suppressAutoHyphens/>
        <w:ind w:right="7"/>
        <w:jc w:val="both"/>
        <w:rPr>
          <w:rFonts w:eastAsia="Arial"/>
          <w:color w:val="000000"/>
        </w:rPr>
      </w:pPr>
      <w:r>
        <w:rPr>
          <w:rFonts w:eastAsia="Arial"/>
          <w:color w:val="000000"/>
        </w:rPr>
        <w:lastRenderedPageBreak/>
        <w:t>izjava da će prije isplate potpore dostaviti bjanko zadužnicu (Obrazac 3)</w:t>
      </w:r>
    </w:p>
    <w:p w:rsidR="00777ABF" w:rsidRDefault="00777ABF" w:rsidP="00A66748">
      <w:pPr>
        <w:numPr>
          <w:ilvl w:val="0"/>
          <w:numId w:val="35"/>
        </w:numPr>
        <w:suppressAutoHyphens/>
        <w:ind w:right="7"/>
        <w:jc w:val="both"/>
        <w:rPr>
          <w:rFonts w:eastAsia="Arial"/>
          <w:color w:val="000000"/>
        </w:rPr>
      </w:pPr>
      <w:r>
        <w:rPr>
          <w:rFonts w:eastAsia="Arial"/>
          <w:color w:val="000000"/>
        </w:rPr>
        <w:t>izjava o promjeni prebivališta (Obrazac 4)</w:t>
      </w:r>
    </w:p>
    <w:p w:rsidR="00777ABF" w:rsidRDefault="00777ABF" w:rsidP="00A66748">
      <w:pPr>
        <w:numPr>
          <w:ilvl w:val="0"/>
          <w:numId w:val="35"/>
        </w:numPr>
        <w:suppressAutoHyphens/>
        <w:spacing w:after="5" w:line="264" w:lineRule="auto"/>
        <w:ind w:right="7"/>
        <w:jc w:val="both"/>
      </w:pPr>
      <w:r>
        <w:t>izjava da prodavatelj nekretnine nije srodnik (Obrazac 5)</w:t>
      </w:r>
    </w:p>
    <w:p w:rsidR="00777ABF" w:rsidRDefault="00777ABF" w:rsidP="00A66748">
      <w:pPr>
        <w:numPr>
          <w:ilvl w:val="0"/>
          <w:numId w:val="35"/>
        </w:numPr>
        <w:suppressAutoHyphens/>
        <w:ind w:right="7"/>
        <w:contextualSpacing/>
        <w:jc w:val="both"/>
        <w:rPr>
          <w:rFonts w:eastAsia="Arial"/>
          <w:color w:val="000000"/>
        </w:rPr>
      </w:pPr>
      <w:r>
        <w:rPr>
          <w:rFonts w:eastAsia="Arial"/>
          <w:color w:val="000000"/>
        </w:rPr>
        <w:t xml:space="preserve">izjava </w:t>
      </w:r>
      <w:bookmarkStart w:id="8" w:name="_Hlk103856590"/>
      <w:r>
        <w:rPr>
          <w:rFonts w:eastAsia="Arial"/>
          <w:b/>
          <w:bCs/>
          <w:color w:val="000000"/>
        </w:rPr>
        <w:t>prijavitelja i bračnog/izvanbračnog druga</w:t>
      </w:r>
      <w:r>
        <w:rPr>
          <w:rFonts w:eastAsia="Arial"/>
          <w:color w:val="000000"/>
        </w:rPr>
        <w:t xml:space="preserve"> </w:t>
      </w:r>
      <w:bookmarkEnd w:id="8"/>
      <w:r>
        <w:rPr>
          <w:rFonts w:eastAsia="Arial"/>
          <w:color w:val="000000"/>
        </w:rPr>
        <w:t xml:space="preserve">o prvoj nekretnini na području RH </w:t>
      </w:r>
      <w:r>
        <w:rPr>
          <w:rFonts w:eastAsia="Arial"/>
          <w:b/>
          <w:bCs/>
          <w:color w:val="000000"/>
        </w:rPr>
        <w:t>ovjerena kod javnog bilježnika</w:t>
      </w:r>
      <w:r>
        <w:rPr>
          <w:rFonts w:eastAsia="Arial"/>
          <w:color w:val="000000"/>
        </w:rPr>
        <w:t xml:space="preserve"> (Obrazac 6)</w:t>
      </w:r>
    </w:p>
    <w:p w:rsidR="00777ABF" w:rsidRDefault="00777ABF" w:rsidP="00A66748">
      <w:pPr>
        <w:numPr>
          <w:ilvl w:val="0"/>
          <w:numId w:val="35"/>
        </w:numPr>
        <w:suppressAutoHyphens/>
        <w:ind w:right="7"/>
        <w:contextualSpacing/>
        <w:jc w:val="both"/>
        <w:rPr>
          <w:rFonts w:eastAsia="Arial"/>
          <w:color w:val="000000"/>
        </w:rPr>
      </w:pPr>
      <w:r>
        <w:rPr>
          <w:rFonts w:eastAsia="Arial"/>
          <w:color w:val="000000"/>
        </w:rPr>
        <w:t xml:space="preserve">izjava – samohrani roditelj – </w:t>
      </w:r>
      <w:r>
        <w:rPr>
          <w:rFonts w:eastAsia="Arial"/>
          <w:b/>
          <w:bCs/>
          <w:color w:val="000000"/>
        </w:rPr>
        <w:t>ako je primjenjivo</w:t>
      </w:r>
      <w:r>
        <w:rPr>
          <w:rFonts w:eastAsia="Arial"/>
          <w:color w:val="000000"/>
        </w:rPr>
        <w:t xml:space="preserve"> (Obrazac 7)</w:t>
      </w:r>
    </w:p>
    <w:p w:rsidR="00777ABF" w:rsidRDefault="00777ABF" w:rsidP="00A66748">
      <w:pPr>
        <w:numPr>
          <w:ilvl w:val="0"/>
          <w:numId w:val="35"/>
        </w:numPr>
        <w:suppressAutoHyphens/>
        <w:ind w:right="7"/>
        <w:jc w:val="both"/>
        <w:rPr>
          <w:rFonts w:eastAsia="Arial"/>
          <w:color w:val="000000"/>
        </w:rPr>
      </w:pPr>
      <w:r>
        <w:rPr>
          <w:rFonts w:eastAsia="Arial"/>
          <w:color w:val="000000"/>
        </w:rPr>
        <w:t>preslika osobne iskaznice podnositelja zahtjeva i bračnog (izvanbračnog) druga</w:t>
      </w:r>
    </w:p>
    <w:p w:rsidR="00777ABF" w:rsidRDefault="00777ABF" w:rsidP="00A66748">
      <w:pPr>
        <w:numPr>
          <w:ilvl w:val="0"/>
          <w:numId w:val="35"/>
        </w:numPr>
        <w:suppressAutoHyphens/>
        <w:ind w:right="7"/>
        <w:jc w:val="both"/>
        <w:rPr>
          <w:rFonts w:eastAsia="Arial"/>
          <w:color w:val="000000"/>
        </w:rPr>
      </w:pPr>
      <w:r>
        <w:rPr>
          <w:rFonts w:eastAsia="Arial"/>
          <w:color w:val="000000"/>
        </w:rPr>
        <w:t>dokaz bračne (izvadak iz matice vjenčanih ne stariji od 6 mjeseci) / izvanbračne zajednice (izjava o izvanbračnoj zajednici, odnosno rodni list djeteta odnosno djece - sukladno članku 11. Obiteljskog zakona, NN 103/15, 98/19, 47/20, 49/23),</w:t>
      </w:r>
    </w:p>
    <w:p w:rsidR="00777ABF" w:rsidRDefault="00777ABF" w:rsidP="00A66748">
      <w:pPr>
        <w:numPr>
          <w:ilvl w:val="0"/>
          <w:numId w:val="35"/>
        </w:numPr>
        <w:suppressAutoHyphens/>
        <w:ind w:right="7"/>
        <w:jc w:val="both"/>
        <w:rPr>
          <w:rFonts w:eastAsia="Arial"/>
          <w:color w:val="000000"/>
        </w:rPr>
      </w:pPr>
      <w:r>
        <w:rPr>
          <w:rFonts w:eastAsia="Arial"/>
          <w:color w:val="000000"/>
        </w:rPr>
        <w:t xml:space="preserve">uvjerenje nadležnog ureda za katastar za </w:t>
      </w:r>
      <w:r>
        <w:rPr>
          <w:rFonts w:eastAsia="Arial"/>
          <w:b/>
          <w:bCs/>
          <w:color w:val="000000"/>
        </w:rPr>
        <w:t>prijavitelja i bračnog/izvanbračnog druga</w:t>
      </w:r>
      <w:r>
        <w:rPr>
          <w:rFonts w:eastAsia="Arial"/>
          <w:color w:val="000000"/>
        </w:rPr>
        <w:t xml:space="preserve"> o ne/posjedovanju nekretnine (prema mjestu prebivališta),</w:t>
      </w:r>
    </w:p>
    <w:p w:rsidR="00777ABF" w:rsidRDefault="00777ABF" w:rsidP="00A66748">
      <w:pPr>
        <w:numPr>
          <w:ilvl w:val="0"/>
          <w:numId w:val="35"/>
        </w:numPr>
        <w:suppressAutoHyphens/>
        <w:ind w:right="7"/>
        <w:jc w:val="both"/>
        <w:rPr>
          <w:rFonts w:eastAsia="Arial"/>
          <w:color w:val="000000"/>
        </w:rPr>
      </w:pPr>
      <w:r>
        <w:rPr>
          <w:rFonts w:eastAsia="Arial"/>
          <w:color w:val="000000"/>
        </w:rPr>
        <w:t xml:space="preserve">uvjerenje nadležnog Općinskog suda (gruntovnica) za </w:t>
      </w:r>
      <w:r>
        <w:rPr>
          <w:rFonts w:eastAsia="Arial"/>
          <w:b/>
          <w:bCs/>
          <w:color w:val="000000"/>
        </w:rPr>
        <w:t>prijavitelja i bračnog/izvanbračnog druga</w:t>
      </w:r>
      <w:r>
        <w:rPr>
          <w:rFonts w:eastAsia="Arial"/>
          <w:color w:val="000000"/>
        </w:rPr>
        <w:t xml:space="preserve"> da ima/nema u vlasništvu nekretninu za sebe i bračnog druga,</w:t>
      </w:r>
    </w:p>
    <w:p w:rsidR="00777ABF" w:rsidRDefault="00777ABF" w:rsidP="00A66748">
      <w:pPr>
        <w:numPr>
          <w:ilvl w:val="0"/>
          <w:numId w:val="35"/>
        </w:numPr>
        <w:suppressAutoHyphens/>
        <w:ind w:right="7"/>
        <w:jc w:val="both"/>
        <w:rPr>
          <w:rFonts w:eastAsia="Arial"/>
          <w:color w:val="000000"/>
        </w:rPr>
      </w:pPr>
      <w:r>
        <w:rPr>
          <w:rFonts w:eastAsia="Arial"/>
          <w:color w:val="000000"/>
        </w:rPr>
        <w:t xml:space="preserve">potvrdu nadležne  Porezne uprave o prometu nekretnina </w:t>
      </w:r>
      <w:r>
        <w:rPr>
          <w:rFonts w:eastAsia="Arial"/>
          <w:b/>
          <w:bCs/>
          <w:color w:val="000000"/>
        </w:rPr>
        <w:t>za sebe i bračnog druga</w:t>
      </w:r>
      <w:r>
        <w:rPr>
          <w:rFonts w:eastAsia="Arial"/>
          <w:color w:val="000000"/>
        </w:rPr>
        <w:t>,</w:t>
      </w:r>
    </w:p>
    <w:p w:rsidR="00777ABF" w:rsidRDefault="00777ABF" w:rsidP="00A66748">
      <w:pPr>
        <w:numPr>
          <w:ilvl w:val="0"/>
          <w:numId w:val="35"/>
        </w:numPr>
        <w:suppressAutoHyphens/>
        <w:ind w:right="7"/>
        <w:jc w:val="both"/>
        <w:rPr>
          <w:rFonts w:eastAsia="Arial"/>
          <w:color w:val="000000"/>
        </w:rPr>
      </w:pPr>
      <w:r>
        <w:rPr>
          <w:rFonts w:eastAsia="Arial"/>
          <w:color w:val="000000"/>
        </w:rPr>
        <w:t>vlasnički list za stambeni objekt koji je predmet zahtjeva,</w:t>
      </w:r>
    </w:p>
    <w:p w:rsidR="00777ABF" w:rsidRDefault="00777ABF" w:rsidP="00A66748">
      <w:pPr>
        <w:numPr>
          <w:ilvl w:val="0"/>
          <w:numId w:val="35"/>
        </w:numPr>
        <w:suppressAutoHyphens/>
        <w:ind w:right="7"/>
        <w:jc w:val="both"/>
        <w:rPr>
          <w:rFonts w:eastAsia="Arial"/>
          <w:color w:val="000000"/>
        </w:rPr>
      </w:pPr>
      <w:r>
        <w:rPr>
          <w:rFonts w:eastAsia="Arial"/>
          <w:color w:val="000000"/>
        </w:rPr>
        <w:t>preslika valjanog kupoprodajnog ugovora/ predugovora za stambeni objekt,</w:t>
      </w:r>
    </w:p>
    <w:p w:rsidR="00777ABF" w:rsidRDefault="00777ABF" w:rsidP="00A66748">
      <w:pPr>
        <w:numPr>
          <w:ilvl w:val="0"/>
          <w:numId w:val="35"/>
        </w:numPr>
        <w:suppressAutoHyphens/>
        <w:ind w:right="7"/>
        <w:jc w:val="both"/>
        <w:rPr>
          <w:rFonts w:eastAsia="Arial"/>
          <w:color w:val="000000"/>
        </w:rPr>
      </w:pPr>
      <w:r>
        <w:rPr>
          <w:rFonts w:eastAsia="Arial"/>
          <w:color w:val="000000"/>
        </w:rPr>
        <w:t>potvrdu Općine Gornji Bogićevci o nepostojanju duga prema Općini Gornji Bogićevci,</w:t>
      </w:r>
    </w:p>
    <w:p w:rsidR="00777ABF" w:rsidRDefault="00777ABF" w:rsidP="00A66748">
      <w:pPr>
        <w:numPr>
          <w:ilvl w:val="0"/>
          <w:numId w:val="35"/>
        </w:numPr>
        <w:contextualSpacing/>
        <w:jc w:val="both"/>
      </w:pPr>
      <w:r>
        <w:t>i drugu dokumentaciju za koju se ukaže potreba dostavljanja</w:t>
      </w:r>
    </w:p>
    <w:bookmarkEnd w:id="7"/>
    <w:p w:rsidR="00777ABF" w:rsidRDefault="00777ABF" w:rsidP="00777ABF">
      <w:pPr>
        <w:jc w:val="both"/>
        <w:rPr>
          <w:b/>
        </w:rPr>
      </w:pPr>
    </w:p>
    <w:p w:rsidR="00777ABF" w:rsidRDefault="00777ABF" w:rsidP="00777ABF">
      <w:pPr>
        <w:jc w:val="both"/>
        <w:rPr>
          <w:b/>
        </w:rPr>
      </w:pPr>
    </w:p>
    <w:p w:rsidR="00777ABF" w:rsidRDefault="00777ABF" w:rsidP="00777ABF">
      <w:pPr>
        <w:jc w:val="both"/>
        <w:rPr>
          <w:b/>
        </w:rPr>
      </w:pPr>
      <w:r>
        <w:rPr>
          <w:b/>
        </w:rPr>
        <w:t xml:space="preserve">Mjera 2.: Financijska pomoć za gradnju obiteljske kuće (stambeni objekt) </w:t>
      </w:r>
    </w:p>
    <w:p w:rsidR="00777ABF" w:rsidRDefault="00777ABF" w:rsidP="00777ABF">
      <w:pPr>
        <w:jc w:val="both"/>
      </w:pPr>
    </w:p>
    <w:p w:rsidR="00777ABF" w:rsidRDefault="00777ABF" w:rsidP="00777ABF">
      <w:pPr>
        <w:ind w:firstLine="708"/>
        <w:jc w:val="both"/>
      </w:pPr>
      <w:r>
        <w:t xml:space="preserve">Intenzitet potpore na ime subvencije za gradnju stambenog objekta iznosi iznosi </w:t>
      </w:r>
      <w:r>
        <w:rPr>
          <w:b/>
          <w:bCs/>
        </w:rPr>
        <w:t>4.000,00 eura.</w:t>
      </w:r>
    </w:p>
    <w:p w:rsidR="00777ABF" w:rsidRDefault="00777ABF" w:rsidP="00777ABF">
      <w:pPr>
        <w:ind w:firstLine="708"/>
        <w:jc w:val="both"/>
      </w:pPr>
      <w:r>
        <w:t xml:space="preserve">Podnositelj zahtjeva, u trenutku objave Javnog poziva, mora biti vlasnik / suvlasnik građevinskog zemljišta na kojemu namjerava graditi obiteljsku kuću (stambeni objekt) na području Općine Gornji Bogićevci, te ishođenu građevinsku dozvolu za gradnju. </w:t>
      </w:r>
    </w:p>
    <w:p w:rsidR="00777ABF" w:rsidRDefault="00777ABF" w:rsidP="00777ABF">
      <w:pPr>
        <w:ind w:firstLine="708"/>
        <w:jc w:val="both"/>
      </w:pPr>
      <w:r>
        <w:t xml:space="preserve">Za suvlasnički dio suvlasnik mora priložiti izjavu kojom potvrđuje da je suglasan i upoznat sa podnošenjem prijave za korištenje ove mjere. </w:t>
      </w:r>
    </w:p>
    <w:p w:rsidR="00777ABF" w:rsidRDefault="00777ABF" w:rsidP="00777ABF">
      <w:pPr>
        <w:ind w:firstLine="708"/>
        <w:jc w:val="both"/>
      </w:pPr>
      <w:r>
        <w:t>Iznos subvencije u ovom slučaju bit će isplaćen na račun prodavatelja građevinskog materijala ili isporučitelja usluge, te uz predočenje ponude prodavatelja građevinskog materijala ili izvršitelja usluge.</w:t>
      </w:r>
    </w:p>
    <w:p w:rsidR="00777ABF" w:rsidRDefault="00777ABF" w:rsidP="00777ABF">
      <w:pPr>
        <w:ind w:firstLine="708"/>
        <w:jc w:val="both"/>
      </w:pPr>
      <w:r>
        <w:t>Iznimno, bit će isplaćen na račun podnositelja zahtjeva, ako je materijal za gradnju kuće ili uslugu platio vlastitim sredstvima, o čemu je nužno priložiti dokaz (plaćeni račun).</w:t>
      </w:r>
    </w:p>
    <w:p w:rsidR="00777ABF" w:rsidRDefault="00777ABF" w:rsidP="00777ABF">
      <w:pPr>
        <w:ind w:firstLine="708"/>
        <w:jc w:val="both"/>
      </w:pPr>
      <w:r>
        <w:t>Podnositelj zahtjeva je dužan u roku 3 godine od zaključenja ugovora o financiranju završiti građevinu, priložiti Uporabnu dozvolu, te sebe i članove svoje obitelji prijaviti na adresi novonastale obiteljske kuće i zadržati to prebivalište slijedećih 10 godina od dana ishođenja Uporabne dozvole.</w:t>
      </w:r>
    </w:p>
    <w:p w:rsidR="00777ABF" w:rsidRDefault="00777ABF" w:rsidP="00777ABF">
      <w:pPr>
        <w:ind w:firstLine="708"/>
        <w:jc w:val="both"/>
      </w:pPr>
      <w:r>
        <w:lastRenderedPageBreak/>
        <w:t xml:space="preserve">Iznimno, rok od 3 godine, može se produžiti na nove 3 godine ako korisnik dokaže opravdanost razloga zašto objekt nije završen i upotrebljiv (gubitak zaposlenja, velika kašnjenja izvođača radova uz dokaz da su angažirani na vrijeme, neočekivane smetnje pri ishođenju uporabne dozvole i sl.) </w:t>
      </w:r>
    </w:p>
    <w:p w:rsidR="00777ABF" w:rsidRDefault="00777ABF" w:rsidP="00777ABF">
      <w:pPr>
        <w:ind w:firstLine="708"/>
        <w:jc w:val="both"/>
      </w:pPr>
      <w:r>
        <w:t xml:space="preserve">Izuzetak od obveze zadržavanja prebivališta mogu imati djeca korisnika ukoliko se u međuvremenu osamostale ili osnuju svoje obitelji. </w:t>
      </w:r>
    </w:p>
    <w:p w:rsidR="00777ABF" w:rsidRDefault="00777ABF" w:rsidP="00777ABF">
      <w:pPr>
        <w:ind w:firstLine="708"/>
        <w:jc w:val="both"/>
      </w:pPr>
      <w:r>
        <w:t xml:space="preserve">Općina Gornji Bogićevci zadržava pravo provjere i uvida na terenu po ovlaštenoj osobi i prije odobravanja mjere, a i nakon potpisivanja Ugovora o financiranju. </w:t>
      </w:r>
    </w:p>
    <w:p w:rsidR="00777ABF" w:rsidRDefault="00777ABF" w:rsidP="00777ABF">
      <w:pPr>
        <w:ind w:firstLine="708"/>
        <w:jc w:val="both"/>
      </w:pPr>
      <w:r>
        <w:t xml:space="preserve">Korisnik ovog Programa dužan je prilikom potpisivanja Ugovora za dodjelu financijske pomoći/subvencije dostaviti instrument osiguranja u obliku ovjerene bjanko zadužnice na iznos koji pokriva iznos odobrene financijske pomoći/subvencije, u korist Općine Gornji Bogićevci. </w:t>
      </w:r>
    </w:p>
    <w:p w:rsidR="00777ABF" w:rsidRDefault="00777ABF" w:rsidP="00777ABF">
      <w:pPr>
        <w:ind w:firstLine="360"/>
        <w:jc w:val="both"/>
      </w:pPr>
      <w:r>
        <w:t xml:space="preserve">Instrument osiguranja se aktivira u slučaju: </w:t>
      </w:r>
    </w:p>
    <w:p w:rsidR="00777ABF" w:rsidRDefault="00777ABF" w:rsidP="00A66748">
      <w:pPr>
        <w:numPr>
          <w:ilvl w:val="0"/>
          <w:numId w:val="36"/>
        </w:numPr>
        <w:jc w:val="both"/>
      </w:pPr>
      <w:r>
        <w:t xml:space="preserve">da podnositelj zahtjeva odnosno korisnik mjere ne prijavi svoje prebivalište i prebivalište članova svoje obitelji u propisanim rokovima, </w:t>
      </w:r>
    </w:p>
    <w:p w:rsidR="00777ABF" w:rsidRDefault="00777ABF" w:rsidP="00A66748">
      <w:pPr>
        <w:numPr>
          <w:ilvl w:val="0"/>
          <w:numId w:val="36"/>
        </w:numPr>
        <w:jc w:val="both"/>
      </w:pPr>
      <w:r>
        <w:t xml:space="preserve">ne izvršava ili ne izvrši obveze iz Ugovora za dodjelu financijske pomoći/subvencije, </w:t>
      </w:r>
    </w:p>
    <w:p w:rsidR="00777ABF" w:rsidRDefault="00777ABF" w:rsidP="00A66748">
      <w:pPr>
        <w:numPr>
          <w:ilvl w:val="0"/>
          <w:numId w:val="36"/>
        </w:numPr>
        <w:jc w:val="both"/>
      </w:pPr>
      <w:r>
        <w:t xml:space="preserve">ukoliko podnositelj ne zadrži prebivalište u roku određenom ovim Programom, </w:t>
      </w:r>
    </w:p>
    <w:p w:rsidR="00777ABF" w:rsidRDefault="00777ABF" w:rsidP="00A66748">
      <w:pPr>
        <w:numPr>
          <w:ilvl w:val="0"/>
          <w:numId w:val="36"/>
        </w:numPr>
        <w:jc w:val="both"/>
      </w:pPr>
      <w:r>
        <w:t xml:space="preserve">ukoliko podnositelj postupa protivno smislu Javnog poziva koji će se raspisati po ovom Programu, </w:t>
      </w:r>
    </w:p>
    <w:p w:rsidR="00777ABF" w:rsidRDefault="00777ABF" w:rsidP="00A66748">
      <w:pPr>
        <w:numPr>
          <w:ilvl w:val="0"/>
          <w:numId w:val="36"/>
        </w:numPr>
        <w:jc w:val="both"/>
      </w:pPr>
      <w:r>
        <w:t xml:space="preserve">ukoliko podnositelj otuđi, proda ili daruje nekretninu za čiju kupovinu je primio financijsku pomoć/subvenciju, u roku određenom ovim Programom, </w:t>
      </w:r>
    </w:p>
    <w:p w:rsidR="00777ABF" w:rsidRDefault="00777ABF" w:rsidP="00A66748">
      <w:pPr>
        <w:numPr>
          <w:ilvl w:val="0"/>
          <w:numId w:val="36"/>
        </w:numPr>
        <w:jc w:val="both"/>
      </w:pPr>
      <w:r>
        <w:t xml:space="preserve">ukoliko bilo kojom svojom radnjom koja se tiče bilo kojeg oblika raspolaganja utječe na to da drugi raspolaže navedenom nekretninom (uključujući pravo građenja, zaloga, zakupa i svih ostalih prava koja djeluju opterećujući na nekretninu). </w:t>
      </w:r>
    </w:p>
    <w:p w:rsidR="00777ABF" w:rsidRDefault="00777ABF" w:rsidP="00777ABF">
      <w:pPr>
        <w:ind w:firstLine="360"/>
        <w:jc w:val="both"/>
      </w:pPr>
      <w:r>
        <w:t xml:space="preserve">Neiskorištena bjanko zadužnica dostavljena kao instrument osiguranja vraća se po proteku 10 godina od dana od kada je Korisnik ishodio Uporabnu dozvolu. </w:t>
      </w:r>
    </w:p>
    <w:p w:rsidR="00777ABF" w:rsidRDefault="00777ABF" w:rsidP="00777ABF">
      <w:pPr>
        <w:ind w:firstLine="360"/>
        <w:jc w:val="both"/>
      </w:pPr>
      <w:r>
        <w:t>Bjanko zadužnica će se vratiti i u slučaju kada Korisnik vrati iznos subvencije Općini Gornji Bogićevci. U tom slučaju će Općina Gornji Bogićevci izdati Korisniku potvrdu kojom se potvrđuje da je Korisnik u cijelosti vratio subvencionirani iznos.</w:t>
      </w:r>
    </w:p>
    <w:p w:rsidR="00777ABF" w:rsidRDefault="00777ABF" w:rsidP="00777ABF">
      <w:pPr>
        <w:jc w:val="both"/>
      </w:pPr>
    </w:p>
    <w:p w:rsidR="00777ABF" w:rsidRDefault="00777ABF" w:rsidP="00777ABF">
      <w:pPr>
        <w:spacing w:after="200" w:line="276" w:lineRule="auto"/>
        <w:jc w:val="both"/>
        <w:rPr>
          <w:rFonts w:eastAsia="Calibri"/>
          <w:u w:val="single"/>
        </w:rPr>
      </w:pPr>
      <w:r>
        <w:rPr>
          <w:rFonts w:eastAsia="Calibri"/>
          <w:u w:val="single"/>
        </w:rPr>
        <w:t>Potrebna dokumentacija koja se prilaže prijavi:</w:t>
      </w:r>
    </w:p>
    <w:p w:rsidR="00777ABF" w:rsidRDefault="00777ABF" w:rsidP="00A66748">
      <w:pPr>
        <w:numPr>
          <w:ilvl w:val="3"/>
          <w:numId w:val="37"/>
        </w:numPr>
        <w:suppressAutoHyphens/>
        <w:ind w:right="7"/>
        <w:jc w:val="both"/>
        <w:rPr>
          <w:rFonts w:eastAsia="Arial"/>
          <w:color w:val="000000"/>
        </w:rPr>
      </w:pPr>
      <w:bookmarkStart w:id="9" w:name="_Hlk152662645"/>
      <w:r>
        <w:rPr>
          <w:rFonts w:eastAsia="Arial"/>
          <w:color w:val="000000"/>
        </w:rPr>
        <w:t>prijava za Mjeru 2 (Obrazac br. M2)</w:t>
      </w:r>
    </w:p>
    <w:p w:rsidR="00777ABF" w:rsidRDefault="00777ABF" w:rsidP="00A66748">
      <w:pPr>
        <w:numPr>
          <w:ilvl w:val="3"/>
          <w:numId w:val="37"/>
        </w:numPr>
        <w:suppressAutoHyphens/>
        <w:ind w:right="7"/>
        <w:jc w:val="both"/>
        <w:rPr>
          <w:rFonts w:eastAsia="Arial"/>
          <w:color w:val="000000"/>
        </w:rPr>
      </w:pPr>
      <w:r>
        <w:rPr>
          <w:rFonts w:eastAsia="Arial"/>
          <w:color w:val="000000"/>
        </w:rPr>
        <w:t xml:space="preserve">izjava za suvlasnika – </w:t>
      </w:r>
      <w:r>
        <w:rPr>
          <w:rFonts w:eastAsia="Arial"/>
          <w:b/>
          <w:bCs/>
          <w:color w:val="000000"/>
        </w:rPr>
        <w:t>ako je primjenjivo</w:t>
      </w:r>
      <w:r>
        <w:rPr>
          <w:rFonts w:eastAsia="Arial"/>
          <w:color w:val="000000"/>
        </w:rPr>
        <w:t xml:space="preserve"> (Obrazac 2)</w:t>
      </w:r>
    </w:p>
    <w:p w:rsidR="00777ABF" w:rsidRDefault="00777ABF" w:rsidP="00A66748">
      <w:pPr>
        <w:numPr>
          <w:ilvl w:val="3"/>
          <w:numId w:val="37"/>
        </w:numPr>
        <w:suppressAutoHyphens/>
        <w:ind w:right="7"/>
        <w:jc w:val="both"/>
        <w:rPr>
          <w:rFonts w:eastAsia="Arial"/>
          <w:color w:val="000000"/>
        </w:rPr>
      </w:pPr>
      <w:r>
        <w:rPr>
          <w:rFonts w:eastAsia="Arial"/>
          <w:color w:val="000000"/>
        </w:rPr>
        <w:t>izjava da će prije isplate potpore dostaviti bjanko zadužnicu (Obrazac 3)</w:t>
      </w:r>
    </w:p>
    <w:p w:rsidR="00777ABF" w:rsidRDefault="00777ABF" w:rsidP="00A66748">
      <w:pPr>
        <w:numPr>
          <w:ilvl w:val="3"/>
          <w:numId w:val="37"/>
        </w:numPr>
        <w:suppressAutoHyphens/>
        <w:ind w:right="7"/>
        <w:jc w:val="both"/>
        <w:rPr>
          <w:rFonts w:eastAsia="Arial"/>
          <w:color w:val="000000"/>
        </w:rPr>
      </w:pPr>
      <w:r>
        <w:rPr>
          <w:rFonts w:eastAsia="Arial"/>
          <w:color w:val="000000"/>
        </w:rPr>
        <w:t>izjava o promjeni prebivališta (Obrazac 4)</w:t>
      </w:r>
    </w:p>
    <w:p w:rsidR="00777ABF" w:rsidRDefault="00777ABF" w:rsidP="00A66748">
      <w:pPr>
        <w:numPr>
          <w:ilvl w:val="3"/>
          <w:numId w:val="37"/>
        </w:numPr>
        <w:suppressAutoHyphens/>
        <w:ind w:right="7"/>
        <w:jc w:val="both"/>
        <w:rPr>
          <w:rFonts w:eastAsia="Arial"/>
          <w:color w:val="000000"/>
        </w:rPr>
      </w:pPr>
      <w:r>
        <w:rPr>
          <w:rFonts w:eastAsia="Arial"/>
          <w:color w:val="000000"/>
        </w:rPr>
        <w:t xml:space="preserve">izjava </w:t>
      </w:r>
      <w:r>
        <w:rPr>
          <w:rFonts w:eastAsia="Arial"/>
          <w:b/>
          <w:bCs/>
          <w:color w:val="000000"/>
        </w:rPr>
        <w:t>prijavitelja i bračnog/izvanbračnog druga</w:t>
      </w:r>
      <w:r>
        <w:rPr>
          <w:rFonts w:eastAsia="Arial"/>
          <w:color w:val="000000"/>
        </w:rPr>
        <w:t xml:space="preserve"> o prvoj nekretnini na području RH </w:t>
      </w:r>
      <w:r>
        <w:rPr>
          <w:rFonts w:eastAsia="Arial"/>
          <w:b/>
          <w:bCs/>
          <w:color w:val="000000"/>
        </w:rPr>
        <w:t>ovjerena kod javnog bilježnika</w:t>
      </w:r>
      <w:r>
        <w:rPr>
          <w:rFonts w:eastAsia="Arial"/>
          <w:color w:val="000000"/>
        </w:rPr>
        <w:t xml:space="preserve"> (Obrazac 6)</w:t>
      </w:r>
    </w:p>
    <w:p w:rsidR="00777ABF" w:rsidRDefault="00777ABF" w:rsidP="00A66748">
      <w:pPr>
        <w:numPr>
          <w:ilvl w:val="3"/>
          <w:numId w:val="37"/>
        </w:numPr>
        <w:suppressAutoHyphens/>
        <w:ind w:right="7"/>
        <w:jc w:val="both"/>
        <w:rPr>
          <w:rFonts w:eastAsia="Arial"/>
          <w:color w:val="000000"/>
        </w:rPr>
      </w:pPr>
      <w:r>
        <w:rPr>
          <w:rFonts w:eastAsia="Arial"/>
          <w:color w:val="000000"/>
        </w:rPr>
        <w:t xml:space="preserve">izjava – samohrani roditelj – </w:t>
      </w:r>
      <w:r>
        <w:rPr>
          <w:rFonts w:eastAsia="Arial"/>
          <w:b/>
          <w:bCs/>
          <w:color w:val="000000"/>
        </w:rPr>
        <w:t>ako je primjenjivo</w:t>
      </w:r>
      <w:r>
        <w:rPr>
          <w:rFonts w:eastAsia="Arial"/>
          <w:color w:val="000000"/>
        </w:rPr>
        <w:t xml:space="preserve"> (Obrazac 7)</w:t>
      </w:r>
    </w:p>
    <w:p w:rsidR="00777ABF" w:rsidRDefault="00777ABF" w:rsidP="00A66748">
      <w:pPr>
        <w:numPr>
          <w:ilvl w:val="3"/>
          <w:numId w:val="37"/>
        </w:numPr>
        <w:suppressAutoHyphens/>
        <w:ind w:right="7"/>
        <w:jc w:val="both"/>
        <w:rPr>
          <w:rFonts w:eastAsia="Arial"/>
          <w:color w:val="000000"/>
        </w:rPr>
      </w:pPr>
      <w:r>
        <w:rPr>
          <w:rFonts w:eastAsia="Arial"/>
          <w:color w:val="000000"/>
        </w:rPr>
        <w:t>preslika osobne iskaznice podnositelja i bračnog (izvanbračnog) druga,</w:t>
      </w:r>
    </w:p>
    <w:p w:rsidR="00777ABF" w:rsidRDefault="00777ABF" w:rsidP="00A66748">
      <w:pPr>
        <w:numPr>
          <w:ilvl w:val="3"/>
          <w:numId w:val="37"/>
        </w:numPr>
        <w:suppressAutoHyphens/>
        <w:ind w:right="7"/>
        <w:jc w:val="both"/>
        <w:rPr>
          <w:rFonts w:eastAsia="Arial"/>
          <w:color w:val="000000"/>
        </w:rPr>
      </w:pPr>
      <w:r>
        <w:rPr>
          <w:rFonts w:eastAsia="Arial"/>
          <w:color w:val="000000"/>
        </w:rPr>
        <w:lastRenderedPageBreak/>
        <w:t>Dokaz bračne (izvadak iz matice vjenčanih ne stariji od 6 mjeseci) / izvanbračne zajednice (izjava o izvanbračnoj zajednici, odnosno rodni list djeteta odnosno djece - sukladno članku 11. Obiteljskog zakona, NN 103/15 i 98/19),</w:t>
      </w:r>
    </w:p>
    <w:p w:rsidR="00777ABF" w:rsidRDefault="00777ABF" w:rsidP="00A66748">
      <w:pPr>
        <w:numPr>
          <w:ilvl w:val="3"/>
          <w:numId w:val="37"/>
        </w:numPr>
        <w:suppressAutoHyphens/>
        <w:ind w:right="7"/>
        <w:jc w:val="both"/>
        <w:rPr>
          <w:rFonts w:eastAsia="Arial"/>
          <w:color w:val="000000"/>
        </w:rPr>
      </w:pPr>
      <w:r>
        <w:rPr>
          <w:rFonts w:eastAsia="Arial"/>
          <w:color w:val="000000"/>
        </w:rPr>
        <w:t xml:space="preserve">uvjerenje nadležnog ureda za katastar </w:t>
      </w:r>
      <w:bookmarkStart w:id="10" w:name="_Hlk103848992"/>
      <w:r>
        <w:rPr>
          <w:rFonts w:eastAsia="Arial"/>
          <w:color w:val="000000"/>
        </w:rPr>
        <w:t xml:space="preserve">za prijavitelja i bračnog/izvanbračnog druga </w:t>
      </w:r>
      <w:bookmarkEnd w:id="10"/>
      <w:r>
        <w:rPr>
          <w:rFonts w:eastAsia="Arial"/>
          <w:color w:val="000000"/>
        </w:rPr>
        <w:t xml:space="preserve">o ne/posjedovanju nekretnine (prema mjestu prebivališta), </w:t>
      </w:r>
    </w:p>
    <w:p w:rsidR="00777ABF" w:rsidRDefault="00777ABF" w:rsidP="00A66748">
      <w:pPr>
        <w:numPr>
          <w:ilvl w:val="3"/>
          <w:numId w:val="37"/>
        </w:numPr>
        <w:suppressAutoHyphens/>
        <w:ind w:right="7"/>
        <w:jc w:val="both"/>
        <w:rPr>
          <w:rFonts w:eastAsia="Arial"/>
          <w:color w:val="000000"/>
        </w:rPr>
      </w:pPr>
      <w:r>
        <w:rPr>
          <w:rFonts w:eastAsia="Arial"/>
          <w:color w:val="000000"/>
        </w:rPr>
        <w:t xml:space="preserve">uvjerenje nadležnog Općinskog suda (gruntovnica) za prijavitelja i bračnog/izvanbračnog druga da ima/nema u vlasništvu nekretninu (prema mjestu prebivališta), </w:t>
      </w:r>
    </w:p>
    <w:p w:rsidR="00777ABF" w:rsidRDefault="00777ABF" w:rsidP="00A66748">
      <w:pPr>
        <w:numPr>
          <w:ilvl w:val="3"/>
          <w:numId w:val="37"/>
        </w:numPr>
        <w:suppressAutoHyphens/>
        <w:ind w:right="7"/>
        <w:jc w:val="both"/>
        <w:rPr>
          <w:rFonts w:eastAsia="Arial"/>
          <w:color w:val="000000"/>
        </w:rPr>
      </w:pPr>
      <w:r>
        <w:rPr>
          <w:rFonts w:eastAsia="Arial"/>
          <w:color w:val="000000"/>
        </w:rPr>
        <w:t>potvrdu nadležne Porezne uprave o prometu nekretnina za prijavitelja i bračnog/izvanbračnog druga</w:t>
      </w:r>
    </w:p>
    <w:p w:rsidR="00777ABF" w:rsidRDefault="00777ABF" w:rsidP="00A66748">
      <w:pPr>
        <w:numPr>
          <w:ilvl w:val="3"/>
          <w:numId w:val="37"/>
        </w:numPr>
        <w:suppressAutoHyphens/>
        <w:ind w:right="7"/>
        <w:jc w:val="both"/>
        <w:rPr>
          <w:rFonts w:eastAsia="Arial"/>
          <w:color w:val="000000"/>
        </w:rPr>
      </w:pPr>
      <w:r>
        <w:rPr>
          <w:rFonts w:eastAsia="Arial"/>
          <w:color w:val="000000"/>
        </w:rPr>
        <w:t>vlasnički list za građevinsko zemljište na kojem se gradi kuća koja je predmet prijave na mjeru,</w:t>
      </w:r>
    </w:p>
    <w:p w:rsidR="00777ABF" w:rsidRDefault="00777ABF" w:rsidP="00A66748">
      <w:pPr>
        <w:numPr>
          <w:ilvl w:val="3"/>
          <w:numId w:val="37"/>
        </w:numPr>
        <w:suppressAutoHyphens/>
        <w:ind w:right="7"/>
        <w:jc w:val="both"/>
        <w:rPr>
          <w:rFonts w:eastAsia="Arial"/>
          <w:color w:val="000000"/>
        </w:rPr>
      </w:pPr>
      <w:r>
        <w:rPr>
          <w:rFonts w:eastAsia="Arial"/>
          <w:color w:val="000000"/>
        </w:rPr>
        <w:t xml:space="preserve">Građevinska dozvola, </w:t>
      </w:r>
    </w:p>
    <w:p w:rsidR="00777ABF" w:rsidRDefault="00777ABF" w:rsidP="00A66748">
      <w:pPr>
        <w:numPr>
          <w:ilvl w:val="3"/>
          <w:numId w:val="37"/>
        </w:numPr>
        <w:suppressAutoHyphens/>
        <w:ind w:right="7"/>
        <w:jc w:val="both"/>
        <w:rPr>
          <w:rFonts w:eastAsia="Arial"/>
          <w:color w:val="000000"/>
        </w:rPr>
      </w:pPr>
      <w:r>
        <w:rPr>
          <w:rFonts w:eastAsia="Arial"/>
          <w:color w:val="000000"/>
        </w:rPr>
        <w:t>potvrdu Općine Gornji Bogićevci o nepostojanju duga prema Općini Gornji Bogićevci,</w:t>
      </w:r>
    </w:p>
    <w:p w:rsidR="00777ABF" w:rsidRDefault="00777ABF" w:rsidP="00777ABF">
      <w:pPr>
        <w:jc w:val="both"/>
      </w:pPr>
      <w:r>
        <w:t xml:space="preserve">           15. i drugu dokumentaciju za koju se ukaže potreba dostavljanja</w:t>
      </w:r>
    </w:p>
    <w:bookmarkEnd w:id="9"/>
    <w:p w:rsidR="00777ABF" w:rsidRDefault="00777ABF" w:rsidP="00777ABF">
      <w:pPr>
        <w:jc w:val="both"/>
      </w:pPr>
    </w:p>
    <w:p w:rsidR="00777ABF" w:rsidRDefault="00777ABF" w:rsidP="00777ABF">
      <w:pPr>
        <w:ind w:firstLine="708"/>
        <w:jc w:val="both"/>
        <w:rPr>
          <w:b/>
        </w:rPr>
      </w:pPr>
      <w:r>
        <w:rPr>
          <w:b/>
        </w:rPr>
        <w:t>Mjera 3. Financijska pomoć za poboljšanje kvalitete stanovanja ulaganjem u rekonstrukciju obiteljskih kuća ili stanova kojima se osigurava novi ili poboljšava postojeći stambeni prostor</w:t>
      </w:r>
    </w:p>
    <w:p w:rsidR="00777ABF" w:rsidRDefault="00777ABF" w:rsidP="00777ABF">
      <w:pPr>
        <w:ind w:firstLine="708"/>
        <w:jc w:val="both"/>
        <w:rPr>
          <w:b/>
          <w:bCs/>
        </w:rPr>
      </w:pPr>
    </w:p>
    <w:p w:rsidR="00777ABF" w:rsidRDefault="00777ABF" w:rsidP="00777ABF">
      <w:pPr>
        <w:ind w:firstLine="708"/>
        <w:jc w:val="both"/>
      </w:pPr>
      <w:r>
        <w:t xml:space="preserve">Intenzitet potpore na ime subvencije za ovu Mjeru 3. iznosi iznosi </w:t>
      </w:r>
      <w:r>
        <w:rPr>
          <w:b/>
          <w:bCs/>
        </w:rPr>
        <w:t>1.330,00 eura.</w:t>
      </w:r>
    </w:p>
    <w:p w:rsidR="00777ABF" w:rsidRDefault="00777ABF" w:rsidP="00777ABF">
      <w:pPr>
        <w:ind w:firstLine="708"/>
        <w:jc w:val="both"/>
        <w:rPr>
          <w:b/>
          <w:bCs/>
        </w:rPr>
      </w:pPr>
    </w:p>
    <w:p w:rsidR="00777ABF" w:rsidRDefault="00777ABF" w:rsidP="00777ABF">
      <w:pPr>
        <w:spacing w:after="200" w:line="276" w:lineRule="auto"/>
        <w:ind w:firstLine="708"/>
        <w:jc w:val="both"/>
        <w:rPr>
          <w:rFonts w:eastAsia="Calibri"/>
        </w:rPr>
      </w:pPr>
      <w:bookmarkStart w:id="11" w:name="_Hlk152661952"/>
      <w:r>
        <w:rPr>
          <w:rFonts w:eastAsia="Calibri"/>
        </w:rPr>
        <w:t>Rekonstrukcija obiteljskih kuća ili stanova u smislu ovog Programa podrazumijeva:</w:t>
      </w:r>
    </w:p>
    <w:p w:rsidR="00777ABF" w:rsidRDefault="00777ABF" w:rsidP="00777ABF">
      <w:pPr>
        <w:spacing w:after="200" w:line="276" w:lineRule="auto"/>
        <w:jc w:val="both"/>
        <w:rPr>
          <w:rFonts w:eastAsia="Calibri"/>
          <w:i/>
          <w:iCs/>
        </w:rPr>
      </w:pPr>
      <w:r>
        <w:rPr>
          <w:rFonts w:eastAsia="Calibri"/>
        </w:rPr>
        <w:t xml:space="preserve">- </w:t>
      </w:r>
      <w:r>
        <w:rPr>
          <w:rFonts w:eastAsia="Calibri"/>
          <w:i/>
          <w:iCs/>
        </w:rPr>
        <w:t>dogradnju, nadogradnju i rekonstrukciju postojećeg stambenog objekta mlade obitelji koja zadovoljava uvjete i kriterije za podnošenje prijave u skladu s ovim Programom, a objekt prije izvedenih radova nije bio odgovarajući stan.</w:t>
      </w:r>
    </w:p>
    <w:p w:rsidR="00777ABF" w:rsidRDefault="00777ABF" w:rsidP="00777ABF">
      <w:pPr>
        <w:spacing w:after="200" w:line="276" w:lineRule="auto"/>
        <w:jc w:val="both"/>
        <w:rPr>
          <w:rFonts w:eastAsia="Calibri"/>
          <w:b/>
        </w:rPr>
      </w:pPr>
      <w:r>
        <w:rPr>
          <w:rFonts w:eastAsia="Calibri"/>
          <w:i/>
          <w:iCs/>
        </w:rPr>
        <w:t>- povećanje energetske učinkovitosti stambenog objekta</w:t>
      </w:r>
    </w:p>
    <w:bookmarkEnd w:id="11"/>
    <w:p w:rsidR="00777ABF" w:rsidRDefault="00777ABF" w:rsidP="00777ABF">
      <w:pPr>
        <w:spacing w:after="200" w:line="276" w:lineRule="auto"/>
        <w:ind w:firstLine="708"/>
        <w:jc w:val="both"/>
        <w:rPr>
          <w:rFonts w:eastAsia="Calibri"/>
          <w:b/>
        </w:rPr>
      </w:pPr>
      <w:r>
        <w:rPr>
          <w:rFonts w:eastAsia="Calibri"/>
        </w:rPr>
        <w:t xml:space="preserve">Odgovarajućim stanom podrazumijeva se vlasništvo stambenog prostora koji je primjereno opremljen infrastrukturom (voda, kanalizacija, struja i dr.) i udovoljava higijensko – tehničkim uvjetima za zdravo stanovanje, veličine je 35 m² korisne površine stana za jednu osobu, odnosno za svaku daljnju osobu još 10 m². </w:t>
      </w:r>
    </w:p>
    <w:p w:rsidR="00777ABF" w:rsidRDefault="00777ABF" w:rsidP="00777ABF">
      <w:pPr>
        <w:spacing w:after="200" w:line="276" w:lineRule="auto"/>
        <w:ind w:firstLine="708"/>
        <w:jc w:val="both"/>
        <w:rPr>
          <w:rFonts w:eastAsia="Calibri"/>
        </w:rPr>
      </w:pPr>
      <w:r>
        <w:rPr>
          <w:rFonts w:eastAsia="Calibri"/>
        </w:rPr>
        <w:t>Podnositelj prijave za ovu mjeru dužan je dokazati da postojeći stambeni objekt prije izvedenih radova nije bio odgovarajući stan te je u tu svrhu obvezan priložiti fotografije objekta prije izvedenih radova, skicu zahvata (tlocrt građevine) sa troškovnikom koje izrađuje ovlašteni inženjer građevinarstva, a ako se povećava korisna površina stana i potvrdu o broju članova domaćinstva na adresi stambenog objekta koji je predmet prijave.</w:t>
      </w:r>
    </w:p>
    <w:p w:rsidR="00777ABF" w:rsidRDefault="00777ABF" w:rsidP="00777ABF">
      <w:pPr>
        <w:spacing w:after="200" w:line="276" w:lineRule="auto"/>
        <w:ind w:firstLine="708"/>
        <w:jc w:val="both"/>
        <w:rPr>
          <w:rFonts w:eastAsia="Calibri"/>
          <w:b/>
        </w:rPr>
      </w:pPr>
      <w:r>
        <w:rPr>
          <w:rFonts w:eastAsia="Calibri"/>
        </w:rPr>
        <w:t xml:space="preserve">Za rekonstrukciju, dogradnju i nadogradnju primjenjuju se važeći propisi koji vrijede za gradnju, te, ako je sukladno tim propisima nužno ishoditi građevinsku dozvolu, zahtjevu se prilaže i  građevinska dozvola. </w:t>
      </w:r>
    </w:p>
    <w:p w:rsidR="00777ABF" w:rsidRDefault="00777ABF" w:rsidP="00777ABF">
      <w:pPr>
        <w:spacing w:after="200" w:line="276" w:lineRule="auto"/>
        <w:ind w:firstLine="708"/>
        <w:jc w:val="both"/>
        <w:rPr>
          <w:rFonts w:eastAsia="Calibri"/>
        </w:rPr>
      </w:pPr>
      <w:r>
        <w:rPr>
          <w:rFonts w:eastAsia="Calibri"/>
        </w:rPr>
        <w:lastRenderedPageBreak/>
        <w:t>Podnositelj prijave prilaže dokaz o plaćanju računa na rekonstrukciji, dogradnji i nadogradnji stambenog objekta za ukupni trošak radova i materijala.</w:t>
      </w:r>
    </w:p>
    <w:p w:rsidR="00777ABF" w:rsidRDefault="00777ABF" w:rsidP="00777ABF">
      <w:pPr>
        <w:spacing w:after="200" w:line="276" w:lineRule="auto"/>
        <w:ind w:firstLine="708"/>
        <w:jc w:val="both"/>
        <w:rPr>
          <w:rFonts w:eastAsia="Calibri"/>
        </w:rPr>
      </w:pPr>
      <w:r>
        <w:rPr>
          <w:rFonts w:eastAsia="Calibri"/>
        </w:rPr>
        <w:t>Ukoliko se radovi izvode nakon primljene subvencije, podnositelj je dužan u roku 6 mjeseci dostaviti račune i dokaze o plaćanju istih.</w:t>
      </w:r>
    </w:p>
    <w:p w:rsidR="00777ABF" w:rsidRDefault="00777ABF" w:rsidP="00777ABF">
      <w:pPr>
        <w:spacing w:after="200" w:line="276" w:lineRule="auto"/>
        <w:ind w:firstLine="708"/>
        <w:jc w:val="both"/>
        <w:rPr>
          <w:rFonts w:eastAsia="Calibri"/>
        </w:rPr>
      </w:pPr>
      <w:r>
        <w:rPr>
          <w:rFonts w:eastAsia="Calibri"/>
        </w:rPr>
        <w:t>Prihvatljiv trošak po ovoj mjeri su materijal i radovi na rekonstrukciji,  dogradnji, nadogradnji, adaptacija i sanacija stambenog prostora i drugo u smislu poboljšanja kvalitete stanovanja.</w:t>
      </w:r>
    </w:p>
    <w:p w:rsidR="00777ABF" w:rsidRDefault="00777ABF" w:rsidP="00777ABF">
      <w:pPr>
        <w:spacing w:after="200" w:line="276" w:lineRule="auto"/>
        <w:ind w:firstLine="708"/>
        <w:jc w:val="both"/>
        <w:rPr>
          <w:rFonts w:eastAsia="Calibri"/>
          <w:b/>
        </w:rPr>
      </w:pPr>
      <w:r>
        <w:rPr>
          <w:rFonts w:eastAsia="Calibri"/>
        </w:rPr>
        <w:t>Prije odobravanja korištenja sredstava u okviru ove mjere, Općina Gornji Bogićevci zadržava pravo provjere i uvida na terenu po ovlaštenoj osobi svih kriterija o kojima ovisi odobravanje potpore.</w:t>
      </w:r>
    </w:p>
    <w:p w:rsidR="00777ABF" w:rsidRDefault="00777ABF" w:rsidP="00777ABF">
      <w:pPr>
        <w:spacing w:after="200" w:line="276" w:lineRule="auto"/>
        <w:ind w:firstLine="708"/>
        <w:jc w:val="both"/>
        <w:rPr>
          <w:rFonts w:eastAsia="Calibri"/>
        </w:rPr>
      </w:pPr>
      <w:r>
        <w:rPr>
          <w:rFonts w:eastAsia="Calibri"/>
        </w:rPr>
        <w:t xml:space="preserve">Objekt na koji se odnosi prijava mora biti u vlasništvu ili suvlasništvu podnositelja. Za suvlasnički dio mora priložiti izjavu kojom suvlasnik potvrđuje da je bio suglasan sa radovima i da je upoznat sa podnošenjem prijave za korištenje ove mjere. </w:t>
      </w:r>
    </w:p>
    <w:p w:rsidR="00777ABF" w:rsidRDefault="00777ABF" w:rsidP="00777ABF">
      <w:pPr>
        <w:spacing w:after="200" w:line="276" w:lineRule="auto"/>
        <w:ind w:firstLine="708"/>
        <w:jc w:val="both"/>
        <w:rPr>
          <w:rFonts w:eastAsia="Calibri"/>
        </w:rPr>
      </w:pPr>
      <w:r>
        <w:rPr>
          <w:rFonts w:eastAsia="Calibri"/>
        </w:rPr>
        <w:t>Potpora se odobrava, uz opće uvjete propisane ovim Programom, ako je objekt na području Općine Gornji Bogićevci i pod uvjetom da je objekt legalan.</w:t>
      </w:r>
    </w:p>
    <w:p w:rsidR="00777ABF" w:rsidRDefault="00777ABF" w:rsidP="00777ABF">
      <w:pPr>
        <w:spacing w:after="200" w:line="276" w:lineRule="auto"/>
        <w:ind w:firstLine="708"/>
        <w:jc w:val="both"/>
        <w:rPr>
          <w:rFonts w:eastAsia="Calibri"/>
        </w:rPr>
      </w:pPr>
      <w:r>
        <w:rPr>
          <w:rFonts w:eastAsia="Calibri"/>
        </w:rPr>
        <w:t>Korisnik mjere i njegov bračni/izvanbračni drug moraju imati prijavljeno prebivalište na adresi objekta za koji se koristi mjera i zadržati ga na toj lokaciji bez prekida najmanje 10 godina (računajući od dana isplate sufinanciranja).</w:t>
      </w:r>
    </w:p>
    <w:p w:rsidR="00777ABF" w:rsidRDefault="00777ABF" w:rsidP="00777ABF">
      <w:pPr>
        <w:spacing w:after="200" w:line="276" w:lineRule="auto"/>
        <w:ind w:firstLine="708"/>
        <w:jc w:val="both"/>
        <w:rPr>
          <w:rFonts w:eastAsia="Calibri"/>
        </w:rPr>
      </w:pPr>
      <w:r>
        <w:rPr>
          <w:rFonts w:eastAsia="Calibri"/>
        </w:rPr>
        <w:t>Korisnik ove mjere dostavlja instrument osiguranja u obliku bjanko zadužnice u korist Općine Gornji Bogićevci na iznos koji pokriva iznos odobrene potpore uvećane za eventualne troškove prisilne naplate.</w:t>
      </w:r>
    </w:p>
    <w:p w:rsidR="00777ABF" w:rsidRDefault="00777ABF" w:rsidP="00777ABF">
      <w:pPr>
        <w:rPr>
          <w:rFonts w:eastAsia="Calibri"/>
          <w:u w:val="single"/>
        </w:rPr>
      </w:pPr>
      <w:r>
        <w:rPr>
          <w:rFonts w:eastAsia="Calibri"/>
          <w:u w:val="single"/>
        </w:rPr>
        <w:t>Instrument osiguranja se aktivira u slučaju:</w:t>
      </w:r>
    </w:p>
    <w:p w:rsidR="00777ABF" w:rsidRDefault="00777ABF" w:rsidP="00777ABF">
      <w:pPr>
        <w:rPr>
          <w:rFonts w:eastAsia="Calibri"/>
        </w:rPr>
      </w:pPr>
      <w:r>
        <w:rPr>
          <w:rFonts w:eastAsia="Calibri"/>
        </w:rPr>
        <w:tab/>
        <w:t>- da korisnik mjere i/ili njegov bračni/izvanbračni drug ne zadrže prebivalište na lokaciji objekta za koje je ostvareno sufinanciranje najmanje 10 godina bez prekida (računajući od dana isplate sufinanciranja).,</w:t>
      </w:r>
    </w:p>
    <w:p w:rsidR="00777ABF" w:rsidRDefault="00777ABF" w:rsidP="00777ABF">
      <w:pPr>
        <w:rPr>
          <w:rFonts w:eastAsia="Calibri"/>
        </w:rPr>
      </w:pPr>
      <w:r>
        <w:rPr>
          <w:rFonts w:eastAsia="Calibri"/>
        </w:rPr>
        <w:tab/>
        <w:t>-  korisnik mjere ne izvršava obveze iz ugovora o sufinanciranju te postupa protivno smislu ovog Programa.</w:t>
      </w:r>
    </w:p>
    <w:p w:rsidR="00777ABF" w:rsidRDefault="00777ABF" w:rsidP="00777ABF">
      <w:pPr>
        <w:rPr>
          <w:rFonts w:eastAsia="Calibri"/>
        </w:rPr>
      </w:pPr>
      <w:r>
        <w:rPr>
          <w:rFonts w:eastAsia="Calibri"/>
        </w:rPr>
        <w:tab/>
        <w:t>- ukoliko podnositelj otuđi, proda ili daruje nekretninu za čiju kupovinu je primio financijsku pomoć/subvenciju, u roku određenom ovim Programom,</w:t>
      </w:r>
    </w:p>
    <w:p w:rsidR="00777ABF" w:rsidRDefault="00777ABF" w:rsidP="00777ABF">
      <w:pPr>
        <w:rPr>
          <w:rFonts w:eastAsia="Calibri"/>
        </w:rPr>
      </w:pPr>
      <w:r>
        <w:rPr>
          <w:rFonts w:eastAsia="Calibri"/>
        </w:rPr>
        <w:tab/>
        <w:t xml:space="preserve">- </w:t>
      </w:r>
      <w:r>
        <w:t>ukoliko bilo kojom svojom radnjom koja se tiče bilo kojeg oblika raspolaganja utječe na to da drugi raspolaže navedenom nekretninom (uključujući pravo građenja, zaloga, zakupa i svih ostalih prava koja djeluju opterećujući na nekretninu).</w:t>
      </w:r>
    </w:p>
    <w:p w:rsidR="00777ABF" w:rsidRDefault="00777ABF" w:rsidP="00777ABF">
      <w:pPr>
        <w:ind w:firstLine="695"/>
        <w:rPr>
          <w:rFonts w:eastAsia="Calibri"/>
        </w:rPr>
      </w:pPr>
    </w:p>
    <w:p w:rsidR="00777ABF" w:rsidRDefault="00777ABF" w:rsidP="00777ABF">
      <w:pPr>
        <w:spacing w:after="200" w:line="276" w:lineRule="auto"/>
        <w:jc w:val="both"/>
        <w:rPr>
          <w:rFonts w:eastAsia="Calibri"/>
          <w:u w:val="single"/>
        </w:rPr>
      </w:pPr>
      <w:r>
        <w:rPr>
          <w:rFonts w:eastAsia="Calibri"/>
          <w:u w:val="single"/>
        </w:rPr>
        <w:t>Potrebna dokumentacija koja se prilaže prijavi:</w:t>
      </w:r>
    </w:p>
    <w:p w:rsidR="00777ABF" w:rsidRDefault="00777ABF" w:rsidP="00777ABF">
      <w:pPr>
        <w:jc w:val="both"/>
        <w:rPr>
          <w:rFonts w:eastAsia="Calibri"/>
        </w:rPr>
      </w:pPr>
      <w:r>
        <w:rPr>
          <w:rFonts w:eastAsia="Calibri"/>
        </w:rPr>
        <w:tab/>
      </w:r>
      <w:bookmarkStart w:id="12" w:name="_Hlk152663177"/>
      <w:r>
        <w:rPr>
          <w:rFonts w:eastAsia="Calibri"/>
        </w:rPr>
        <w:t>1. Prijava za Mjeru 3,</w:t>
      </w:r>
    </w:p>
    <w:p w:rsidR="00777ABF" w:rsidRDefault="00777ABF" w:rsidP="00777ABF">
      <w:pPr>
        <w:jc w:val="both"/>
        <w:rPr>
          <w:rFonts w:eastAsia="Calibri"/>
        </w:rPr>
      </w:pPr>
      <w:r>
        <w:rPr>
          <w:rFonts w:eastAsia="Calibri"/>
        </w:rPr>
        <w:tab/>
        <w:t>2. Preslike osobnih iskaznica podnositelja i bračnog (izvanbračnog) druga, te kopije osobnih iskaznica ili uvjerenje o prebivalištu djece</w:t>
      </w:r>
    </w:p>
    <w:p w:rsidR="00777ABF" w:rsidRDefault="00777ABF" w:rsidP="00777ABF">
      <w:pPr>
        <w:ind w:firstLine="708"/>
        <w:jc w:val="both"/>
        <w:rPr>
          <w:rFonts w:eastAsia="Calibri"/>
        </w:rPr>
      </w:pPr>
      <w:r>
        <w:rPr>
          <w:rFonts w:eastAsia="Calibri"/>
        </w:rPr>
        <w:lastRenderedPageBreak/>
        <w:t>3. Dokaz bračne (izvadak iz matice vjenčanih ne stariji od 6 mjeseci) / izvanbračne zajednice (izjava o izvanbračnoj zajednici, odnosno rodni list djeteta odnosno djece - sukladno članku 11. Obiteljskog zakona, NN 103/15 i 98/19),</w:t>
      </w:r>
    </w:p>
    <w:p w:rsidR="00777ABF" w:rsidRDefault="00777ABF" w:rsidP="00777ABF">
      <w:pPr>
        <w:jc w:val="both"/>
        <w:rPr>
          <w:rFonts w:eastAsia="Calibri"/>
        </w:rPr>
      </w:pPr>
      <w:r>
        <w:rPr>
          <w:rFonts w:eastAsia="Calibri"/>
        </w:rPr>
        <w:tab/>
        <w:t>4. uvjerenje nadležnog ureda za katastar o ne/posjedovanju druge stambene nekretnine (prema mjestu prebivališta) za prijavitelja i bračnog/izvanbračnog druga,</w:t>
      </w:r>
    </w:p>
    <w:p w:rsidR="00777ABF" w:rsidRDefault="00777ABF" w:rsidP="00777ABF">
      <w:pPr>
        <w:ind w:firstLine="708"/>
        <w:jc w:val="both"/>
        <w:rPr>
          <w:rFonts w:eastAsia="Calibri"/>
        </w:rPr>
      </w:pPr>
      <w:r>
        <w:rPr>
          <w:rFonts w:eastAsia="Calibri"/>
        </w:rPr>
        <w:t>5. uvjerenje nadležnog Općinskog suda da ima/nema u vlasništvu drugu stambenu nekretninu (prema mjestu prebivališta) za prijavitelja i bračnog/izvanbračnog druga ,</w:t>
      </w:r>
    </w:p>
    <w:p w:rsidR="00777ABF" w:rsidRDefault="00777ABF" w:rsidP="00777ABF">
      <w:pPr>
        <w:ind w:firstLine="708"/>
        <w:jc w:val="both"/>
        <w:rPr>
          <w:rFonts w:eastAsia="Calibri"/>
        </w:rPr>
      </w:pPr>
      <w:r>
        <w:rPr>
          <w:rFonts w:eastAsia="Calibri"/>
        </w:rPr>
        <w:t>6. potvrdu nadležne Porezne uprave o prometu nekretnina za prijavitelja i bračnog/izvanbračnog druga,</w:t>
      </w:r>
    </w:p>
    <w:p w:rsidR="00777ABF" w:rsidRDefault="00777ABF" w:rsidP="00777ABF">
      <w:pPr>
        <w:ind w:firstLine="708"/>
        <w:jc w:val="both"/>
        <w:rPr>
          <w:rFonts w:eastAsia="Calibri"/>
        </w:rPr>
      </w:pPr>
      <w:r>
        <w:rPr>
          <w:rFonts w:eastAsia="Calibri"/>
        </w:rPr>
        <w:t>7. vlasnički list za stambeni objekt koji je predmet zahtjeva,</w:t>
      </w:r>
    </w:p>
    <w:p w:rsidR="00777ABF" w:rsidRDefault="00777ABF" w:rsidP="00777ABF">
      <w:pPr>
        <w:jc w:val="both"/>
        <w:rPr>
          <w:rFonts w:eastAsia="Calibri"/>
        </w:rPr>
      </w:pPr>
      <w:r>
        <w:rPr>
          <w:rFonts w:eastAsia="Calibri"/>
        </w:rPr>
        <w:tab/>
        <w:t>8. Obrazac 2. Izjava suvlasnika (ako je primjenjivo),</w:t>
      </w:r>
    </w:p>
    <w:p w:rsidR="00777ABF" w:rsidRDefault="00777ABF" w:rsidP="00777ABF">
      <w:pPr>
        <w:jc w:val="both"/>
        <w:rPr>
          <w:rFonts w:eastAsia="Calibri"/>
        </w:rPr>
      </w:pPr>
      <w:r>
        <w:rPr>
          <w:rFonts w:eastAsia="Calibri"/>
        </w:rPr>
        <w:t xml:space="preserve">            9. Obrazac 3. Izjava da će prije isplate potpore dostaviti bjanko zadužnicu</w:t>
      </w:r>
    </w:p>
    <w:p w:rsidR="00777ABF" w:rsidRDefault="00777ABF" w:rsidP="00777ABF">
      <w:pPr>
        <w:jc w:val="both"/>
        <w:rPr>
          <w:rFonts w:eastAsia="Calibri"/>
        </w:rPr>
      </w:pPr>
      <w:r>
        <w:rPr>
          <w:rFonts w:eastAsia="Calibri"/>
        </w:rPr>
        <w:t xml:space="preserve">          10. Obrazac 6. - Izjava o prvoj nekretnini ovjerena kod javnog bilježnika za prijavitelja i bračnog/izvanbračnog druga, </w:t>
      </w:r>
    </w:p>
    <w:p w:rsidR="00777ABF" w:rsidRDefault="00777ABF" w:rsidP="00777ABF">
      <w:pPr>
        <w:jc w:val="both"/>
        <w:rPr>
          <w:rFonts w:eastAsia="Calibri"/>
        </w:rPr>
      </w:pPr>
      <w:r>
        <w:rPr>
          <w:rFonts w:eastAsia="Calibri"/>
        </w:rPr>
        <w:t xml:space="preserve">          11. Akt legalnosti – uporabna dozvola ili potvrda Ureda za graditeljstvo da je u tijeku ishođenje uporabne dozvole, koju je onda dužan donijeti po ishođenju</w:t>
      </w:r>
    </w:p>
    <w:p w:rsidR="00777ABF" w:rsidRDefault="00777ABF" w:rsidP="00777ABF">
      <w:pPr>
        <w:jc w:val="both"/>
        <w:rPr>
          <w:rFonts w:eastAsia="Calibri"/>
        </w:rPr>
      </w:pPr>
      <w:r>
        <w:rPr>
          <w:rFonts w:eastAsia="Calibri"/>
        </w:rPr>
        <w:t xml:space="preserve">          12. Fotografije stanja prije izvršenih radova rekonstrukcije,</w:t>
      </w:r>
    </w:p>
    <w:p w:rsidR="00777ABF" w:rsidRDefault="00777ABF" w:rsidP="00777ABF">
      <w:pPr>
        <w:jc w:val="both"/>
        <w:rPr>
          <w:rFonts w:eastAsia="Calibri"/>
        </w:rPr>
      </w:pPr>
      <w:r>
        <w:rPr>
          <w:rFonts w:eastAsia="Calibri"/>
        </w:rPr>
        <w:t xml:space="preserve">          13. Skica zahvata sa izračunom povećanja korisne površine stana koje izrađuje ovlašteni inženjer građevinarstva, ukoliko zahvat po pravilima struke to zahtjeva, - ako je primjenjivo</w:t>
      </w:r>
    </w:p>
    <w:p w:rsidR="00777ABF" w:rsidRDefault="00777ABF" w:rsidP="00777ABF">
      <w:pPr>
        <w:jc w:val="both"/>
        <w:rPr>
          <w:rFonts w:eastAsia="Calibri"/>
        </w:rPr>
      </w:pPr>
      <w:r>
        <w:rPr>
          <w:rFonts w:eastAsia="Calibri"/>
        </w:rPr>
        <w:t xml:space="preserve">          14. Potvrda o broju članova domaćinstva,</w:t>
      </w:r>
    </w:p>
    <w:p w:rsidR="00777ABF" w:rsidRDefault="00777ABF" w:rsidP="00777ABF">
      <w:pPr>
        <w:jc w:val="both"/>
        <w:rPr>
          <w:rFonts w:eastAsia="Calibri"/>
        </w:rPr>
      </w:pPr>
      <w:r>
        <w:rPr>
          <w:rFonts w:eastAsia="Calibri"/>
        </w:rPr>
        <w:t xml:space="preserve">          15. Preslika računa i dokaz o plaćanju, kojima se dokazuju izvedeni radovi, ako su radovi izvedeni prije predaje zahtjeva,</w:t>
      </w:r>
    </w:p>
    <w:p w:rsidR="00777ABF" w:rsidRDefault="00777ABF" w:rsidP="00777ABF">
      <w:pPr>
        <w:jc w:val="both"/>
        <w:rPr>
          <w:rFonts w:eastAsia="Calibri"/>
        </w:rPr>
      </w:pPr>
      <w:r>
        <w:rPr>
          <w:rFonts w:eastAsia="Calibri"/>
        </w:rPr>
        <w:t xml:space="preserve">          16. </w:t>
      </w:r>
      <w:r>
        <w:t>Potvrda općine Gornji Bogićevci da nema dugovanja prema općini</w:t>
      </w:r>
    </w:p>
    <w:p w:rsidR="00777ABF" w:rsidRDefault="00777ABF" w:rsidP="00777ABF">
      <w:pPr>
        <w:jc w:val="both"/>
      </w:pPr>
      <w:r>
        <w:rPr>
          <w:rFonts w:eastAsia="Calibri"/>
        </w:rPr>
        <w:t xml:space="preserve">          </w:t>
      </w:r>
      <w:r>
        <w:t>17. i drugu dokumentaciju za koju se ukaže potreba dostavljanja.</w:t>
      </w:r>
    </w:p>
    <w:bookmarkEnd w:id="12"/>
    <w:p w:rsidR="00777ABF" w:rsidRDefault="00777ABF" w:rsidP="00777ABF">
      <w:pPr>
        <w:ind w:firstLine="708"/>
        <w:jc w:val="both"/>
      </w:pPr>
    </w:p>
    <w:p w:rsidR="00777ABF" w:rsidRDefault="00777ABF" w:rsidP="00777ABF">
      <w:pPr>
        <w:jc w:val="both"/>
        <w:rPr>
          <w:b/>
          <w:bCs/>
        </w:rPr>
      </w:pPr>
      <w:r>
        <w:rPr>
          <w:b/>
          <w:bCs/>
        </w:rPr>
        <w:t xml:space="preserve">           V.  POSTUPAK PODNOŠENJA PRIJAVA</w:t>
      </w:r>
    </w:p>
    <w:p w:rsidR="00777ABF" w:rsidRDefault="00777ABF" w:rsidP="00777ABF">
      <w:pPr>
        <w:ind w:firstLine="708"/>
        <w:jc w:val="both"/>
      </w:pPr>
      <w:r>
        <w:t>Javni poziv mladim obiteljima za dostavu prijava za korištenje mjera za pomoć pri rješavanju stambenog pitanja na području općine Gornji Bogićevci objavljuju se, za svaku proračunsku godinu i vrijedi do 10. prosinca tekuće godine ili do iskorištenja sredstava za tu proračunsku godinu, te se i prijava može podnijeti tijekom tog razdoblja.</w:t>
      </w:r>
    </w:p>
    <w:p w:rsidR="00777ABF" w:rsidRDefault="00777ABF" w:rsidP="00777ABF">
      <w:pPr>
        <w:ind w:firstLine="708"/>
        <w:jc w:val="both"/>
      </w:pPr>
      <w:r>
        <w:t>Javni poziv mora sadržavati popis dokumentacije koju prijavitelji moraju dostaviti za korištenje, uvjete koje podnositelj mora zadovoljavati da bi bio korisnik mjere.</w:t>
      </w:r>
    </w:p>
    <w:p w:rsidR="00777ABF" w:rsidRDefault="00777ABF" w:rsidP="00777ABF">
      <w:pPr>
        <w:ind w:firstLine="708"/>
        <w:jc w:val="both"/>
      </w:pPr>
      <w:r>
        <w:t xml:space="preserve">Javni poziv se objavljuje na stranicama općine </w:t>
      </w:r>
      <w:hyperlink r:id="rId8" w:history="1">
        <w:r>
          <w:rPr>
            <w:rStyle w:val="Hiperveza"/>
          </w:rPr>
          <w:t>www.</w:t>
        </w:r>
      </w:hyperlink>
      <w:r>
        <w:rPr>
          <w:rStyle w:val="Hiperveza"/>
        </w:rPr>
        <w:t>opcinagb@gmail.com</w:t>
      </w:r>
      <w:r>
        <w:t xml:space="preserve"> i na oglasnoj ploči Općine Gornji Bogićevci.</w:t>
      </w:r>
    </w:p>
    <w:p w:rsidR="00777ABF" w:rsidRDefault="00777ABF" w:rsidP="00777ABF">
      <w:pPr>
        <w:ind w:firstLine="708"/>
        <w:jc w:val="both"/>
      </w:pPr>
      <w:r>
        <w:t>Postupak objave javnog poziva i zaprimanja i pregleda prijava provodi Povjerenstvo za dodjelu financijske pomoći imenovano od strane Općinskog vijeća.</w:t>
      </w:r>
    </w:p>
    <w:p w:rsidR="00777ABF" w:rsidRDefault="00777ABF" w:rsidP="00777ABF">
      <w:pPr>
        <w:ind w:firstLine="708"/>
        <w:jc w:val="both"/>
        <w:rPr>
          <w:color w:val="000000" w:themeColor="text1"/>
        </w:rPr>
      </w:pPr>
      <w:r>
        <w:lastRenderedPageBreak/>
        <w:t>Povjerenstvo razmatra prijave te ukoliko ista udovoljava uvjetima javnog poziva predlaže o</w:t>
      </w:r>
      <w:r>
        <w:rPr>
          <w:color w:val="000000" w:themeColor="text1"/>
        </w:rPr>
        <w:t>pćinskom načelniku donošenje odluke o prihvatljivosti. O svakom zahtjevu odlukom odlučuje općinski načelnik.</w:t>
      </w:r>
    </w:p>
    <w:p w:rsidR="00777ABF" w:rsidRDefault="00777ABF" w:rsidP="00777ABF">
      <w:pPr>
        <w:ind w:firstLine="708"/>
        <w:jc w:val="both"/>
        <w:rPr>
          <w:color w:val="000000" w:themeColor="text1"/>
        </w:rPr>
      </w:pPr>
      <w:r>
        <w:rPr>
          <w:color w:val="000000" w:themeColor="text1"/>
        </w:rPr>
        <w:t>Ugovor o dodjeli financijske pomoći/subvencije sklapa općinski načelnik i korisnik mjera iz ovog programa odnosno podnositelj zahtjeva.</w:t>
      </w:r>
    </w:p>
    <w:p w:rsidR="00777ABF" w:rsidRDefault="00777ABF" w:rsidP="00777ABF">
      <w:pPr>
        <w:ind w:firstLine="360"/>
        <w:jc w:val="both"/>
      </w:pPr>
      <w:r>
        <w:t>Prijave i zahtjevi za isplatu sredstava koji sadrže potpunu traženu dokumentaciju i udovoljavaju propisanim kriterijima, odobravaju se i isplaćuju sukladno ovom programu.</w:t>
      </w:r>
    </w:p>
    <w:p w:rsidR="00777ABF" w:rsidRDefault="00777ABF" w:rsidP="00777ABF">
      <w:pPr>
        <w:rPr>
          <w:b/>
          <w:bCs/>
        </w:rPr>
      </w:pPr>
    </w:p>
    <w:p w:rsidR="00777ABF" w:rsidRDefault="00777ABF" w:rsidP="00777ABF">
      <w:pPr>
        <w:ind w:left="360"/>
        <w:rPr>
          <w:b/>
          <w:bCs/>
        </w:rPr>
      </w:pPr>
      <w:r>
        <w:rPr>
          <w:b/>
          <w:bCs/>
        </w:rPr>
        <w:t>VI. OSTALE ODREDBE</w:t>
      </w:r>
    </w:p>
    <w:p w:rsidR="00777ABF" w:rsidRDefault="00777ABF" w:rsidP="00777ABF">
      <w:pPr>
        <w:ind w:firstLine="360"/>
        <w:jc w:val="both"/>
      </w:pPr>
      <w:r>
        <w:t>Korisnicima mjera se sredstva mogu isplatiti ukoliko ne postoji dugovanje po bilo kojoj osnovi prema Općini Gornji Bogićevci.</w:t>
      </w:r>
    </w:p>
    <w:p w:rsidR="00777ABF" w:rsidRDefault="00777ABF" w:rsidP="00777ABF">
      <w:pPr>
        <w:ind w:firstLine="360"/>
        <w:jc w:val="both"/>
      </w:pPr>
      <w:r>
        <w:t>Ukoliko prijava nije potpuna, može se podnositelja prijave pozvati da u određenom roku dopuni prijavu odnosno dostavi dokumente koji nedostaju.</w:t>
      </w:r>
    </w:p>
    <w:p w:rsidR="00777ABF" w:rsidRDefault="00777ABF" w:rsidP="00777ABF">
      <w:pPr>
        <w:ind w:firstLine="360"/>
        <w:jc w:val="both"/>
      </w:pPr>
      <w:r>
        <w:t>Ukoliko u danom roku podnositelj ne otkloni nedostatak, njegova prijava neće se uzimati u obzir.</w:t>
      </w:r>
    </w:p>
    <w:p w:rsidR="00777ABF" w:rsidRDefault="00777ABF" w:rsidP="00777ABF">
      <w:pPr>
        <w:ind w:firstLine="360"/>
        <w:jc w:val="both"/>
      </w:pPr>
      <w:r>
        <w:t xml:space="preserve">Sredstva se dodjeljuju redoslijedom zaprimanja zahtjeva do iskorištenja svih sredstava osiguranih u Proračunu za tu stavku. </w:t>
      </w:r>
    </w:p>
    <w:p w:rsidR="00777ABF" w:rsidRDefault="00777ABF" w:rsidP="00777ABF">
      <w:pPr>
        <w:ind w:firstLine="360"/>
        <w:jc w:val="both"/>
        <w:rPr>
          <w:color w:val="000000" w:themeColor="text1"/>
        </w:rPr>
      </w:pPr>
      <w:r>
        <w:rPr>
          <w:color w:val="000000" w:themeColor="text1"/>
        </w:rPr>
        <w:t>Općina Gornji Bogićevci, sukladno proračunskim mogućnostima, može donijeti odluku o povećanju sredstava subvencije.</w:t>
      </w:r>
    </w:p>
    <w:p w:rsidR="00777ABF" w:rsidRDefault="00777ABF" w:rsidP="00777ABF">
      <w:pPr>
        <w:ind w:left="360"/>
        <w:rPr>
          <w:b/>
          <w:bCs/>
        </w:rPr>
      </w:pPr>
    </w:p>
    <w:p w:rsidR="00777ABF" w:rsidRDefault="00777ABF" w:rsidP="00777ABF">
      <w:pPr>
        <w:ind w:left="360"/>
        <w:rPr>
          <w:b/>
          <w:bCs/>
        </w:rPr>
      </w:pPr>
      <w:r>
        <w:rPr>
          <w:b/>
          <w:bCs/>
        </w:rPr>
        <w:t>VII. POSLJEDICE KOJE ĆE OVAJ PROGRAM PROIZVESTI</w:t>
      </w:r>
    </w:p>
    <w:p w:rsidR="00777ABF" w:rsidRDefault="00777ABF" w:rsidP="00777ABF">
      <w:pPr>
        <w:ind w:firstLine="360"/>
        <w:jc w:val="both"/>
      </w:pPr>
      <w:r>
        <w:t>Mjerom financije pomoći / subvencijom korisnika koji nemaju druge imovine pridonijet će se ostanku i naseljavanju stanovništva mladih i novonastalih obitelji koji svoj stambeni status mogu riješiti povoljnije. Mjerama propisanim ovim Programom utjecat će se dugoročno na uravnoteženje dobne strukture i održavanje prostorne ravnoteže stanovništva u smjeru povećanja udjela mlađeg stanovništva što bi za posljedicu imalo revitalizaciju Općine Gornji Bogićevci.</w:t>
      </w:r>
    </w:p>
    <w:p w:rsidR="00777ABF" w:rsidRDefault="00777ABF" w:rsidP="00777ABF">
      <w:pPr>
        <w:ind w:left="360"/>
        <w:rPr>
          <w:b/>
          <w:bCs/>
        </w:rPr>
      </w:pPr>
    </w:p>
    <w:p w:rsidR="00777ABF" w:rsidRDefault="00777ABF" w:rsidP="00777ABF">
      <w:pPr>
        <w:ind w:left="360"/>
        <w:rPr>
          <w:b/>
          <w:bCs/>
        </w:rPr>
      </w:pPr>
      <w:r>
        <w:rPr>
          <w:b/>
          <w:bCs/>
        </w:rPr>
        <w:t xml:space="preserve">VIII. PRIMJENA </w:t>
      </w:r>
    </w:p>
    <w:p w:rsidR="00777ABF" w:rsidRDefault="00777ABF" w:rsidP="00777ABF">
      <w:pPr>
        <w:ind w:firstLine="360"/>
      </w:pPr>
      <w:r>
        <w:t xml:space="preserve">Ovaj Program stupa na snagu osmog dana od dana objave u „Službenom glasniku općine Gornji Bogićevci“, te prestaje važiti program mjera za poticanje rješavanja stambenog pitanja na području Općine Gornji Bogićevci, KLASA:371-01-24-01/01, URBR: 2178-22-03-24-01 od 17.6.2024. </w:t>
      </w:r>
    </w:p>
    <w:p w:rsidR="00777ABF" w:rsidRDefault="00777ABF" w:rsidP="00777ABF">
      <w:pPr>
        <w:ind w:firstLine="360"/>
      </w:pPr>
    </w:p>
    <w:p w:rsidR="00777ABF" w:rsidRDefault="00777ABF" w:rsidP="00777ABF">
      <w:pPr>
        <w:ind w:firstLine="360"/>
      </w:pPr>
    </w:p>
    <w:p w:rsidR="00777ABF" w:rsidRDefault="00777ABF" w:rsidP="00777ABF">
      <w:pPr>
        <w:ind w:firstLine="360"/>
      </w:pPr>
    </w:p>
    <w:p w:rsidR="00777ABF" w:rsidRDefault="00777ABF" w:rsidP="00777ABF">
      <w:pPr>
        <w:ind w:firstLine="360"/>
      </w:pPr>
    </w:p>
    <w:p w:rsidR="00777ABF" w:rsidRDefault="00777ABF" w:rsidP="00777ABF">
      <w:r>
        <w:t>KLASA: 371-01/25-01/01</w:t>
      </w:r>
      <w:r>
        <w:tab/>
      </w:r>
      <w:r>
        <w:tab/>
        <w:t xml:space="preserve"> </w:t>
      </w:r>
    </w:p>
    <w:p w:rsidR="00777ABF" w:rsidRDefault="00777ABF" w:rsidP="00777ABF">
      <w:r>
        <w:t>URBROJ: : 2178-22-03-25-01</w:t>
      </w:r>
    </w:p>
    <w:p w:rsidR="00777ABF" w:rsidRDefault="00777ABF" w:rsidP="00777ABF">
      <w:r>
        <w:lastRenderedPageBreak/>
        <w:t>Gornji Bogićevci, 22.12.2025. godine</w:t>
      </w:r>
    </w:p>
    <w:p w:rsidR="00777ABF" w:rsidRDefault="00777ABF" w:rsidP="00777ABF"/>
    <w:p w:rsidR="00777ABF" w:rsidRDefault="00777ABF" w:rsidP="00777ABF"/>
    <w:p w:rsidR="00777ABF" w:rsidRDefault="00777ABF" w:rsidP="00777ABF">
      <w:pPr>
        <w:ind w:left="2124" w:firstLine="708"/>
        <w:jc w:val="right"/>
      </w:pPr>
      <w:r>
        <w:t xml:space="preserve">                                                             Predsjednik OV:</w:t>
      </w:r>
      <w:r>
        <w:tab/>
      </w:r>
    </w:p>
    <w:p w:rsidR="00777ABF" w:rsidRDefault="00777ABF" w:rsidP="00777ABF">
      <w:pPr>
        <w:ind w:left="5664" w:firstLine="708"/>
        <w:jc w:val="center"/>
      </w:pPr>
      <w:r>
        <w:t xml:space="preserve">          Željko Klarić</w:t>
      </w:r>
      <w:r>
        <w:tab/>
      </w:r>
    </w:p>
    <w:p w:rsidR="00777ABF" w:rsidRDefault="00777ABF" w:rsidP="00777ABF"/>
    <w:p w:rsidR="00777ABF" w:rsidRDefault="00777ABF" w:rsidP="00360577">
      <w:pPr>
        <w:spacing w:line="360" w:lineRule="auto"/>
        <w:jc w:val="both"/>
        <w:rPr>
          <w:rFonts w:ascii="Times New Roman" w:hAnsi="Times New Roman" w:cs="Times New Roman"/>
          <w:b/>
          <w:bCs/>
          <w:sz w:val="24"/>
          <w:szCs w:val="24"/>
        </w:rPr>
      </w:pPr>
    </w:p>
    <w:p w:rsidR="00440A6E" w:rsidRPr="00440A6E" w:rsidRDefault="00440A6E" w:rsidP="00360577">
      <w:pPr>
        <w:spacing w:line="360" w:lineRule="auto"/>
        <w:jc w:val="both"/>
        <w:rPr>
          <w:rFonts w:ascii="Times New Roman" w:hAnsi="Times New Roman" w:cs="Times New Roman"/>
          <w:b/>
          <w:bCs/>
          <w:sz w:val="24"/>
          <w:szCs w:val="24"/>
        </w:rPr>
      </w:pPr>
    </w:p>
    <w:p w:rsidR="00440A6E" w:rsidRPr="00440A6E" w:rsidRDefault="00440A6E" w:rsidP="00440A6E">
      <w:pPr>
        <w:pStyle w:val="Bezproreda"/>
        <w:rPr>
          <w:rFonts w:ascii="Times New Roman" w:hAnsi="Times New Roman" w:cs="Times New Roman"/>
          <w:b/>
          <w:bCs/>
          <w:sz w:val="24"/>
          <w:szCs w:val="24"/>
        </w:rPr>
      </w:pPr>
      <w:r w:rsidRPr="00440A6E">
        <w:rPr>
          <w:rFonts w:ascii="Times New Roman" w:hAnsi="Times New Roman" w:cs="Times New Roman"/>
          <w:b/>
          <w:bCs/>
          <w:sz w:val="24"/>
          <w:szCs w:val="24"/>
        </w:rPr>
        <w:t>40. II. Izmjene i dopune proračuna Općine Gornji Bogićevci za 2025.</w:t>
      </w:r>
    </w:p>
    <w:p w:rsidR="00440A6E" w:rsidRDefault="00440A6E" w:rsidP="00360577">
      <w:pPr>
        <w:spacing w:line="360" w:lineRule="auto"/>
        <w:jc w:val="both"/>
        <w:rPr>
          <w:rFonts w:ascii="Times New Roman" w:hAnsi="Times New Roman" w:cs="Times New Roman"/>
          <w:b/>
          <w:bCs/>
          <w:sz w:val="24"/>
          <w:szCs w:val="24"/>
        </w:rPr>
      </w:pPr>
    </w:p>
    <w:p w:rsidR="00440A6E" w:rsidRDefault="00440A6E" w:rsidP="00440A6E">
      <w:pPr>
        <w:spacing w:after="0"/>
        <w:jc w:val="both"/>
        <w:rPr>
          <w:rFonts w:ascii="Times New Roman" w:hAnsi="Times New Roman" w:cs="Times New Roman"/>
          <w:sz w:val="20"/>
          <w:szCs w:val="20"/>
        </w:rPr>
      </w:pPr>
      <w:r>
        <w:rPr>
          <w:rFonts w:ascii="Times New Roman" w:hAnsi="Times New Roman" w:cs="Times New Roman"/>
          <w:sz w:val="20"/>
          <w:szCs w:val="20"/>
        </w:rPr>
        <w:t>Na temelju članka 45., stavak 1. Zakona o proračunu („Narodne novine“, broj 144/22) i članka 39. Statuta Općine Gornji Bogićevci (Službeni glasnik Općine Gornji Bogićevci broj 2/21.), Općinsko vijeće Općine Gornji Bogićevci na svojoj 5. sjednici, održanoj 22.12.2025. godine, donosi:</w:t>
      </w:r>
    </w:p>
    <w:p w:rsidR="00440A6E" w:rsidRDefault="00440A6E" w:rsidP="00440A6E">
      <w:pPr>
        <w:spacing w:after="0"/>
        <w:jc w:val="both"/>
        <w:rPr>
          <w:rFonts w:ascii="Times New Roman" w:hAnsi="Times New Roman" w:cs="Times New Roman"/>
          <w:sz w:val="20"/>
          <w:szCs w:val="20"/>
        </w:rPr>
      </w:pPr>
    </w:p>
    <w:p w:rsidR="00440A6E" w:rsidRDefault="00440A6E" w:rsidP="00440A6E">
      <w:pPr>
        <w:spacing w:after="0"/>
        <w:jc w:val="center"/>
        <w:rPr>
          <w:rFonts w:ascii="Times New Roman" w:hAnsi="Times New Roman" w:cs="Times New Roman"/>
          <w:b/>
          <w:bCs/>
          <w:sz w:val="24"/>
          <w:szCs w:val="24"/>
        </w:rPr>
      </w:pPr>
      <w:r>
        <w:rPr>
          <w:rFonts w:ascii="Times New Roman" w:hAnsi="Times New Roman" w:cs="Times New Roman"/>
          <w:b/>
          <w:bCs/>
          <w:sz w:val="24"/>
          <w:szCs w:val="24"/>
        </w:rPr>
        <w:t>Prijedlog II izmjena i dopuna proračuna Općine Gornji Bogićevci za 2025 godinu</w:t>
      </w:r>
    </w:p>
    <w:p w:rsidR="00440A6E" w:rsidRDefault="00440A6E" w:rsidP="00440A6E">
      <w:pPr>
        <w:spacing w:after="0"/>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1.</w:t>
      </w:r>
    </w:p>
    <w:p w:rsidR="00440A6E" w:rsidRDefault="00440A6E" w:rsidP="00440A6E">
      <w:pPr>
        <w:ind w:firstLine="708"/>
        <w:jc w:val="both"/>
        <w:rPr>
          <w:rFonts w:ascii="Times New Roman" w:hAnsi="Times New Roman" w:cs="Times New Roman"/>
        </w:rPr>
      </w:pPr>
      <w:r>
        <w:rPr>
          <w:rFonts w:ascii="Times New Roman" w:hAnsi="Times New Roman" w:cs="Times New Roman"/>
        </w:rPr>
        <w:t>U proračunu Općine Gornji Bogićevci za 2025. godinu članak 1. mijenja se i glasi:</w:t>
      </w:r>
    </w:p>
    <w:p w:rsidR="00440A6E" w:rsidRDefault="00440A6E" w:rsidP="00A66748">
      <w:pPr>
        <w:pStyle w:val="Odlomakpopisa"/>
        <w:numPr>
          <w:ilvl w:val="0"/>
          <w:numId w:val="9"/>
        </w:numPr>
        <w:spacing w:after="0" w:line="276" w:lineRule="auto"/>
        <w:ind w:left="360"/>
        <w:rPr>
          <w:rFonts w:ascii="Times New Roman" w:hAnsi="Times New Roman"/>
          <w:b/>
          <w:bCs/>
          <w:sz w:val="24"/>
          <w:szCs w:val="24"/>
        </w:rPr>
      </w:pPr>
      <w:r>
        <w:rPr>
          <w:rFonts w:ascii="Times New Roman" w:hAnsi="Times New Roman"/>
          <w:b/>
          <w:bCs/>
          <w:sz w:val="24"/>
          <w:szCs w:val="24"/>
        </w:rPr>
        <w:t>OPĆI DIO</w:t>
      </w:r>
    </w:p>
    <w:p w:rsidR="00440A6E" w:rsidRDefault="00440A6E"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SAŽETAK RAČUNA PRIHODA I RASHODA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RAZRED I NAZIV</w:t>
            </w:r>
          </w:p>
        </w:tc>
        <w:tc>
          <w:tcPr>
            <w:tcW w:w="130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PLAN ZA 2025.</w:t>
            </w:r>
          </w:p>
        </w:tc>
        <w:tc>
          <w:tcPr>
            <w:tcW w:w="130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POVEĆANJE/SMANJENJE</w:t>
            </w:r>
          </w:p>
        </w:tc>
        <w:tc>
          <w:tcPr>
            <w:tcW w:w="130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NOVI PLAN ZA 2025.</w:t>
            </w:r>
          </w:p>
        </w:tc>
        <w:tc>
          <w:tcPr>
            <w:tcW w:w="96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1</w:t>
            </w:r>
          </w:p>
        </w:tc>
        <w:tc>
          <w:tcPr>
            <w:tcW w:w="130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2</w:t>
            </w:r>
          </w:p>
        </w:tc>
        <w:tc>
          <w:tcPr>
            <w:tcW w:w="130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3</w:t>
            </w:r>
          </w:p>
        </w:tc>
        <w:tc>
          <w:tcPr>
            <w:tcW w:w="130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4</w:t>
            </w:r>
          </w:p>
        </w:tc>
        <w:tc>
          <w:tcPr>
            <w:tcW w:w="960" w:type="dxa"/>
            <w:shd w:val="clear" w:color="auto" w:fill="505050"/>
          </w:tcPr>
          <w:p w:rsidR="00440A6E" w:rsidRDefault="00440A6E" w:rsidP="00F57898">
            <w:pPr>
              <w:spacing w:after="0"/>
              <w:jc w:val="center"/>
              <w:rPr>
                <w:rFonts w:ascii="Times New Roman" w:hAnsi="Times New Roman"/>
                <w:b/>
                <w:color w:val="FFFFFF"/>
                <w:sz w:val="16"/>
                <w:szCs w:val="16"/>
              </w:rPr>
            </w:pPr>
            <w:r>
              <w:rPr>
                <w:rFonts w:ascii="Times New Roman" w:hAnsi="Times New Roman"/>
                <w:b/>
                <w:color w:val="FFFFFF"/>
                <w:sz w:val="16"/>
                <w:szCs w:val="16"/>
              </w:rPr>
              <w:t>5</w:t>
            </w:r>
          </w:p>
        </w:tc>
      </w:tr>
      <w:tr w:rsidR="00440A6E" w:rsidTr="00F57898">
        <w:tc>
          <w:tcPr>
            <w:tcW w:w="5171" w:type="dxa"/>
          </w:tcPr>
          <w:p w:rsidR="00440A6E" w:rsidRDefault="00440A6E" w:rsidP="00F57898">
            <w:pPr>
              <w:spacing w:after="0"/>
              <w:rPr>
                <w:rFonts w:ascii="Times New Roman" w:hAnsi="Times New Roman"/>
                <w:b/>
                <w:sz w:val="16"/>
                <w:szCs w:val="16"/>
              </w:rPr>
            </w:pPr>
            <w:r>
              <w:rPr>
                <w:rFonts w:ascii="Times New Roman" w:hAnsi="Times New Roman"/>
                <w:b/>
                <w:sz w:val="16"/>
                <w:szCs w:val="16"/>
              </w:rPr>
              <w:t>PRIHODI UKUPNO</w:t>
            </w:r>
          </w:p>
        </w:tc>
        <w:tc>
          <w:tcPr>
            <w:tcW w:w="130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1.431.680,24</w:t>
            </w:r>
          </w:p>
        </w:tc>
        <w:tc>
          <w:tcPr>
            <w:tcW w:w="130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-290.060,08</w:t>
            </w:r>
          </w:p>
        </w:tc>
        <w:tc>
          <w:tcPr>
            <w:tcW w:w="130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1.141.620,16</w:t>
            </w:r>
          </w:p>
        </w:tc>
        <w:tc>
          <w:tcPr>
            <w:tcW w:w="96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79,74%</w:t>
            </w: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6 Prihodi poslovanja</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1.391.680,24</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-252.660,08</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1.139.020,16</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81,84%</w:t>
            </w: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7 Prihodi od prodaje nefinancijske imovine</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40.000,00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-37.400,00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2.600,00</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6,50%</w:t>
            </w:r>
          </w:p>
        </w:tc>
      </w:tr>
      <w:tr w:rsidR="00440A6E" w:rsidTr="00F57898">
        <w:tc>
          <w:tcPr>
            <w:tcW w:w="5171" w:type="dxa"/>
          </w:tcPr>
          <w:p w:rsidR="00440A6E" w:rsidRDefault="00440A6E" w:rsidP="00F57898">
            <w:pPr>
              <w:spacing w:after="0"/>
              <w:rPr>
                <w:rFonts w:ascii="Times New Roman" w:hAnsi="Times New Roman"/>
                <w:b/>
                <w:sz w:val="16"/>
                <w:szCs w:val="16"/>
              </w:rPr>
            </w:pPr>
            <w:r>
              <w:rPr>
                <w:rFonts w:ascii="Times New Roman" w:hAnsi="Times New Roman"/>
                <w:b/>
                <w:sz w:val="16"/>
                <w:szCs w:val="16"/>
              </w:rPr>
              <w:t>RASHODI UKUPNO</w:t>
            </w:r>
          </w:p>
        </w:tc>
        <w:tc>
          <w:tcPr>
            <w:tcW w:w="130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1.431.680,24</w:t>
            </w:r>
          </w:p>
        </w:tc>
        <w:tc>
          <w:tcPr>
            <w:tcW w:w="130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-291.513,78</w:t>
            </w:r>
          </w:p>
        </w:tc>
        <w:tc>
          <w:tcPr>
            <w:tcW w:w="130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1.140.166,46</w:t>
            </w:r>
          </w:p>
        </w:tc>
        <w:tc>
          <w:tcPr>
            <w:tcW w:w="960" w:type="dxa"/>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79,64%</w:t>
            </w: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3 Rashodi poslovanja</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934.458,46</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16.985,03</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951.443,49</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101,82%</w:t>
            </w: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4 Rashodi za nabavu nefinancijske imovine</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497.221,78</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-308.498,81</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188.722,97</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37,96%</w:t>
            </w:r>
          </w:p>
        </w:tc>
      </w:tr>
      <w:tr w:rsidR="00440A6E" w:rsidTr="00F57898">
        <w:trPr>
          <w:trHeight w:val="360"/>
        </w:trPr>
        <w:tc>
          <w:tcPr>
            <w:tcW w:w="5171" w:type="dxa"/>
            <w:shd w:val="clear" w:color="auto" w:fill="FFE699"/>
            <w:vAlign w:val="center"/>
          </w:tcPr>
          <w:p w:rsidR="00440A6E" w:rsidRDefault="00440A6E" w:rsidP="00F57898">
            <w:pPr>
              <w:spacing w:after="0"/>
              <w:rPr>
                <w:rFonts w:ascii="Times New Roman" w:hAnsi="Times New Roman"/>
                <w:b/>
                <w:sz w:val="16"/>
                <w:szCs w:val="16"/>
              </w:rPr>
            </w:pPr>
            <w:r>
              <w:rPr>
                <w:rFonts w:ascii="Times New Roman" w:hAnsi="Times New Roman"/>
                <w:b/>
                <w:sz w:val="16"/>
                <w:szCs w:val="16"/>
              </w:rPr>
              <w:t>RAZLIKA - VIŠAK/MANJAK</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1.453,70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1.453,70</w:t>
            </w:r>
          </w:p>
        </w:tc>
        <w:tc>
          <w:tcPr>
            <w:tcW w:w="960" w:type="dxa"/>
            <w:shd w:val="clear" w:color="auto" w:fill="FFE699"/>
            <w:vAlign w:val="center"/>
          </w:tcPr>
          <w:p w:rsidR="00440A6E" w:rsidRDefault="00440A6E" w:rsidP="00F57898">
            <w:pPr>
              <w:spacing w:after="0"/>
              <w:jc w:val="right"/>
              <w:rPr>
                <w:rFonts w:ascii="Times New Roman" w:hAnsi="Times New Roman"/>
                <w:b/>
                <w:sz w:val="16"/>
                <w:szCs w:val="16"/>
              </w:rPr>
            </w:pPr>
          </w:p>
        </w:tc>
      </w:tr>
    </w:tbl>
    <w:p w:rsidR="00440A6E" w:rsidRDefault="00440A6E" w:rsidP="00440A6E">
      <w:pPr>
        <w:spacing w:after="0"/>
        <w:rPr>
          <w:rFonts w:ascii="Times New Roman" w:hAnsi="Times New Roman"/>
          <w:sz w:val="16"/>
          <w:szCs w:val="16"/>
        </w:rPr>
      </w:pPr>
    </w:p>
    <w:p w:rsidR="00440A6E" w:rsidRDefault="00440A6E"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SAŽETAK RAČUNA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8 Primici od financijske imovine i zaduživanja</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86.500,00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-86.500,00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5 Izdaci za financijsku imovinu i otplate zajmova</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86.500,00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-86.500,00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r>
      <w:tr w:rsidR="00440A6E" w:rsidTr="00F57898">
        <w:trPr>
          <w:trHeight w:val="360"/>
        </w:trPr>
        <w:tc>
          <w:tcPr>
            <w:tcW w:w="5171" w:type="dxa"/>
            <w:shd w:val="clear" w:color="auto" w:fill="FFE699"/>
            <w:vAlign w:val="center"/>
          </w:tcPr>
          <w:p w:rsidR="00440A6E" w:rsidRDefault="00440A6E" w:rsidP="00F57898">
            <w:pPr>
              <w:spacing w:after="0"/>
              <w:rPr>
                <w:rFonts w:ascii="Times New Roman" w:hAnsi="Times New Roman"/>
                <w:b/>
                <w:sz w:val="16"/>
                <w:szCs w:val="16"/>
              </w:rPr>
            </w:pPr>
            <w:r>
              <w:rPr>
                <w:rFonts w:ascii="Times New Roman" w:hAnsi="Times New Roman"/>
                <w:b/>
                <w:sz w:val="16"/>
                <w:szCs w:val="16"/>
              </w:rPr>
              <w:t>NETO FINANCIRANJE</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960" w:type="dxa"/>
            <w:shd w:val="clear" w:color="auto" w:fill="FFE699"/>
            <w:vAlign w:val="center"/>
          </w:tcPr>
          <w:p w:rsidR="00440A6E" w:rsidRDefault="00440A6E" w:rsidP="00F57898">
            <w:pPr>
              <w:spacing w:after="0"/>
              <w:jc w:val="right"/>
              <w:rPr>
                <w:rFonts w:ascii="Times New Roman" w:hAnsi="Times New Roman"/>
                <w:b/>
                <w:sz w:val="16"/>
                <w:szCs w:val="16"/>
              </w:rPr>
            </w:pPr>
          </w:p>
        </w:tc>
      </w:tr>
      <w:tr w:rsidR="00440A6E" w:rsidTr="00F57898">
        <w:trPr>
          <w:trHeight w:val="360"/>
        </w:trPr>
        <w:tc>
          <w:tcPr>
            <w:tcW w:w="5171" w:type="dxa"/>
            <w:shd w:val="clear" w:color="auto" w:fill="FFE699"/>
            <w:vAlign w:val="center"/>
          </w:tcPr>
          <w:p w:rsidR="00440A6E" w:rsidRDefault="00440A6E" w:rsidP="00F57898">
            <w:pPr>
              <w:spacing w:after="0"/>
              <w:rPr>
                <w:rFonts w:ascii="Times New Roman" w:hAnsi="Times New Roman"/>
                <w:b/>
                <w:sz w:val="16"/>
                <w:szCs w:val="16"/>
              </w:rPr>
            </w:pPr>
            <w:r>
              <w:rPr>
                <w:rFonts w:ascii="Times New Roman" w:hAnsi="Times New Roman"/>
                <w:b/>
                <w:sz w:val="16"/>
                <w:szCs w:val="16"/>
              </w:rPr>
              <w:t>VIŠAK/MANJAK + NETO FINANCIRANJE</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1.453,70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1.453,70</w:t>
            </w:r>
          </w:p>
        </w:tc>
        <w:tc>
          <w:tcPr>
            <w:tcW w:w="960" w:type="dxa"/>
            <w:shd w:val="clear" w:color="auto" w:fill="FFE699"/>
            <w:vAlign w:val="center"/>
          </w:tcPr>
          <w:p w:rsidR="00440A6E" w:rsidRDefault="00440A6E" w:rsidP="00F57898">
            <w:pPr>
              <w:spacing w:after="0"/>
              <w:jc w:val="right"/>
              <w:rPr>
                <w:rFonts w:ascii="Times New Roman" w:hAnsi="Times New Roman"/>
                <w:b/>
                <w:sz w:val="16"/>
                <w:szCs w:val="16"/>
              </w:rPr>
            </w:pPr>
          </w:p>
        </w:tc>
      </w:tr>
    </w:tbl>
    <w:p w:rsidR="00440A6E" w:rsidRDefault="00440A6E" w:rsidP="00440A6E">
      <w:pPr>
        <w:spacing w:after="0"/>
        <w:rPr>
          <w:rFonts w:ascii="Times New Roman" w:hAnsi="Times New Roman"/>
          <w:sz w:val="16"/>
          <w:szCs w:val="16"/>
        </w:rPr>
      </w:pPr>
    </w:p>
    <w:p w:rsidR="00440A6E" w:rsidRDefault="00440A6E"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PRENESENI VIŠAK ILI PRENESENI MANJAK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PRIJENOS VIŠKA/MANJKA IZ PRETHODNE(IH) GODINE</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960" w:type="dxa"/>
          </w:tcPr>
          <w:p w:rsidR="00440A6E" w:rsidRDefault="00440A6E" w:rsidP="00F57898">
            <w:pPr>
              <w:spacing w:after="0"/>
              <w:jc w:val="right"/>
              <w:rPr>
                <w:rFonts w:ascii="Times New Roman" w:hAnsi="Times New Roman"/>
                <w:sz w:val="16"/>
                <w:szCs w:val="16"/>
              </w:rPr>
            </w:pP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PRIJENOS VIŠKA/MANJKA U SLJEDEĆE RAZDOBLJE</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1.453,70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1.453,70</w:t>
            </w:r>
          </w:p>
        </w:tc>
        <w:tc>
          <w:tcPr>
            <w:tcW w:w="960" w:type="dxa"/>
          </w:tcPr>
          <w:p w:rsidR="00440A6E" w:rsidRDefault="00440A6E" w:rsidP="00F57898">
            <w:pPr>
              <w:spacing w:after="0"/>
              <w:jc w:val="right"/>
              <w:rPr>
                <w:rFonts w:ascii="Times New Roman" w:hAnsi="Times New Roman"/>
                <w:sz w:val="16"/>
                <w:szCs w:val="16"/>
              </w:rPr>
            </w:pPr>
          </w:p>
        </w:tc>
      </w:tr>
      <w:tr w:rsidR="00440A6E" w:rsidTr="00F57898">
        <w:trPr>
          <w:trHeight w:val="360"/>
        </w:trPr>
        <w:tc>
          <w:tcPr>
            <w:tcW w:w="5171" w:type="dxa"/>
            <w:shd w:val="clear" w:color="auto" w:fill="FFE699"/>
            <w:vAlign w:val="center"/>
          </w:tcPr>
          <w:p w:rsidR="00440A6E" w:rsidRDefault="00440A6E" w:rsidP="00F57898">
            <w:pPr>
              <w:spacing w:after="0"/>
              <w:rPr>
                <w:rFonts w:ascii="Times New Roman" w:hAnsi="Times New Roman"/>
                <w:b/>
                <w:sz w:val="16"/>
                <w:szCs w:val="16"/>
              </w:rPr>
            </w:pPr>
            <w:r>
              <w:rPr>
                <w:rFonts w:ascii="Times New Roman" w:hAnsi="Times New Roman"/>
                <w:b/>
                <w:sz w:val="16"/>
                <w:szCs w:val="16"/>
              </w:rPr>
              <w:t>VIŠAK/MANJAK + NETO FINANCIRANJE + PRIJENOS VIŠKA/MANJKA IZ PRETHODNE(IH) GODINE - PRIJENOS VIŠKA/MANJKA U SLJEDEĆE RAZDOBLJE</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0,00</w:t>
            </w:r>
          </w:p>
        </w:tc>
        <w:tc>
          <w:tcPr>
            <w:tcW w:w="960" w:type="dxa"/>
            <w:shd w:val="clear" w:color="auto" w:fill="FFE699"/>
            <w:vAlign w:val="center"/>
          </w:tcPr>
          <w:p w:rsidR="00440A6E" w:rsidRDefault="00440A6E" w:rsidP="00F57898">
            <w:pPr>
              <w:spacing w:after="0"/>
              <w:jc w:val="right"/>
              <w:rPr>
                <w:rFonts w:ascii="Times New Roman" w:hAnsi="Times New Roman"/>
                <w:b/>
                <w:sz w:val="16"/>
                <w:szCs w:val="16"/>
              </w:rPr>
            </w:pPr>
          </w:p>
        </w:tc>
      </w:tr>
    </w:tbl>
    <w:p w:rsidR="00440A6E" w:rsidRDefault="00440A6E" w:rsidP="00440A6E">
      <w:pPr>
        <w:spacing w:after="0"/>
        <w:rPr>
          <w:rFonts w:ascii="Times New Roman" w:hAnsi="Times New Roman"/>
          <w:sz w:val="16"/>
          <w:szCs w:val="16"/>
        </w:rPr>
      </w:pPr>
    </w:p>
    <w:p w:rsidR="00440A6E" w:rsidRDefault="00440A6E"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VIŠEGODIŠNJI PLAN URAVNOTEŽENJA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PRIJENOS VIŠKA/MANJKA IZ PRETHODNE(IH) GODINE</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-206.068,80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4.706,09</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-201.362,71</w:t>
            </w:r>
          </w:p>
        </w:tc>
        <w:tc>
          <w:tcPr>
            <w:tcW w:w="96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97,72%</w:t>
            </w: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t xml:space="preserve">VIŠAK/MANJAK IZ PRETHODNE(IH) GODINE KOJI ĆE SE </w:t>
            </w:r>
            <w:r>
              <w:rPr>
                <w:rFonts w:ascii="Times New Roman" w:hAnsi="Times New Roman"/>
                <w:sz w:val="16"/>
                <w:szCs w:val="16"/>
              </w:rPr>
              <w:lastRenderedPageBreak/>
              <w:t>RASPOREDITI/POKRITI</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lastRenderedPageBreak/>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960" w:type="dxa"/>
          </w:tcPr>
          <w:p w:rsidR="00440A6E" w:rsidRDefault="00440A6E" w:rsidP="00F57898">
            <w:pPr>
              <w:spacing w:after="0"/>
              <w:jc w:val="right"/>
              <w:rPr>
                <w:rFonts w:ascii="Times New Roman" w:hAnsi="Times New Roman"/>
                <w:sz w:val="16"/>
                <w:szCs w:val="16"/>
              </w:rPr>
            </w:pPr>
          </w:p>
        </w:tc>
      </w:tr>
      <w:tr w:rsidR="00440A6E" w:rsidTr="00F57898">
        <w:tc>
          <w:tcPr>
            <w:tcW w:w="5171" w:type="dxa"/>
          </w:tcPr>
          <w:p w:rsidR="00440A6E" w:rsidRDefault="00440A6E" w:rsidP="00F57898">
            <w:pPr>
              <w:spacing w:after="0"/>
              <w:rPr>
                <w:rFonts w:ascii="Times New Roman" w:hAnsi="Times New Roman"/>
                <w:sz w:val="16"/>
                <w:szCs w:val="16"/>
              </w:rPr>
            </w:pPr>
            <w:r>
              <w:rPr>
                <w:rFonts w:ascii="Times New Roman" w:hAnsi="Times New Roman"/>
                <w:sz w:val="16"/>
                <w:szCs w:val="16"/>
              </w:rPr>
              <w:lastRenderedPageBreak/>
              <w:t>VIŠAK/MANJAK TEKUĆE GODINE</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440A6E" w:rsidRDefault="00440A6E" w:rsidP="00F57898">
            <w:pPr>
              <w:spacing w:after="0"/>
              <w:jc w:val="right"/>
              <w:rPr>
                <w:rFonts w:ascii="Times New Roman" w:hAnsi="Times New Roman"/>
                <w:sz w:val="16"/>
                <w:szCs w:val="16"/>
              </w:rPr>
            </w:pPr>
            <w:r>
              <w:rPr>
                <w:rFonts w:ascii="Times New Roman" w:hAnsi="Times New Roman"/>
                <w:sz w:val="16"/>
                <w:szCs w:val="16"/>
              </w:rPr>
              <w:t>0,00</w:t>
            </w:r>
          </w:p>
        </w:tc>
        <w:tc>
          <w:tcPr>
            <w:tcW w:w="960" w:type="dxa"/>
          </w:tcPr>
          <w:p w:rsidR="00440A6E" w:rsidRDefault="00440A6E" w:rsidP="00F57898">
            <w:pPr>
              <w:spacing w:after="0"/>
              <w:jc w:val="right"/>
              <w:rPr>
                <w:rFonts w:ascii="Times New Roman" w:hAnsi="Times New Roman"/>
                <w:sz w:val="16"/>
                <w:szCs w:val="16"/>
              </w:rPr>
            </w:pPr>
          </w:p>
        </w:tc>
      </w:tr>
      <w:tr w:rsidR="00440A6E" w:rsidTr="00F57898">
        <w:trPr>
          <w:trHeight w:val="360"/>
        </w:trPr>
        <w:tc>
          <w:tcPr>
            <w:tcW w:w="5171" w:type="dxa"/>
            <w:shd w:val="clear" w:color="auto" w:fill="FFE699"/>
            <w:vAlign w:val="center"/>
          </w:tcPr>
          <w:p w:rsidR="00440A6E" w:rsidRDefault="00440A6E" w:rsidP="00F57898">
            <w:pPr>
              <w:spacing w:after="0"/>
              <w:rPr>
                <w:rFonts w:ascii="Times New Roman" w:hAnsi="Times New Roman"/>
                <w:b/>
                <w:sz w:val="16"/>
                <w:szCs w:val="16"/>
              </w:rPr>
            </w:pPr>
            <w:r>
              <w:rPr>
                <w:rFonts w:ascii="Times New Roman" w:hAnsi="Times New Roman"/>
                <w:b/>
                <w:sz w:val="16"/>
                <w:szCs w:val="16"/>
              </w:rPr>
              <w:t>PRIJENOS VIŠKA/MANJKA U SLJEDEĆE RAZDOBLJE</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-206.068,80</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4.706,09</w:t>
            </w:r>
          </w:p>
        </w:tc>
        <w:tc>
          <w:tcPr>
            <w:tcW w:w="130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-201.362,71</w:t>
            </w:r>
          </w:p>
        </w:tc>
        <w:tc>
          <w:tcPr>
            <w:tcW w:w="960" w:type="dxa"/>
            <w:shd w:val="clear" w:color="auto" w:fill="FFE699"/>
            <w:vAlign w:val="center"/>
          </w:tcPr>
          <w:p w:rsidR="00440A6E" w:rsidRDefault="00440A6E" w:rsidP="00F57898">
            <w:pPr>
              <w:spacing w:after="0"/>
              <w:jc w:val="right"/>
              <w:rPr>
                <w:rFonts w:ascii="Times New Roman" w:hAnsi="Times New Roman"/>
                <w:b/>
                <w:sz w:val="16"/>
                <w:szCs w:val="16"/>
              </w:rPr>
            </w:pPr>
            <w:r>
              <w:rPr>
                <w:rFonts w:ascii="Times New Roman" w:hAnsi="Times New Roman"/>
                <w:b/>
                <w:sz w:val="16"/>
                <w:szCs w:val="16"/>
              </w:rPr>
              <w:t>97,72%</w:t>
            </w:r>
          </w:p>
        </w:tc>
      </w:tr>
    </w:tbl>
    <w:p w:rsidR="00440A6E" w:rsidRDefault="00440A6E" w:rsidP="00440A6E">
      <w:pPr>
        <w:spacing w:after="0"/>
        <w:rPr>
          <w:rFonts w:ascii="Times New Roman" w:hAnsi="Times New Roman"/>
          <w:sz w:val="16"/>
          <w:szCs w:val="16"/>
        </w:rPr>
      </w:pPr>
    </w:p>
    <w:p w:rsidR="00440A6E" w:rsidRDefault="00440A6E" w:rsidP="00440A6E">
      <w:pPr>
        <w:rPr>
          <w:rFonts w:ascii="Times New Roman" w:hAnsi="Times New Roman"/>
          <w:b/>
          <w:bCs/>
          <w:sz w:val="20"/>
          <w:szCs w:val="20"/>
        </w:rPr>
      </w:pPr>
      <w:r>
        <w:rPr>
          <w:rFonts w:ascii="Times New Roman" w:hAnsi="Times New Roman"/>
          <w:b/>
          <w:bCs/>
          <w:sz w:val="20"/>
          <w:szCs w:val="20"/>
        </w:rPr>
        <w:br w:type="page"/>
      </w: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lastRenderedPageBreak/>
        <w:t>Članak 2.</w:t>
      </w:r>
    </w:p>
    <w:p w:rsidR="00440A6E" w:rsidRDefault="00440A6E" w:rsidP="00440A6E">
      <w:pPr>
        <w:ind w:firstLine="708"/>
        <w:jc w:val="both"/>
        <w:rPr>
          <w:rFonts w:ascii="Times New Roman" w:eastAsia="Times New Roman" w:hAnsi="Times New Roman" w:cs="Times New Roman"/>
          <w:b/>
          <w:bCs/>
          <w:lang w:eastAsia="hr-HR"/>
        </w:rPr>
      </w:pPr>
      <w:r>
        <w:rPr>
          <w:rFonts w:ascii="Times New Roman" w:hAnsi="Times New Roman" w:cs="Times New Roman"/>
        </w:rPr>
        <w:t>Članak 2. mijenja se i glasi: Prihodi i rashodi, te primici i izdaci po ekonomskoj klasifikaciji utvrđeni u računu prihoda i rashoda, pregledu raspoloživih sredstava iz prethodnih godina i računu financiranja za 2025. godinu prikazuju se kako slijedi:</w:t>
      </w:r>
    </w:p>
    <w:p w:rsidR="00440A6E" w:rsidRDefault="00440A6E" w:rsidP="00440A6E">
      <w:pPr>
        <w:spacing w:after="0"/>
        <w:rPr>
          <w:rFonts w:ascii="Times New Roman" w:hAnsi="Times New Roman"/>
          <w:b/>
          <w:bCs/>
        </w:rPr>
      </w:pPr>
      <w:r>
        <w:rPr>
          <w:rFonts w:ascii="Times New Roman" w:hAnsi="Times New Roman"/>
          <w:b/>
          <w:bCs/>
        </w:rPr>
        <w:t>1.1. RAČUN PRIHODA I RASHODA</w:t>
      </w:r>
    </w:p>
    <w:p w:rsidR="00440A6E" w:rsidRDefault="00440A6E" w:rsidP="00440A6E">
      <w:pPr>
        <w:spacing w:after="0"/>
        <w:rPr>
          <w:rFonts w:ascii="Times New Roman" w:hAnsi="Times New Roman" w:cs="Times New Roman"/>
        </w:rPr>
      </w:pPr>
      <w:r>
        <w:rPr>
          <w:rFonts w:ascii="Times New Roman" w:hAnsi="Times New Roman" w:cs="Times New Roman"/>
        </w:rPr>
        <w:t>PRIHODI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shd w:val="clear" w:color="auto" w:fill="BDD7EE"/>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 Prihodi poslovanja</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1.391.680,24</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-252.660,08</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1.139.020,16</w:t>
            </w:r>
          </w:p>
        </w:tc>
        <w:tc>
          <w:tcPr>
            <w:tcW w:w="96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81,84%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61 Prihodi od poreza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420.113,76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-104.063,76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316.050,00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75,23%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63 Pomoći iz inozemstva i od subjekata unutar općeg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799.401,48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-189.744,43</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609.657,05</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76,26%</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64 Prihodi od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58.100,00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2.574,40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60.674,40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104,43%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65 Prihodi od upravnih i administrativnih pristojbi, pristojbi po posebnim propisima i naknada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102.750,00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37.738,71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140.488,71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136,73%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66 Prihodi od prodaje proizvoda i robe te pruženih usluga, prihodi od donacija te povrati po protestiranim jamstvima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11.315,00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11.550,00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102,08%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68 Kazne, upravne mjere i ostali prihodi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BDD7EE"/>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7 Prihodi od prodaje nefinancijske imovine</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-37.400,00</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w:t>
            </w:r>
          </w:p>
        </w:tc>
        <w:tc>
          <w:tcPr>
            <w:tcW w:w="96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71 Prihodi od prodaje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72 Prihodi od prodaje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PRIHODI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-290.060,08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1.141.620,16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79,74%</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rPr>
          <w:rFonts w:ascii="Times New Roman" w:hAnsi="Times New Roman" w:cs="Times New Roman"/>
        </w:rPr>
      </w:pPr>
      <w:r>
        <w:rPr>
          <w:rFonts w:ascii="Times New Roman" w:hAnsi="Times New Roman" w:cs="Times New Roman"/>
        </w:rPr>
        <w:t xml:space="preserve">RASHODI PREMA EKONOMSKOJ KLASIFIKACIJI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shd w:val="clear" w:color="auto" w:fill="BDD7EE"/>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934.458,46</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16.985,03</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951.443,49</w:t>
            </w:r>
          </w:p>
        </w:tc>
        <w:tc>
          <w:tcPr>
            <w:tcW w:w="96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101,82%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279.813,46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-27.838,98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251.974,48</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90,05%</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236.850,00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419,81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237.269,81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100,18%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3.280,00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105,81%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-4.340,00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2.660,00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46.000,00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146,03%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-13.065,80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29.934,20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69,61%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333.195,00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47.130,00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380.325,00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114,14%</w:t>
            </w:r>
          </w:p>
        </w:tc>
      </w:tr>
      <w:tr w:rsidR="00440A6E" w:rsidTr="00F57898">
        <w:tc>
          <w:tcPr>
            <w:tcW w:w="5171" w:type="dxa"/>
            <w:shd w:val="clear" w:color="auto" w:fill="BDD7EE"/>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497.221,78</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-308.498,81</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188.722,97</w:t>
            </w:r>
          </w:p>
        </w:tc>
        <w:tc>
          <w:tcPr>
            <w:tcW w:w="96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37,96%</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56.650,00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-40.462,50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16.187,50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28,57%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259.571,78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-170.032,56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89.539,22</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34,49%</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-98.003,75</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82.996,25</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45,85%</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-291.513,78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1.140.166,46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79,64%</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rPr>
          <w:rFonts w:ascii="Times New Roman" w:hAnsi="Times New Roman" w:cs="Times New Roman"/>
        </w:rPr>
      </w:pPr>
      <w:r>
        <w:rPr>
          <w:rFonts w:ascii="Times New Roman" w:hAnsi="Times New Roman" w:cs="Times New Roman"/>
        </w:rPr>
        <w:t>PRIHODI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1 OPĆI PRIHODI I PRIMICI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420.113,76</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-103.413,76</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316.700,00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75,38%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420.113,76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-103.413,76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316.700,00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75,38%</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3 Vlastiti prihodi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500,00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600,00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120,00%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Vlastiti prihodi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4 PRIHODI ZA POSEBNE NAMJENE</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171.665,00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39.898,11</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211.563,11</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123,24%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Prihodi za posebne namjene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86.665,00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14.309,40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100.974,40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116,51%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Prihod od komunalnog doprinosa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-911,29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88,71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8,87%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101,69%</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44 Prihod od grobne naknade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176,47%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45 Prihodi od šumskog doprinosa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256,25%</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799.401,48</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-189.244,43</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610.157,05</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76,33%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51 Pomoći iz državnog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761.578,02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-174.237,28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587.340,74</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77,12%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52 Pomoći iz županijskog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53 Pomoći iz EU fondova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13.873,46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-557,15</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95,98%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55 Pomoći iz državnog proračuna knjižnica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106,15%</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7 PRIHODI OD PRODAJE ILI ZAMJENE NEFINANCIJSKE IMOVINE</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40.000,00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-37.400,00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2.600,00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6,50%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71 Prihodi od prodaje nefinanc.imovine i naknade šteta s naslova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-37.400,00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PRIHODI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-290.060,08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1.141.620,16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79,74%</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rPr>
          <w:rFonts w:ascii="Times New Roman" w:hAnsi="Times New Roman" w:cs="Times New Roman"/>
        </w:rPr>
      </w:pPr>
      <w:r>
        <w:rPr>
          <w:rFonts w:ascii="Times New Roman" w:hAnsi="Times New Roman" w:cs="Times New Roman"/>
        </w:rPr>
        <w:t>RASHODI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1 OPĆI PRIHODI I PRIMICI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420.113,76</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-107.113,76</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313.000,00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74,50%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420.113,76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-107.113,76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313.000,00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74,50%</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3 Vlastiti prihodi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500,00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600,00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120,00%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Vlastiti prihodi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4 PRIHODI ZA POSEBNE NAMJENE</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171.665,00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35.644,41</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207.309,41</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120,76%</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Prihodi za posebne namjene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86.665,00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13.409,40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100.074,40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115,47%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Prihod od komunalnog doprinosa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101,69%</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44 Prihod od grobne naknade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176,47%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45 Prihodi od šumskog doprinosa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9.235,01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17.235,01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215,44%</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799.401,48</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-188.744,43</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610.657,05</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76,39%</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51 Pomoći iz državnog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761.578,02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-173.737,28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587.840,74</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77,19%</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52 Pomoći iz županijskog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13.873,46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-557,15</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95,98%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55 Pomoći iz državnog proračuna knjižnica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106,15%</w:t>
            </w: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7 PRIHODI OD PRODAJE ILI ZAMJENE NEFINANCIJSKE IMOVINE</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40.000,00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-31.400,00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8.600,00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21,50%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71 Prihodi od prodaje nefinanc.imovine i naknade šteta s naslova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-31.400,00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21,50%</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-291.513,78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1.140.166,46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79,64%</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rPr>
          <w:rFonts w:ascii="Times New Roman" w:hAnsi="Times New Roman" w:cs="Times New Roman"/>
        </w:rPr>
      </w:pPr>
      <w:r>
        <w:rPr>
          <w:rFonts w:ascii="Times New Roman" w:hAnsi="Times New Roman" w:cs="Times New Roman"/>
        </w:rPr>
        <w:t>RASHODI PREMA FUNKCIJSKOJ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FUNKCIJA I OPIS FUNKCIJE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01 Opće javne usluge</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319.217,07</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-13.799,69</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305.417,38</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95,68%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0111 Izvršna i zakonodavna tijela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308.753,46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-7.949,69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300.803,77</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97,43%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0133 Ostale opće usluge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10.463,61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-5.850,00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4.613,61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44,09%</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03 Javni red i sigurnost</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166,67%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032 Usluge protupožarne zaštite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166,67%</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04 Ekonomski poslovi</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0411 Opći ekonomski i trgovački poslovi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0451 Cestovni promet</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05 Zaštita okoliša</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209.900,00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57.476,11</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267.376,11</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127,38%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051 Gospodarenje otpadom</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78,57%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052 Gospodarenje otpadnim vodama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056 Poslovi i usluge zaštite okoliša koji nisu drugdje svrstani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-1.023,89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1.876,11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64,69%</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06 Usluge unaprjeđenja stanovanja i zajednice</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372.500,00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-126.359,19</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246.140,81</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66,08%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063 Opskrba vodom</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064 Ulična rasvjeta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-99.353,75</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81.646,25</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45,11%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066 Rashodi vezani uz stanovanje i kom. pogodnosti koji nisu drugdje svrstani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191.500,00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-27.005,44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164.494,56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85,90%</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07 Zdravstvo</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36.000,00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-14.412,50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21.587,50</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59,97%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074 Službe javnog zdravstva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0760 Poslovi i usluge zdravstva koji nisu drugdje svrstani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36.000,00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-14.712,50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21.287,50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59,13%</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08 Rekreacija, kultura i religija</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356.863,17</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-178.182,71</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178.680,46</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081 Službe rekreacije i sporta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082 Službe kulture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75,93%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0820 Služba kulture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43.861,78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-2.088,56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41.773,22</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95,24%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084 Religijske i druge službe zajednice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43.351,39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-19.736,39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23.615,00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54,47%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085 Istraživanje i razvoj rekreacije, kulture i religije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7.350,00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210,53%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086 Rashodi za rekreaciju, kulturu i religiju koji nisu drugdje svrstani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-157.207,76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56.792,24</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26,54%</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09 Obrazovanje</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52.000,00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12.434,20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64.434,20</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123,91%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0911 Predškolsko obrazovanje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151,92%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0912 Osnovno obrazovanje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-965,80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21.034,20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95,61%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098 Usluge obrazovanja koje nisu drugdje svrstane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97,50%</w:t>
            </w:r>
          </w:p>
        </w:tc>
      </w:tr>
      <w:tr w:rsidR="00440A6E" w:rsidTr="00F57898">
        <w:tc>
          <w:tcPr>
            <w:tcW w:w="5171" w:type="dxa"/>
            <w:shd w:val="clear" w:color="auto" w:fill="E2EFDA"/>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10 Socijalna zaštita</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37.200,00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-10.670,00</w:t>
            </w:r>
          </w:p>
        </w:tc>
        <w:tc>
          <w:tcPr>
            <w:tcW w:w="130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26.530,00</w:t>
            </w:r>
          </w:p>
        </w:tc>
        <w:tc>
          <w:tcPr>
            <w:tcW w:w="960" w:type="dxa"/>
            <w:shd w:val="clear" w:color="auto" w:fill="E2EFDA"/>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71,32%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107 Socijalna pomoć stanovništvu koje nije obuhvaćeno redovnim socijalnim programima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29,41%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109 Aktivnosti socijalne zaštite koje nisu drugdje svrstane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20.200,00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1.330,00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21.530,00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106,58%</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-291.513,78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1.140.166,46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79,64%</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rPr>
          <w:rFonts w:ascii="Times New Roman" w:hAnsi="Times New Roman" w:cs="Times New Roman"/>
        </w:rPr>
      </w:pPr>
    </w:p>
    <w:p w:rsidR="00440A6E" w:rsidRDefault="00440A6E" w:rsidP="00A66748">
      <w:pPr>
        <w:pStyle w:val="Odlomakpopisa"/>
        <w:numPr>
          <w:ilvl w:val="1"/>
          <w:numId w:val="11"/>
        </w:numPr>
        <w:spacing w:after="0"/>
        <w:rPr>
          <w:rFonts w:ascii="Times New Roman" w:hAnsi="Times New Roman"/>
          <w:b/>
          <w:bCs/>
        </w:rPr>
      </w:pPr>
      <w:r>
        <w:rPr>
          <w:rFonts w:ascii="Times New Roman" w:hAnsi="Times New Roman"/>
          <w:b/>
          <w:bCs/>
        </w:rPr>
        <w:t>RAČUN FINANCIRANJA</w:t>
      </w:r>
    </w:p>
    <w:p w:rsidR="00440A6E" w:rsidRDefault="00440A6E" w:rsidP="00440A6E">
      <w:pPr>
        <w:spacing w:after="0"/>
        <w:rPr>
          <w:rFonts w:ascii="Times New Roman" w:hAnsi="Times New Roman" w:cs="Times New Roman"/>
        </w:rPr>
      </w:pPr>
      <w:r>
        <w:rPr>
          <w:rFonts w:ascii="Times New Roman" w:hAnsi="Times New Roman" w:cs="Times New Roman"/>
        </w:rPr>
        <w:t>RAČUN FINANCIRANJA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shd w:val="clear" w:color="auto" w:fill="BDD7EE"/>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54 Izdaci za otplatu glavnice primljenih kredita i zajmova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BDD7EE"/>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8 Primici od financijske imovine i zaduživanja</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BDD7EE"/>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81 Primljeni povrati glavnica danih zajmova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960" w:type="dxa"/>
          </w:tcPr>
          <w:p w:rsidR="00440A6E" w:rsidRDefault="00440A6E" w:rsidP="00F57898">
            <w:pPr>
              <w:spacing w:after="0"/>
              <w:jc w:val="right"/>
              <w:rPr>
                <w:rFonts w:ascii="Times New Roman" w:hAnsi="Times New Roman" w:cs="Times New Roman"/>
                <w:sz w:val="18"/>
                <w:szCs w:val="18"/>
              </w:rPr>
            </w:pP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rPr>
          <w:rFonts w:ascii="Times New Roman" w:hAnsi="Times New Roman" w:cs="Times New Roman"/>
        </w:rPr>
      </w:pPr>
      <w:r>
        <w:rPr>
          <w:rFonts w:ascii="Times New Roman" w:hAnsi="Times New Roman" w:cs="Times New Roman"/>
        </w:rPr>
        <w:t>RAČUN FINANCIRANJA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PRIMICI OD FINANCIJSKE IMOVINE</w:t>
            </w: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8 PRIMICI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86.500,00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-86.500,00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81 Namjenski primici od zaduživanja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IZDACI OD FINANCIJSKE IMOVINE</w:t>
            </w: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FFE699"/>
          </w:tcPr>
          <w:p w:rsidR="00440A6E" w:rsidRDefault="00440A6E" w:rsidP="00F57898">
            <w:pPr>
              <w:spacing w:after="0"/>
              <w:rPr>
                <w:rFonts w:ascii="Times New Roman" w:hAnsi="Times New Roman" w:cs="Times New Roman"/>
                <w:b/>
                <w:sz w:val="16"/>
                <w:szCs w:val="18"/>
              </w:rPr>
            </w:pPr>
            <w:r>
              <w:rPr>
                <w:rFonts w:ascii="Times New Roman" w:hAnsi="Times New Roman" w:cs="Times New Roman"/>
                <w:b/>
                <w:sz w:val="16"/>
                <w:szCs w:val="18"/>
              </w:rPr>
              <w:t>8 PRIMICI</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86.500,00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-86.500,00</w:t>
            </w:r>
          </w:p>
        </w:tc>
        <w:tc>
          <w:tcPr>
            <w:tcW w:w="130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960" w:type="dxa"/>
            <w:shd w:val="clear" w:color="auto" w:fill="FFE699"/>
          </w:tcPr>
          <w:p w:rsidR="00440A6E" w:rsidRDefault="00440A6E"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81 Namjenski primici od zaduživanja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1300" w:type="dxa"/>
          </w:tcPr>
          <w:p w:rsidR="00440A6E" w:rsidRDefault="00440A6E" w:rsidP="00F57898">
            <w:pPr>
              <w:spacing w:after="0"/>
              <w:jc w:val="right"/>
              <w:rPr>
                <w:rFonts w:ascii="Times New Roman" w:hAnsi="Times New Roman" w:cs="Times New Roman"/>
                <w:sz w:val="18"/>
                <w:szCs w:val="18"/>
              </w:rPr>
            </w:pPr>
          </w:p>
        </w:tc>
        <w:tc>
          <w:tcPr>
            <w:tcW w:w="960" w:type="dxa"/>
          </w:tcPr>
          <w:p w:rsidR="00440A6E" w:rsidRDefault="00440A6E" w:rsidP="00F57898">
            <w:pPr>
              <w:spacing w:after="0"/>
              <w:jc w:val="right"/>
              <w:rPr>
                <w:rFonts w:ascii="Times New Roman" w:hAnsi="Times New Roman" w:cs="Times New Roman"/>
                <w:sz w:val="18"/>
                <w:szCs w:val="18"/>
              </w:rPr>
            </w:pP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3.</w:t>
      </w:r>
    </w:p>
    <w:p w:rsidR="00440A6E" w:rsidRDefault="00440A6E" w:rsidP="00440A6E">
      <w:pPr>
        <w:spacing w:after="0"/>
        <w:ind w:firstLine="360"/>
        <w:jc w:val="both"/>
        <w:rPr>
          <w:rFonts w:ascii="Times New Roman" w:hAnsi="Times New Roman"/>
        </w:rPr>
      </w:pPr>
      <w:r>
        <w:rPr>
          <w:rFonts w:ascii="Times New Roman" w:hAnsi="Times New Roman"/>
        </w:rPr>
        <w:t>Članak 3. mijenja se i glasi: Rashodi poslovanja i rashodi za nabavu nefinancijske imovine u Proračunu Općine Gornji Bogićevci za 2025. godinu raspoređeni su u Posebnom dijelu proračuna prema organizacijskoj i programskoj klasifikaciji na razini skupine ekonomske klasifikacije kako slijedi.</w:t>
      </w:r>
    </w:p>
    <w:p w:rsidR="00440A6E" w:rsidRDefault="00440A6E" w:rsidP="00440A6E">
      <w:pPr>
        <w:spacing w:after="0"/>
        <w:jc w:val="both"/>
        <w:rPr>
          <w:rFonts w:ascii="Times New Roman" w:hAnsi="Times New Roman"/>
        </w:rPr>
      </w:pPr>
    </w:p>
    <w:p w:rsidR="00440A6E" w:rsidRDefault="00440A6E" w:rsidP="00A66748">
      <w:pPr>
        <w:pStyle w:val="Odlomakpopisa"/>
        <w:numPr>
          <w:ilvl w:val="0"/>
          <w:numId w:val="11"/>
        </w:numPr>
        <w:rPr>
          <w:rFonts w:ascii="Times New Roman" w:hAnsi="Times New Roman"/>
          <w:b/>
          <w:bCs/>
          <w:sz w:val="24"/>
          <w:szCs w:val="24"/>
        </w:rPr>
      </w:pPr>
      <w:r>
        <w:rPr>
          <w:rFonts w:ascii="Times New Roman" w:hAnsi="Times New Roman"/>
          <w:b/>
          <w:bCs/>
          <w:sz w:val="24"/>
          <w:szCs w:val="24"/>
        </w:rPr>
        <w:t>POSEBNI DIO</w:t>
      </w:r>
    </w:p>
    <w:p w:rsidR="00440A6E" w:rsidRDefault="00440A6E" w:rsidP="00440A6E">
      <w:pPr>
        <w:spacing w:after="0"/>
        <w:rPr>
          <w:rFonts w:ascii="Times New Roman" w:hAnsi="Times New Roman" w:cs="Times New Roman"/>
          <w:b/>
          <w:bCs/>
        </w:rPr>
      </w:pPr>
      <w:r>
        <w:rPr>
          <w:rFonts w:ascii="Times New Roman" w:hAnsi="Times New Roman" w:cs="Times New Roman"/>
          <w:b/>
          <w:bCs/>
        </w:rPr>
        <w:t>2.1. ORGANIZACIJSKA KLASIFIKACIJA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OZNAKA I OPIS</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RAZDJEL 001 OPĆINSKA PREDSTAVNIČKA I IZVRŠNA TIJELA</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107.580,00</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-346,02</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107.233,98</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99,68%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 xml:space="preserve">GLAVA 00101 OPĆINSKA PREDSTAVNIČKA I IZVRŠNA </w:t>
            </w:r>
            <w:r>
              <w:rPr>
                <w:rFonts w:ascii="Times New Roman" w:hAnsi="Times New Roman" w:cs="Times New Roman"/>
                <w:sz w:val="18"/>
                <w:szCs w:val="18"/>
              </w:rPr>
              <w:lastRenderedPageBreak/>
              <w:t>TIJELA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lastRenderedPageBreak/>
              <w:t>107.580,00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-346,02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107.233,98</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99,68%</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lastRenderedPageBreak/>
              <w:t>RAZDJEL 002 JEDINSTVENI UPRAVNI ODJEL</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1.410.600,24</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-377.667,76</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1.032.932,48</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73,23%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GLAVA 00201 JEDINSTVENI UPRAVNI ODJEL</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1.366.738,46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-375.579,20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991.159,26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72,52%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GLAVA 00202 NARODNA KNJIŽNICA I ČITAONICA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43.861,78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-2.088,56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41.773,22</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95,24%</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1.518.180,24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-378.013,78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1.140.166,46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75,10%</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rPr>
      </w:pPr>
    </w:p>
    <w:p w:rsidR="00440A6E" w:rsidRDefault="00440A6E" w:rsidP="00A66748">
      <w:pPr>
        <w:pStyle w:val="Odlomakpopisa"/>
        <w:numPr>
          <w:ilvl w:val="1"/>
          <w:numId w:val="11"/>
        </w:numPr>
        <w:spacing w:after="0"/>
        <w:rPr>
          <w:rFonts w:ascii="Times New Roman" w:hAnsi="Times New Roman"/>
          <w:b/>
          <w:bCs/>
        </w:rPr>
      </w:pPr>
      <w:r>
        <w:rPr>
          <w:rFonts w:ascii="Times New Roman" w:hAnsi="Times New Roman"/>
          <w:b/>
          <w:bCs/>
        </w:rPr>
        <w:t>PROGRAMSKA KLASIFIKACIJA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OZNAKA I OPIS</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ZA 2025.</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POVEĆANJE/SMANJENJE</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NOVI PLAN ZA 2025.</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INDEKS 4/2</w:t>
            </w:r>
          </w:p>
        </w:tc>
      </w:tr>
      <w:tr w:rsidR="00440A6E" w:rsidTr="00F57898">
        <w:tc>
          <w:tcPr>
            <w:tcW w:w="5171"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960" w:type="dxa"/>
            <w:shd w:val="clear" w:color="auto" w:fill="505050"/>
          </w:tcPr>
          <w:p w:rsidR="00440A6E" w:rsidRDefault="00440A6E"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RAZDJEL 001 OPĆINSKA PREDSTAVNIČKA I IZVRŠNA TIJELA</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107.580,00</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-346,02</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107.233,98</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99,68%</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GLAVA 00101 OPĆINSKA PREDSTAVNIČKA I IZVRŠNA TIJELA</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107.580,00</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-346,02</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107.233,98</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99,68%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84.580,00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-38.733,40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45.846,60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54,21%</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6.798,66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6.798,66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44.838,72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44.838,72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18.000,00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-13.250,00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4.750,00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26,39%</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1001 OPĆINSKO VIJEĆE I OPĆINSKI NAČELNIK</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103.180,00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616,49</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103.796,49</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100,60%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A100101 Općinsko vijeće i Općinski načelnik</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73.300,00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-12.661,15</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60.638,85</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82,73%</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56.300,00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-17.661,15</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38.638,85</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68,63%</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56.300,00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-17.661,15</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38.638,85</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68,63%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31.700,00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3.859,80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35.559,80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112,18%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-21.520,95</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3.079,05</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12,52%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18.000,00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18.000,00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23,53%</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23,53%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23,53%</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A100102 Lokalni izbori</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22.100,00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13.270,14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35.370,14</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160,05%</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17.100,00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-13.559,74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3.540,26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20,70%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17.100,00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-13.559,74</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3.540,26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20,70%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-13.559,74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3.540,26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20,70%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4.798,66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4.798,66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4.798,66</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4.798,66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4.798,66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4.798,66</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22.031,22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22.031,22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22.031,22</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22.031,22</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22.031,22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22.031,22</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A100103 Financiranje političkih stranaka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980,00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980,00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980,00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980,00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A100104 Obilježavanje Dana Općine i ostale manifestascije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6.800,00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7,50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6.807,50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100,11%</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6.800,00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-6.800,00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4.807,50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4.807,50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4.807,50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4.807,50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4.807,50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4.807,50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1002 VIJEĆE SRPSKE NACIONALNE MANJINE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4.400,00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-962,51</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3.437,49</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78,12%</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A100201 Vijeće srpske nacionalne manjine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4.400,00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-962,51</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3.437,49</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78,12%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3.400,00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-712,51</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2.687,49</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79,04%</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-712,51</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2.687,49</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79,04%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-712,51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2.687,49</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79,04%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750,00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75,00%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75,00%</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RAZDJEL 002 JEDINSTVENI UPRAVNI ODJEL</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1.410.600,24</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-377.667,76</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1.032.932,48</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73,23%</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GLAVA 00201 JEDINSTVENI UPRAVNI ODJEL</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1.366.738,46</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-375.579,20</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991.159,26</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72,52%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301.121,98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-66.241,80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234.880,18</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78,00%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86.665,00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6.610,74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93.275,74</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107,63%</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59.000,00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-43.838,72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15.161,28</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25,70%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176,47%</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9.235,01</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17.235,01</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215,44%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743.578,02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-160.487,28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583.090,74</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78,42%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54 Pomoći od izvanproračunskih korisnika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13.873,46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-557,15</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13.316,31</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95,98%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-36.400,00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3.600,00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81 Namjenski primici od zaduživanja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86.500,00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-86.500,00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1003 PRIPREMA I DONOŠENJE AKATA IZ DJELOKRUGA TIJELA</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272.300,00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-88.782,88</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183.517,12</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67,40%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A100301 Administrativno i stručno osoblje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149.300,00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-10.020,72</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139.279,28</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93,29%</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146.300,00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-23.512,68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122.787,32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83,93%</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146.300,00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-23.512,68</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122.787,32</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83,93%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-2.490,00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78.110,00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96,91%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62.600,00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-20.152,68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42.447,32</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67,81%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-870,00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2.230,00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71,94%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454,46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3.454,46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115,15%</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454,46</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3.454,46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115,15%</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-345,54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2.654,46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88,48%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12.600,00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12.600,00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12.600,00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12.600,00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12.600,00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437,50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437,50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437,50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437,50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437,50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437,50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A100302 Komunalni redar</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6.500,00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118,18%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6.500,00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118,18%</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118,18%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118,18%</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lastRenderedPageBreak/>
              <w:t>AKTIVNOST A100303 Tekuće i investicijsko održavanje građevinskih objekata, postrojenja i opreme i dr.</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13.450,00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22.450,00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249,44%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3.100,00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12.100,00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134,44%</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134,44%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12.100,00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134,44%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1.350,00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A100304 Intelektualne i osobne usluge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A100305 Informatizacija uprave i nabava namještaja i opreme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2.287,84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9.287,84</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132,68%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2.287,84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9.287,84</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132,68%</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2.287,84</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9.287,84</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132,68%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2.287,84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9.287,84</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132,68%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A100306 Izdaci za financijsku imovinu i otplate zajmova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86.500,00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-86.500,00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81 Namjenski primici od zaduživanja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86.500,00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-86.500,00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54 Izdaci za otplatu glavnice primljenih kredita i zajmova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1004 RAZVOJ GOSPODARSTVA</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-4.340,00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2.660,00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38,00%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A100401 Poticanje poljoprivrede i gospodarskih subjekata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-4.340,00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2.660,00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38,00%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-4.340,00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2.660,00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38,00%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-4.340,00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2.660,00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-4.340,00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2.660,00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38,00%</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1005 ODRŽAVANJE KOMUNALNE INFRASTRUKTURE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146.000,00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-4.414,58</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141.585,42</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96,98%</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A100501 Održavanje nerazvrstanih cesta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44.000,00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13.692,10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57.692,10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131,12%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11.675,00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11.675,00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11.675,00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11.675,00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11.675,00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11.675,00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41.865,00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3.835,00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45.700,00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109,16%</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41.865,00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3.835,00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45.700,00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109,16%</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21.865,00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109,76%</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21.700,00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108,50%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317,10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317,10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317,10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317,10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317,10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317,10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2.135,00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-2.135,00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A100502 Održavanje javnih površina na kojima nije dopušten promet vozilima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A100503 Održavanje građevina javne odvodnje oborinskih voda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A100504 Održavanje javnih zelenih površina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33.000,00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-26.253,34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6.746,66</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20,44%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33.000,00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-26.253,34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6.746,66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20,44%</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33.000,00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-26.253,34</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6.746,66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20,44%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-26.253,34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6.746,66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20,44%</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A100505 Održavanje građevina, uređaja i predmeta javne namjene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11.400,00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11.400,00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602,22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602,22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602,22</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602,22</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602,22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602,22</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6.400,00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6.400,00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4.397,78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4.397,78</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4.397,78</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4.397,78</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4.397,78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4.397,78</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A100506 Održavanje groblja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-5.153,34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17.846,66</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77,59%</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-253,34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6.746,66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96,38%</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-253,34</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6.746,66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96,38%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-253,34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6.746,66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96,38%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-4.900,00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11.100,00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69,38%</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-4.900,00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11.100,00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69,38%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-4.900,00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11.100,00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69,38%</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A100507 Održavanje čistoće javnih površina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3.900,00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97,50%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3.900,00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97,50%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97,50%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97,50%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A100508 Održavanje javne rasvjete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11.000,00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11.000,00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1006 GRAĐENJE KOMUNALNE INFRASTRUKTURE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434.000,00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-280.152,37</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153.847,63</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35,45%</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K100607 Centar općine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14.659,14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14.659,14</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14.659,14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14.659,14</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14.659,14</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14.659,14</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14.659,14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14.659,14</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K100608 Cesta Stari kraj- groblje LU Vepar</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K100601 Izgradnja prilazne ceste i mosta na potoku Draževac</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-38.250,00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1.750,00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1.750,00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1.750,00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1.750,00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K100602 Izgradnja dječjeg igrališta u naselju Trnava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-46.001,14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2.998,86</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6,12%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2.206,19</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2.206,19</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2.206,19</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2.206,19</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2.206,19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2.206,19</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49.000,00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-48.207,33</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792,67</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1,62%</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49.000,00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-48.207,33</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792,67</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49.000,00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-48.207,33</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792,67</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1,62%</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K100603 Uređenje parkirališta kod doma Kosovac</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56.000,00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-54.758,04</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1.241,96</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-13.758,04</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1.241,96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8,28%</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-13.758,04</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1.241,96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8,28%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-13.758,04</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1.241,96</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8,28%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24.000,00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-24.000,00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K100604 Uređenje okoliša Društvenog doma Smrtić-Ratkovac i izgradnja nadstrešnice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58.000,00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-6.448,58</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51.551,42</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88,88%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25.800,00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25.800,00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-1.381,46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6.618,54</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82,73%</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-1.381,46</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6.618,54</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82,73%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-1.381,46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6.618,54</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82,73%</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19.200,00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-4.067,12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15.132,88</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78,82%</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-4.067,12</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15.132,88</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78,82%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-4.067,12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15.132,88</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78,82%</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K100605 Izgradnja i opremanje dječjeg vrtića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lastRenderedPageBreak/>
              <w:t>KAPITALNI PROJEKT K100606 Modernizacija javne rasvjete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181.000,00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-99.353,75</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81.646,25</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45,11%</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181.000,00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-99.353,75</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81.646,25</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45,11%</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-99.353,75</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81.646,25</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45,11%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-99.353,75</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81.646,25</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45,11%</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1007 GOSPODARENJE OTPADOM</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9.900,00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-2.523,89</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7.376,11</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74,51%</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A100701 Poticajna naknada za smanjenje količine miješanog komunalnog otpada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2.900,00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-1.023,89</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1.876,11</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64,69%</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2.900,00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-1.023,89</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1.876,11</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64,69%</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-1.023,89</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1.876,11</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64,69%</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-1.023,89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1.876,11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64,69%</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A100702 Naknada za korištenje odlagališta komunalnog otpada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78,57%</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78,57%</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78,57%</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78,57%</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1008 PREDŠKOLSKI ODGOJ, OBRAZOVANJE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52.000,00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12.434,20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64.434,20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123,91%</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A100801 Predškolski odgoj</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39.500,00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151,92%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39.500,00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151,92%</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39.500,00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151,92%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151,92%</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A100802 Osnovno i srednjoškolsko obrazovanje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-965,80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21.034,20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95,61%</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-965,80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21.034,20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95,61%</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-965,80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21.034,20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95,61%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-965,80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21.034,20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95,61%</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A100803 Visoko obrazovanje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3.900,00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97,50%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3.900,00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97,50%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97,50%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3.900,00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97,50%</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1009 JAVNE POTREBE U KULTURI, SPORTU, VJERSKIM ZAJEDNICAMA I OSTALO</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99.001,39</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-18.886,39</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80.115,00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80,92%</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A100901 Djelatnost kulturno-umjetničkih društava, udruga i RP Bljesak</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27.000,00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20.500,00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75,93%</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20.500,00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75,93%</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75,93%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75,93%</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A100902 Vjerske zajednice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43.351,39</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-19.736,39</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23.615,00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54,47%</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4.715,00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4.715,00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4.715,00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4.715,00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4.715,00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4.715,00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43.351,39</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-25.051,39</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18.300,00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42,21%</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43.351,39</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-25.051,39</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42,21%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43.351,39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-25.051,39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42,21%</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A100903 Utvrda Bedem</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6.650,00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7.350,00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210,53%</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6.650,00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7.350,00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14.000,00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210,53%</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7.350,00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210,53%</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7.350,00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210,53%</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A100904 Sportske zajednice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1010 SOCIJALNE POTREBE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51.073,46</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-10.650,79</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40.422,67</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79,15%</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A101001 Jednokratne novčane pomoći</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29,41%</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29,41%</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29,41%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29,41%</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A101002 Pomoći u rješavanju prve stambene nekretnine mladih obitelji</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1.330,00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17.330,00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108,31%</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1.330,00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17.330,00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108,31%</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1.330,00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17.330,00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108,31%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1.330,00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17.330,00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108,31%</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A101003 Humanitarna skrb kroz udruge i druge organizacije - Crveni križ</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4.200,00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4.200,00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4.200,00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4.200,00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A101004 Javni radovi</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13.873,46</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19,21</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13.892,67</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100,14%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576,36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576,36</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576,36</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576,36</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576,36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576,36</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54 Pomoći od izvanproračunskih korisnika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13.873,46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-557,15</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13.316,31</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95,98%</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13.873,46</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-557,15</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13.316,31</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95,98%</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13.513,46</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-537,28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12.976,18</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96,02%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360,00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-19,87</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340,13</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94,48%</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1011 DODATNE USLUGE U ZDRAVSTVU</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36.000,00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-14.412,50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21.587,50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59,97%</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A101102 Ostale tekuće donacije u zdravstvu</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179,92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179,92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179,92</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179,92</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179,92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179,92</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120,08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120,08</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120,08</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120,08</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120,08</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A101101 Deratizacija, dezinsekcija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-14.712,50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21.287,50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59,13%</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-12.325,00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13.675,00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52,60%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-12.325,00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13.675,00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52,60%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-12.325,00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13.675,00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52,60%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4.012,50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4.012,50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4.012,50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4.012,50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4.012,50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4.012,50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3.600,00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3.600,00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3.600,00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3.600,00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3.600,00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3.600,00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1012 ORGANIZIRANJE ZAŠTITE I SPAŠAVANJA</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22.963,61</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11.650,00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34.613,61</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150,73%</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A101201 DVD</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166,67%</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621,98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621,98</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17.378,02</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29.378,02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169,05%</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29.378,02</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169,05%</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29.378,02</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169,05%</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A101202 Civilna zaštita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-336,39</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3.963,61</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92,18%</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-336,39</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963,61</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74,12%</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-336,39</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963,61</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74,12%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-336,39</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963,61</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74,12%</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A101203 HGSS</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663,61</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-13,61</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650,00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97,95%</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663,61</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-13,61</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650,00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97,95%</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663,61</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-13,61</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97,95%</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663,61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-13,61</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650,00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97,95%</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1013 UPRAVLJANJE IMOVINOM</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31.000,00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-30.000,00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1.000,00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3,23%</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A101302 Fotonaponske elektrane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A101303 Opremanje kuhinje -dom GB</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A101301 Rekonstrukcija vijećnice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100,00%</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1014 RAZVOJ SUSTAVA VODOOPSKRBE I ODVODNJE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60.000,00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260.000,00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130,00%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A101401 Kapitalne pomoći trgovačkim društvima  u javnom sektoru - odvodnja VZS</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60.000,00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260.000,00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60.000,00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260.000,00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130,00%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60.000,00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260.000,00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130,00%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A101402 Kapitalne pomoći trgovačkim društvima  u javnom sektoru - vodoopskrba VZS</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A101403 Kapitalne pomoći trgovačkim društvima  u javnom sektoru - odlagalište-nab.opreme</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1015 PROSTORNO PLANIRANJE</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5.500,00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-5.500,00</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A101501 Izmjene i dopune prostornog plana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rPr>
          <w:trHeight w:val="400"/>
        </w:trPr>
        <w:tc>
          <w:tcPr>
            <w:tcW w:w="5171" w:type="dxa"/>
            <w:shd w:val="clear" w:color="auto" w:fill="FFC000"/>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GLAVA 00202 NARODNA KNJIŽNICA I ČITAONICA</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43.861,78</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-2.088,56</w:t>
            </w:r>
          </w:p>
        </w:tc>
        <w:tc>
          <w:tcPr>
            <w:tcW w:w="130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41.773,22</w:t>
            </w:r>
          </w:p>
        </w:tc>
        <w:tc>
          <w:tcPr>
            <w:tcW w:w="960" w:type="dxa"/>
            <w:shd w:val="clear" w:color="auto" w:fill="FFC000"/>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95,24%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34.411,78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-2.138,56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32.273,22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93,79%</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55 Pomoći iz državnog proračuna knjižnica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8.950,00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9.500,00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106,15%</w:t>
            </w:r>
          </w:p>
        </w:tc>
      </w:tr>
      <w:tr w:rsidR="00440A6E" w:rsidTr="00F57898">
        <w:trPr>
          <w:trHeight w:val="540"/>
        </w:trPr>
        <w:tc>
          <w:tcPr>
            <w:tcW w:w="5171" w:type="dxa"/>
            <w:shd w:val="clear" w:color="auto" w:fill="17365D"/>
            <w:vAlign w:val="center"/>
          </w:tcPr>
          <w:p w:rsidR="00440A6E" w:rsidRDefault="00440A6E"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1016 NARODNA KNJIŽNICA I ČITAONICA</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43.861,78</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-2.088,56</w:t>
            </w:r>
          </w:p>
        </w:tc>
        <w:tc>
          <w:tcPr>
            <w:tcW w:w="130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41.773,22</w:t>
            </w:r>
          </w:p>
        </w:tc>
        <w:tc>
          <w:tcPr>
            <w:tcW w:w="960" w:type="dxa"/>
            <w:shd w:val="clear" w:color="auto" w:fill="17365D"/>
            <w:vAlign w:val="center"/>
          </w:tcPr>
          <w:p w:rsidR="00440A6E" w:rsidRDefault="00440A6E"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95,24%</w:t>
            </w:r>
          </w:p>
        </w:tc>
      </w:tr>
      <w:tr w:rsidR="00440A6E" w:rsidTr="00F57898">
        <w:trPr>
          <w:trHeight w:val="540"/>
        </w:trPr>
        <w:tc>
          <w:tcPr>
            <w:tcW w:w="5171" w:type="dxa"/>
            <w:shd w:val="clear" w:color="auto" w:fill="DAE8F2"/>
            <w:vAlign w:val="center"/>
          </w:tcPr>
          <w:p w:rsidR="00440A6E" w:rsidRDefault="00440A6E" w:rsidP="00F57898">
            <w:pPr>
              <w:spacing w:after="0"/>
              <w:rPr>
                <w:rFonts w:ascii="Times New Roman" w:hAnsi="Times New Roman" w:cs="Times New Roman"/>
                <w:b/>
                <w:sz w:val="18"/>
                <w:szCs w:val="18"/>
              </w:rPr>
            </w:pPr>
            <w:r>
              <w:rPr>
                <w:rFonts w:ascii="Times New Roman" w:hAnsi="Times New Roman" w:cs="Times New Roman"/>
                <w:b/>
                <w:sz w:val="18"/>
                <w:szCs w:val="18"/>
              </w:rPr>
              <w:t>AKTIVNOST A101601 Narodna knjižnica i čitaonica</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43.861,78</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-2.088,56</w:t>
            </w:r>
          </w:p>
        </w:tc>
        <w:tc>
          <w:tcPr>
            <w:tcW w:w="130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41.773,22</w:t>
            </w:r>
          </w:p>
        </w:tc>
        <w:tc>
          <w:tcPr>
            <w:tcW w:w="960" w:type="dxa"/>
            <w:shd w:val="clear" w:color="auto" w:fill="DAE8F2"/>
            <w:vAlign w:val="center"/>
          </w:tcPr>
          <w:p w:rsidR="00440A6E" w:rsidRDefault="00440A6E" w:rsidP="00F57898">
            <w:pPr>
              <w:spacing w:after="0"/>
              <w:jc w:val="right"/>
              <w:rPr>
                <w:rFonts w:ascii="Times New Roman" w:hAnsi="Times New Roman" w:cs="Times New Roman"/>
                <w:b/>
                <w:sz w:val="18"/>
                <w:szCs w:val="18"/>
              </w:rPr>
            </w:pPr>
            <w:r>
              <w:rPr>
                <w:rFonts w:ascii="Times New Roman" w:hAnsi="Times New Roman" w:cs="Times New Roman"/>
                <w:b/>
                <w:sz w:val="18"/>
                <w:szCs w:val="18"/>
              </w:rPr>
              <w:t>95,24%</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34.411,78</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-2.138,56</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32.273,22</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93,79%</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30.290,00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1.983,22</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32.273,22</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106,55%</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3.483,82</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28.483,82</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113,94%</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5.290,00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-1.750,60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3.539,40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66,91%</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250,00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440A6E" w:rsidTr="00F57898">
        <w:tc>
          <w:tcPr>
            <w:tcW w:w="5171" w:type="dxa"/>
            <w:shd w:val="clear" w:color="auto" w:fill="CBFFCB"/>
          </w:tcPr>
          <w:p w:rsidR="00440A6E" w:rsidRDefault="00440A6E" w:rsidP="00F57898">
            <w:pPr>
              <w:spacing w:after="0"/>
              <w:rPr>
                <w:rFonts w:ascii="Times New Roman" w:hAnsi="Times New Roman" w:cs="Times New Roman"/>
                <w:sz w:val="16"/>
                <w:szCs w:val="18"/>
              </w:rPr>
            </w:pPr>
            <w:r>
              <w:rPr>
                <w:rFonts w:ascii="Times New Roman" w:hAnsi="Times New Roman" w:cs="Times New Roman"/>
                <w:sz w:val="16"/>
                <w:szCs w:val="18"/>
              </w:rPr>
              <w:t>IZVOR 55 Pomoći iz državnog proračuna knjižnica</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8.950,00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550,00</w:t>
            </w:r>
          </w:p>
        </w:tc>
        <w:tc>
          <w:tcPr>
            <w:tcW w:w="130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9.500,00</w:t>
            </w:r>
          </w:p>
        </w:tc>
        <w:tc>
          <w:tcPr>
            <w:tcW w:w="960" w:type="dxa"/>
            <w:shd w:val="clear" w:color="auto" w:fill="CBFFCB"/>
          </w:tcPr>
          <w:p w:rsidR="00440A6E" w:rsidRDefault="00440A6E" w:rsidP="00F57898">
            <w:pPr>
              <w:spacing w:after="0"/>
              <w:jc w:val="right"/>
              <w:rPr>
                <w:rFonts w:ascii="Times New Roman" w:hAnsi="Times New Roman" w:cs="Times New Roman"/>
                <w:sz w:val="16"/>
                <w:szCs w:val="18"/>
              </w:rPr>
            </w:pPr>
            <w:r>
              <w:rPr>
                <w:rFonts w:ascii="Times New Roman" w:hAnsi="Times New Roman" w:cs="Times New Roman"/>
                <w:sz w:val="16"/>
                <w:szCs w:val="18"/>
              </w:rPr>
              <w:t>106,15%</w:t>
            </w: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700,00</w:t>
            </w:r>
          </w:p>
        </w:tc>
        <w:tc>
          <w:tcPr>
            <w:tcW w:w="960" w:type="dxa"/>
          </w:tcPr>
          <w:p w:rsidR="00440A6E" w:rsidRDefault="00440A6E" w:rsidP="00F57898">
            <w:pPr>
              <w:spacing w:after="0"/>
              <w:jc w:val="right"/>
              <w:rPr>
                <w:rFonts w:ascii="Times New Roman" w:hAnsi="Times New Roman" w:cs="Times New Roman"/>
                <w:sz w:val="18"/>
                <w:szCs w:val="18"/>
              </w:rPr>
            </w:pPr>
          </w:p>
        </w:tc>
      </w:tr>
      <w:tr w:rsidR="00440A6E" w:rsidTr="00F57898">
        <w:tc>
          <w:tcPr>
            <w:tcW w:w="5171" w:type="dxa"/>
            <w:shd w:val="clear" w:color="auto" w:fill="F2F2F2"/>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w:t>
            </w:r>
          </w:p>
        </w:tc>
        <w:tc>
          <w:tcPr>
            <w:tcW w:w="130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c>
          <w:tcPr>
            <w:tcW w:w="960" w:type="dxa"/>
            <w:shd w:val="clear" w:color="auto" w:fill="F2F2F2"/>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98,32%</w:t>
            </w:r>
          </w:p>
        </w:tc>
      </w:tr>
      <w:tr w:rsidR="00440A6E" w:rsidTr="00F57898">
        <w:tc>
          <w:tcPr>
            <w:tcW w:w="5171" w:type="dxa"/>
          </w:tcPr>
          <w:p w:rsidR="00440A6E" w:rsidRDefault="00440A6E"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-150,00</w:t>
            </w:r>
          </w:p>
        </w:tc>
        <w:tc>
          <w:tcPr>
            <w:tcW w:w="130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c>
          <w:tcPr>
            <w:tcW w:w="960" w:type="dxa"/>
          </w:tcPr>
          <w:p w:rsidR="00440A6E" w:rsidRDefault="00440A6E" w:rsidP="00F57898">
            <w:pPr>
              <w:spacing w:after="0"/>
              <w:jc w:val="right"/>
              <w:rPr>
                <w:rFonts w:ascii="Times New Roman" w:hAnsi="Times New Roman" w:cs="Times New Roman"/>
                <w:sz w:val="18"/>
                <w:szCs w:val="18"/>
              </w:rPr>
            </w:pPr>
            <w:r>
              <w:rPr>
                <w:rFonts w:ascii="Times New Roman" w:hAnsi="Times New Roman" w:cs="Times New Roman"/>
                <w:sz w:val="18"/>
                <w:szCs w:val="18"/>
              </w:rPr>
              <w:t>98,32%</w:t>
            </w:r>
          </w:p>
        </w:tc>
      </w:tr>
      <w:tr w:rsidR="00440A6E" w:rsidTr="00F57898">
        <w:tc>
          <w:tcPr>
            <w:tcW w:w="5171" w:type="dxa"/>
            <w:shd w:val="clear" w:color="auto" w:fill="505050"/>
          </w:tcPr>
          <w:p w:rsidR="00440A6E" w:rsidRDefault="00440A6E"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1.518.180,24</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-378.013,78</w:t>
            </w:r>
          </w:p>
        </w:tc>
        <w:tc>
          <w:tcPr>
            <w:tcW w:w="130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1.140.166,46</w:t>
            </w:r>
          </w:p>
        </w:tc>
        <w:tc>
          <w:tcPr>
            <w:tcW w:w="960" w:type="dxa"/>
            <w:shd w:val="clear" w:color="auto" w:fill="505050"/>
          </w:tcPr>
          <w:p w:rsidR="00440A6E" w:rsidRDefault="00440A6E"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75,10%</w:t>
            </w:r>
          </w:p>
        </w:tc>
      </w:tr>
    </w:tbl>
    <w:p w:rsidR="00440A6E" w:rsidRDefault="00440A6E" w:rsidP="00440A6E">
      <w:pPr>
        <w:spacing w:after="0"/>
        <w:rPr>
          <w:rFonts w:ascii="Times New Roman" w:hAnsi="Times New Roman" w:cs="Times New Roman"/>
          <w:sz w:val="18"/>
          <w:szCs w:val="18"/>
        </w:rPr>
      </w:pPr>
    </w:p>
    <w:p w:rsidR="00440A6E" w:rsidRDefault="00440A6E" w:rsidP="00440A6E">
      <w:pPr>
        <w:spacing w:after="0"/>
        <w:rPr>
          <w:rFonts w:ascii="Times New Roman" w:hAnsi="Times New Roman" w:cs="Times New Roman"/>
          <w:b/>
          <w:bCs/>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4.</w:t>
      </w:r>
    </w:p>
    <w:p w:rsidR="00440A6E" w:rsidRDefault="00440A6E" w:rsidP="00440A6E">
      <w:pPr>
        <w:spacing w:after="0"/>
        <w:ind w:firstLine="426"/>
        <w:rPr>
          <w:rFonts w:ascii="Times New Roman" w:hAnsi="Times New Roman" w:cs="Times New Roman"/>
          <w:b/>
          <w:bCs/>
        </w:rPr>
      </w:pPr>
      <w:r>
        <w:rPr>
          <w:rFonts w:ascii="Times New Roman" w:hAnsi="Times New Roman" w:cs="Times New Roman"/>
          <w:color w:val="000000"/>
        </w:rPr>
        <w:t>Osim Općeg i posebnog dijela, sastavni dio II. izmjena i dopuna proračuna Općine Gornji Bogićevci za  2025. godinu su:</w:t>
      </w:r>
    </w:p>
    <w:p w:rsidR="00440A6E" w:rsidRDefault="00440A6E" w:rsidP="00440A6E">
      <w:pPr>
        <w:spacing w:after="0"/>
        <w:jc w:val="center"/>
        <w:rPr>
          <w:rFonts w:ascii="Times New Roman" w:hAnsi="Times New Roman" w:cs="Times New Roman"/>
          <w:b/>
          <w:bCs/>
        </w:rPr>
      </w:pPr>
    </w:p>
    <w:p w:rsidR="00440A6E" w:rsidRDefault="00440A6E" w:rsidP="00A66748">
      <w:pPr>
        <w:pStyle w:val="Odlomakpopisa"/>
        <w:numPr>
          <w:ilvl w:val="0"/>
          <w:numId w:val="11"/>
        </w:numPr>
        <w:ind w:left="426" w:hanging="426"/>
        <w:rPr>
          <w:rFonts w:ascii="Times New Roman" w:hAnsi="Times New Roman"/>
          <w:b/>
          <w:bCs/>
          <w:sz w:val="24"/>
          <w:szCs w:val="24"/>
        </w:rPr>
      </w:pPr>
      <w:r>
        <w:rPr>
          <w:rFonts w:ascii="Times New Roman" w:hAnsi="Times New Roman"/>
          <w:b/>
          <w:bCs/>
          <w:sz w:val="24"/>
          <w:szCs w:val="24"/>
        </w:rPr>
        <w:t>OBRAZLOŽENJE</w:t>
      </w:r>
    </w:p>
    <w:p w:rsidR="00440A6E" w:rsidRDefault="00440A6E" w:rsidP="00440A6E">
      <w:pPr>
        <w:widowControl w:val="0"/>
        <w:spacing w:before="12"/>
        <w:ind w:right="1" w:firstLine="360"/>
        <w:jc w:val="both"/>
        <w:rPr>
          <w:rFonts w:ascii="Times New Roman" w:hAnsi="Times New Roman" w:cs="Times New Roman"/>
          <w:color w:val="000000"/>
        </w:rPr>
      </w:pPr>
      <w:r>
        <w:rPr>
          <w:rFonts w:ascii="Times New Roman" w:hAnsi="Times New Roman" w:cs="Times New Roman"/>
          <w:color w:val="000000"/>
        </w:rPr>
        <w:t xml:space="preserve">Obrazloženje II. izmjena i dopuna proračuna Općine Gornji Bogićevci sadrži obrazloženje općeg dijela proračuna, obrazloženje prenesenog manjka odnosno viška proračuna i obrazloženja posebnog dijela proračuna: </w:t>
      </w:r>
    </w:p>
    <w:p w:rsidR="00440A6E" w:rsidRDefault="00440A6E" w:rsidP="00A66748">
      <w:pPr>
        <w:pStyle w:val="Odlomakpopisa"/>
        <w:numPr>
          <w:ilvl w:val="1"/>
          <w:numId w:val="12"/>
        </w:numPr>
        <w:spacing w:after="0"/>
        <w:rPr>
          <w:rFonts w:ascii="Times New Roman" w:hAnsi="Times New Roman"/>
          <w:b/>
          <w:bCs/>
        </w:rPr>
      </w:pPr>
      <w:r>
        <w:rPr>
          <w:rFonts w:ascii="Times New Roman" w:hAnsi="Times New Roman"/>
          <w:b/>
          <w:bCs/>
        </w:rPr>
        <w:t xml:space="preserve"> OBRAZLOŽENJE OPĆEG DIJELA </w:t>
      </w:r>
    </w:p>
    <w:p w:rsidR="00440A6E" w:rsidRDefault="00440A6E" w:rsidP="00440A6E">
      <w:pPr>
        <w:jc w:val="both"/>
        <w:rPr>
          <w:rFonts w:ascii="Times New Roman" w:hAnsi="Times New Roman" w:cs="Times New Roman"/>
          <w:bCs/>
        </w:rPr>
      </w:pPr>
      <w:r>
        <w:rPr>
          <w:rFonts w:ascii="Times New Roman" w:hAnsi="Times New Roman" w:cs="Times New Roman"/>
          <w:bCs/>
        </w:rPr>
        <w:t xml:space="preserve">PRIHODI I PRIMICI </w:t>
      </w:r>
    </w:p>
    <w:p w:rsidR="00440A6E" w:rsidRDefault="00440A6E" w:rsidP="00440A6E">
      <w:pPr>
        <w:ind w:firstLine="360"/>
        <w:jc w:val="both"/>
        <w:rPr>
          <w:rFonts w:ascii="Times New Roman" w:hAnsi="Times New Roman"/>
        </w:rPr>
      </w:pPr>
      <w:r>
        <w:rPr>
          <w:rFonts w:ascii="Times New Roman" w:hAnsi="Times New Roman"/>
        </w:rPr>
        <w:t>Proračun Općine Gornji Bogićevci za 2025.g. planiran je u ukupnom iznosu od 1.141.620,16 EUR. Od toga su planirani prihodi poslovanja 1.139.020,16. EUR, a prihodi od prodaje nefinancijske imovine 2.600,00 EUR, te planirani preneseni manjak prihoda iz 2025. u iznosu od 201.362,71 EUR.</w:t>
      </w:r>
    </w:p>
    <w:p w:rsidR="00440A6E" w:rsidRDefault="00440A6E" w:rsidP="00440A6E">
      <w:pPr>
        <w:ind w:firstLine="360"/>
        <w:jc w:val="both"/>
        <w:rPr>
          <w:rFonts w:ascii="Times New Roman" w:hAnsi="Times New Roman"/>
        </w:rPr>
      </w:pPr>
      <w:r>
        <w:rPr>
          <w:rFonts w:ascii="Times New Roman" w:hAnsi="Times New Roman"/>
          <w:b/>
          <w:bCs/>
          <w:u w:val="single"/>
        </w:rPr>
        <w:t>Prihodi od poreza - skupina 61</w:t>
      </w:r>
      <w:r>
        <w:rPr>
          <w:rFonts w:ascii="Times New Roman" w:hAnsi="Times New Roman"/>
        </w:rPr>
        <w:t xml:space="preserve"> procijenjeni su na temelju ostvarenja proračuna u 2024. godini i 2025. godini. Ovi se prihodi sastoje od poreza na dohodak,  poreza na imovinu i poreza na robu i usluge, od kojih je najznačajniji porez na dohodak.</w:t>
      </w:r>
    </w:p>
    <w:p w:rsidR="00440A6E" w:rsidRDefault="00440A6E" w:rsidP="00440A6E">
      <w:pPr>
        <w:ind w:firstLine="360"/>
        <w:jc w:val="both"/>
        <w:rPr>
          <w:rFonts w:ascii="Times New Roman" w:hAnsi="Times New Roman"/>
        </w:rPr>
      </w:pPr>
      <w:r>
        <w:rPr>
          <w:rFonts w:ascii="Times New Roman" w:hAnsi="Times New Roman"/>
          <w:b/>
          <w:bCs/>
          <w:u w:val="single"/>
        </w:rPr>
        <w:lastRenderedPageBreak/>
        <w:t>Prihodi od pomoći – skupine 63</w:t>
      </w:r>
      <w:r>
        <w:rPr>
          <w:rFonts w:ascii="Times New Roman" w:hAnsi="Times New Roman"/>
        </w:rPr>
        <w:t xml:space="preserve">  odnose se na planirane tekuće i kapitalne pomoći državnog proračuna,  tekućih pomoći ( HZZ) i sredstva fiskalnog izravnanja.</w:t>
      </w:r>
    </w:p>
    <w:p w:rsidR="00440A6E" w:rsidRDefault="00440A6E" w:rsidP="00440A6E">
      <w:pPr>
        <w:ind w:firstLine="360"/>
        <w:jc w:val="both"/>
        <w:rPr>
          <w:rFonts w:ascii="Times New Roman" w:hAnsi="Times New Roman"/>
        </w:rPr>
      </w:pPr>
      <w:r>
        <w:rPr>
          <w:rFonts w:ascii="Times New Roman" w:hAnsi="Times New Roman"/>
          <w:b/>
          <w:bCs/>
          <w:u w:val="single"/>
        </w:rPr>
        <w:t>Prihodi od imovine – skupina 64</w:t>
      </w:r>
      <w:r>
        <w:rPr>
          <w:rFonts w:ascii="Times New Roman" w:hAnsi="Times New Roman"/>
        </w:rPr>
        <w:t xml:space="preserve">  odnosi se na naknade zakup poljoprivrednog zemljišta u vlasništvu RH i općine, naknade za zadržavanje nezakonito izgrađenih zgrada, naknade od koncesija, naknade od najma poslovnih prostora  i sl.</w:t>
      </w:r>
    </w:p>
    <w:p w:rsidR="00440A6E" w:rsidRDefault="00440A6E" w:rsidP="00440A6E">
      <w:pPr>
        <w:ind w:firstLine="360"/>
        <w:jc w:val="both"/>
        <w:rPr>
          <w:rFonts w:ascii="Times New Roman" w:hAnsi="Times New Roman"/>
        </w:rPr>
      </w:pPr>
      <w:r>
        <w:rPr>
          <w:rFonts w:ascii="Times New Roman" w:hAnsi="Times New Roman"/>
          <w:b/>
          <w:bCs/>
          <w:u w:val="single"/>
        </w:rPr>
        <w:t>Prihodi od administrativnih pristojbi i po posebnim propisima - skupina 65</w:t>
      </w:r>
      <w:r>
        <w:rPr>
          <w:rFonts w:ascii="Times New Roman" w:hAnsi="Times New Roman"/>
        </w:rPr>
        <w:t xml:space="preserve"> sastoje se od prihoda od prodaje državnih biljega, naknade uređenje voda, komunalnog doprinosa, komunalne i grobne naknade.</w:t>
      </w:r>
    </w:p>
    <w:p w:rsidR="00440A6E" w:rsidRDefault="00440A6E" w:rsidP="00440A6E">
      <w:pPr>
        <w:ind w:firstLine="360"/>
        <w:jc w:val="both"/>
        <w:rPr>
          <w:rFonts w:ascii="Times New Roman" w:hAnsi="Times New Roman"/>
        </w:rPr>
      </w:pPr>
      <w:r>
        <w:rPr>
          <w:rFonts w:ascii="Times New Roman" w:hAnsi="Times New Roman"/>
          <w:b/>
          <w:bCs/>
          <w:u w:val="single"/>
        </w:rPr>
        <w:t>Prihodi od prodaje proizvoda i robe te pruženih usluga - skupina 66</w:t>
      </w:r>
      <w:r>
        <w:rPr>
          <w:rFonts w:ascii="Times New Roman" w:hAnsi="Times New Roman"/>
        </w:rPr>
        <w:t xml:space="preserve"> sastoje se od prihoda od naplate naknade za uređenje voda.</w:t>
      </w:r>
    </w:p>
    <w:p w:rsidR="00440A6E" w:rsidRDefault="00440A6E" w:rsidP="00440A6E">
      <w:pPr>
        <w:ind w:firstLine="360"/>
        <w:jc w:val="both"/>
        <w:rPr>
          <w:rFonts w:ascii="Times New Roman" w:hAnsi="Times New Roman"/>
        </w:rPr>
      </w:pPr>
      <w:r>
        <w:rPr>
          <w:rFonts w:ascii="Times New Roman" w:hAnsi="Times New Roman"/>
          <w:b/>
          <w:bCs/>
          <w:u w:val="single"/>
        </w:rPr>
        <w:t>Prihodi od prodaje nefinancijske imovine - skupina</w:t>
      </w:r>
      <w:r>
        <w:rPr>
          <w:rFonts w:ascii="Times New Roman" w:hAnsi="Times New Roman"/>
          <w:u w:val="single"/>
        </w:rPr>
        <w:t xml:space="preserve"> </w:t>
      </w:r>
      <w:r>
        <w:rPr>
          <w:rFonts w:ascii="Times New Roman" w:hAnsi="Times New Roman"/>
          <w:b/>
          <w:bCs/>
          <w:u w:val="single"/>
        </w:rPr>
        <w:t>71</w:t>
      </w:r>
      <w:r>
        <w:rPr>
          <w:rFonts w:ascii="Times New Roman" w:hAnsi="Times New Roman"/>
        </w:rPr>
        <w:t xml:space="preserve"> odnose se na prihode od prodaje poljoprivrednog zemljišta u vlasništvu države i prodaja imovine u vlasništvu općine.</w:t>
      </w:r>
    </w:p>
    <w:p w:rsidR="00440A6E" w:rsidRDefault="00440A6E" w:rsidP="00440A6E">
      <w:pPr>
        <w:ind w:firstLine="360"/>
        <w:jc w:val="both"/>
        <w:rPr>
          <w:rFonts w:ascii="Times New Roman" w:hAnsi="Times New Roman" w:cs="Times New Roman"/>
        </w:rPr>
      </w:pPr>
      <w:r>
        <w:rPr>
          <w:rFonts w:ascii="Times New Roman" w:hAnsi="Times New Roman"/>
          <w:b/>
          <w:bCs/>
          <w:u w:val="single"/>
        </w:rPr>
        <w:t xml:space="preserve">Primici od zaduživanja – skupina 84 </w:t>
      </w:r>
      <w:r>
        <w:rPr>
          <w:rFonts w:ascii="Times New Roman" w:hAnsi="Times New Roman"/>
        </w:rPr>
        <w:t xml:space="preserve">odnosi se na primitak od kratkoročnog kredita </w:t>
      </w:r>
      <w:r>
        <w:rPr>
          <w:rFonts w:ascii="Times New Roman" w:hAnsi="Times New Roman" w:cs="Times New Roman"/>
        </w:rPr>
        <w:t>koji bi se koristio u slučaju potrebe za premošćivanje financijskog jaza.</w:t>
      </w:r>
    </w:p>
    <w:p w:rsidR="00440A6E" w:rsidRDefault="00440A6E" w:rsidP="00440A6E">
      <w:pPr>
        <w:ind w:firstLine="360"/>
        <w:jc w:val="both"/>
        <w:rPr>
          <w:rFonts w:ascii="Times New Roman" w:hAnsi="Times New Roman" w:cs="Times New Roman"/>
        </w:rPr>
      </w:pPr>
    </w:p>
    <w:p w:rsidR="00440A6E" w:rsidRDefault="00440A6E" w:rsidP="00440A6E">
      <w:pPr>
        <w:pStyle w:val="Odlomakpopisa"/>
        <w:spacing w:after="0"/>
        <w:ind w:left="0" w:firstLine="360"/>
        <w:rPr>
          <w:rFonts w:ascii="Times New Roman" w:hAnsi="Times New Roman"/>
        </w:rPr>
      </w:pPr>
      <w:r>
        <w:rPr>
          <w:rFonts w:ascii="Times New Roman" w:hAnsi="Times New Roman"/>
        </w:rPr>
        <w:t>Pregled planiranih prihoda i primitaka daje se u slijedećoj tablici: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RAČUN I OPIS RAČUNA</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PLAN ZA 2025.</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POVEĆANJE/SMANJENJE</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NOVI PLAN ZA 2025.</w:t>
            </w:r>
          </w:p>
        </w:tc>
        <w:tc>
          <w:tcPr>
            <w:tcW w:w="96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INDEKS 4/2</w:t>
            </w:r>
          </w:p>
        </w:tc>
      </w:tr>
      <w:tr w:rsidR="00440A6E" w:rsidTr="00F57898">
        <w:tc>
          <w:tcPr>
            <w:tcW w:w="5171"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1</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2</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3</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4</w:t>
            </w:r>
          </w:p>
        </w:tc>
        <w:tc>
          <w:tcPr>
            <w:tcW w:w="96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5</w:t>
            </w:r>
          </w:p>
        </w:tc>
      </w:tr>
      <w:tr w:rsidR="00440A6E" w:rsidTr="00F57898">
        <w:tc>
          <w:tcPr>
            <w:tcW w:w="5171" w:type="dxa"/>
            <w:shd w:val="clear" w:color="auto" w:fill="BDD7EE"/>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 Prihodi poslovanja</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1.391.680,24</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-252.660,08</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1.139.020,16</w:t>
            </w:r>
          </w:p>
        </w:tc>
        <w:tc>
          <w:tcPr>
            <w:tcW w:w="96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81,84%</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61 Prihodi od poreza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420.113,76</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-104.063,76</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316.050,00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75,23%</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420.113,76</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-104.063,76</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316.050,00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75,23%</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63 Pomoći iz inozemstva i od subjekata unutar općeg proračuna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799.401,48</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-189.744,43</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609.657,05</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76,26%</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761.578,02</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-174.237,28</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587.340,74</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77,12%</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53 Pomoći iz EU fondova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13.873,46</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-557,15</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13.316,31</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95,98%</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55 Pomoći iz državnog proračuna knjižnica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8.950,00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100,56%</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64 Prihodi od imovine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58.100,00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2.574,40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60.674,40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104,43%</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58.100,00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2.474,40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60.574,40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104,26%</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65 Prihodi od upravnih i administrativnih pristojbi, pristojbi po posebnim propisima i naknada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102.750,00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37.738,71</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140.488,71</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136,73%</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17.250,00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12.150,00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29.400,00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170,43%</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42 Prihod od komunalnog doprinosa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-911,29</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88,71</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8,87%</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59.000,00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101,69%</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176,47%</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20.500,00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256,25%</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55 Pomoći iz državnog proračuna knjižnica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66 Prihodi od prodaje proizvoda i robe te pruženih usluga, prihodi od donacija te povrati po protestiranim jamstvima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11.315,00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235,00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11.550,00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102,08%</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550,00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11.315,00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-315,00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97,22%</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68 Kazne, upravne mjere i ostali prihodi</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600,00</w:t>
            </w:r>
          </w:p>
        </w:tc>
        <w:tc>
          <w:tcPr>
            <w:tcW w:w="960" w:type="dxa"/>
          </w:tcPr>
          <w:p w:rsidR="00440A6E" w:rsidRDefault="00440A6E" w:rsidP="00F57898">
            <w:pPr>
              <w:pStyle w:val="Odlomakpopisa"/>
              <w:spacing w:after="0"/>
              <w:ind w:left="0"/>
              <w:jc w:val="right"/>
              <w:rPr>
                <w:rFonts w:ascii="Times New Roman" w:hAnsi="Times New Roman"/>
                <w:sz w:val="18"/>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BDD7EE"/>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7 Prihodi od prodaje nefinancijske imovine</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40.000,00</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-37.400,00</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2.600,00</w:t>
            </w:r>
          </w:p>
        </w:tc>
        <w:tc>
          <w:tcPr>
            <w:tcW w:w="96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6,50%</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71 Prihodi od prodaje neproizvedene dugotrajne imovine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25.000,00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-23.000,00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2.000,00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-23.000,00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72 Prihodi od prodaje proizvedene dugotrajne imovine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-14.400,00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600,00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-14.400,00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w:t>
            </w:r>
          </w:p>
        </w:tc>
      </w:tr>
      <w:tr w:rsidR="00440A6E" w:rsidTr="00F57898">
        <w:tc>
          <w:tcPr>
            <w:tcW w:w="5171" w:type="dxa"/>
            <w:shd w:val="clear" w:color="auto" w:fill="BDD7EE"/>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8 Primici od financijske imovine i zaduživanja</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96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81 Primljeni povrati glavnica danih zajmova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81 Namjenski primici od zaduživanja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505050"/>
          </w:tcPr>
          <w:p w:rsidR="00440A6E" w:rsidRDefault="00440A6E" w:rsidP="00F57898">
            <w:pPr>
              <w:pStyle w:val="Odlomakpopisa"/>
              <w:spacing w:after="0"/>
              <w:ind w:left="0"/>
              <w:rPr>
                <w:rFonts w:ascii="Times New Roman" w:hAnsi="Times New Roman"/>
                <w:b/>
                <w:color w:val="FFFFFF"/>
                <w:sz w:val="16"/>
                <w:szCs w:val="18"/>
              </w:rPr>
            </w:pPr>
            <w:r>
              <w:rPr>
                <w:rFonts w:ascii="Times New Roman" w:hAnsi="Times New Roman"/>
                <w:b/>
                <w:color w:val="FFFFFF"/>
                <w:sz w:val="16"/>
                <w:szCs w:val="18"/>
              </w:rPr>
              <w:t>UKUPNO PRIHODI I PRIMICI</w:t>
            </w:r>
          </w:p>
        </w:tc>
        <w:tc>
          <w:tcPr>
            <w:tcW w:w="130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1.518.180,24</w:t>
            </w:r>
          </w:p>
        </w:tc>
        <w:tc>
          <w:tcPr>
            <w:tcW w:w="130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-376.560,08</w:t>
            </w:r>
          </w:p>
        </w:tc>
        <w:tc>
          <w:tcPr>
            <w:tcW w:w="130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1.141.620,16</w:t>
            </w:r>
          </w:p>
        </w:tc>
        <w:tc>
          <w:tcPr>
            <w:tcW w:w="96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75,20%</w:t>
            </w:r>
          </w:p>
        </w:tc>
      </w:tr>
    </w:tbl>
    <w:p w:rsidR="00440A6E" w:rsidRDefault="00440A6E" w:rsidP="00440A6E">
      <w:pPr>
        <w:pStyle w:val="Odlomakpopisa"/>
        <w:spacing w:after="0"/>
        <w:ind w:left="0"/>
        <w:rPr>
          <w:rFonts w:ascii="Times New Roman" w:hAnsi="Times New Roman"/>
          <w:sz w:val="18"/>
          <w:szCs w:val="18"/>
        </w:rPr>
      </w:pPr>
    </w:p>
    <w:p w:rsidR="00440A6E" w:rsidRDefault="00440A6E" w:rsidP="00440A6E">
      <w:pPr>
        <w:pStyle w:val="Bezproreda"/>
        <w:ind w:firstLine="708"/>
        <w:jc w:val="both"/>
        <w:rPr>
          <w:rFonts w:ascii="Times New Roman" w:hAnsi="Times New Roman" w:cs="Times New Roman"/>
        </w:rPr>
      </w:pPr>
    </w:p>
    <w:p w:rsidR="00440A6E" w:rsidRDefault="00440A6E" w:rsidP="00440A6E">
      <w:pPr>
        <w:pStyle w:val="Bezproreda"/>
        <w:ind w:firstLine="708"/>
        <w:jc w:val="both"/>
        <w:rPr>
          <w:rFonts w:ascii="Times New Roman" w:hAnsi="Times New Roman" w:cs="Times New Roman"/>
        </w:rPr>
      </w:pPr>
    </w:p>
    <w:p w:rsidR="00440A6E" w:rsidRDefault="00440A6E" w:rsidP="00440A6E">
      <w:pPr>
        <w:spacing w:after="0"/>
        <w:jc w:val="both"/>
        <w:rPr>
          <w:rFonts w:ascii="Times New Roman" w:hAnsi="Times New Roman" w:cs="Times New Roman"/>
          <w:bCs/>
        </w:rPr>
      </w:pPr>
      <w:r>
        <w:rPr>
          <w:rFonts w:ascii="Times New Roman" w:hAnsi="Times New Roman" w:cs="Times New Roman"/>
          <w:bCs/>
        </w:rPr>
        <w:lastRenderedPageBreak/>
        <w:t>RASHODI I IZDACI</w:t>
      </w:r>
    </w:p>
    <w:p w:rsidR="00440A6E" w:rsidRDefault="00440A6E" w:rsidP="00440A6E">
      <w:pPr>
        <w:pStyle w:val="Bezproreda"/>
        <w:ind w:firstLine="708"/>
        <w:jc w:val="both"/>
        <w:rPr>
          <w:rFonts w:ascii="Times New Roman" w:hAnsi="Times New Roman" w:cs="Times New Roman"/>
        </w:rPr>
      </w:pPr>
      <w:r>
        <w:rPr>
          <w:rFonts w:ascii="Times New Roman" w:hAnsi="Times New Roman" w:cs="Times New Roman"/>
        </w:rPr>
        <w:t>Rashodi i izdaci u proračunu su planirani u ukupnom iznosu 1.140.166,66 EUR, od čega se na rashode poslovanja odnosi 951.443,49 EUR, 188.722,97 EUR na rashode za nabavu nefinancijske imovine (investicije i ulaganja).</w:t>
      </w:r>
    </w:p>
    <w:p w:rsidR="00440A6E" w:rsidRDefault="00440A6E" w:rsidP="00440A6E">
      <w:pPr>
        <w:pStyle w:val="Bezproreda"/>
        <w:ind w:firstLine="708"/>
        <w:jc w:val="both"/>
        <w:rPr>
          <w:rFonts w:ascii="Times New Roman" w:hAnsi="Times New Roman" w:cs="Times New Roman"/>
        </w:rPr>
      </w:pP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Rashodi za zaposlene – skupina 31</w:t>
      </w:r>
      <w:r>
        <w:rPr>
          <w:rFonts w:ascii="Times New Roman" w:hAnsi="Times New Roman" w:cs="Times New Roman"/>
        </w:rPr>
        <w:t xml:space="preserve"> obuhvaćaju rashode za zaposlene u općinskoj upravi, te plaće za zaposlene iz programa javnih radova (HZZ) .</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Skupina rashoda 32 - materijalni rashodi</w:t>
      </w:r>
      <w:r>
        <w:rPr>
          <w:rFonts w:ascii="Times New Roman" w:hAnsi="Times New Roman" w:cs="Times New Roman"/>
        </w:rPr>
        <w:t xml:space="preserve"> obuhvaća rashode za  materijal i usluge, a odnose na materijal i usluge za funkcioniranje djelatnosti predstavničkog i izvršnog tijela, jedinstvenog upravnog odjela, komunalnih djelatnosti, održavanje postojeće infrastrukture, javnu rasvjetu i sl.</w:t>
      </w:r>
    </w:p>
    <w:p w:rsidR="00440A6E" w:rsidRDefault="00440A6E" w:rsidP="00440A6E">
      <w:pPr>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u w:val="single"/>
        </w:rPr>
        <w:t>Financijski rashodi - skupina 34</w:t>
      </w:r>
      <w:r>
        <w:rPr>
          <w:rFonts w:ascii="Times New Roman" w:hAnsi="Times New Roman" w:cs="Times New Roman"/>
        </w:rPr>
        <w:t xml:space="preserve"> odnose se na troškove platnog prometa, rashoda za kamate i ostalih financijskih rashoda.</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Financijski rashodi - skupina 36</w:t>
      </w:r>
      <w:r>
        <w:rPr>
          <w:rFonts w:ascii="Times New Roman" w:hAnsi="Times New Roman" w:cs="Times New Roman"/>
        </w:rPr>
        <w:t xml:space="preserve"> odnose se na troškove sufinanciranja rada Dječjeg vrtića i sufinanciranja plaće komunalnog redara.</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Naknade građanima i kućanstvima  – skupina 37</w:t>
      </w:r>
      <w:r>
        <w:rPr>
          <w:rFonts w:ascii="Times New Roman" w:hAnsi="Times New Roman" w:cs="Times New Roman"/>
        </w:rPr>
        <w:t xml:space="preserve"> u najvećoj mjeri se odnose na socijalnu skrb, na pomoći socijalno ugroženom stanovništvu, jednokratne pomoći rodiljama, pomoći studentima, sufinanciranje prijevoza učenika srednjih škola, sufinanciranje cijene pohađanja vrtića i sl. </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Ostali rashodi - skupina 38</w:t>
      </w:r>
      <w:r>
        <w:rPr>
          <w:rFonts w:ascii="Times New Roman" w:hAnsi="Times New Roman" w:cs="Times New Roman"/>
        </w:rPr>
        <w:t xml:space="preserve">  čine tekuće donacije udrugama građana,  tekuće donacije sportskim, kulturnim, vatrogasnim i ostalim udrugama, kapitalne donacije građanima i kućanstvima.</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Rashodi za nabavu neproizvedene imovine - skupina</w:t>
      </w:r>
      <w:r>
        <w:rPr>
          <w:rFonts w:ascii="Times New Roman" w:hAnsi="Times New Roman" w:cs="Times New Roman"/>
          <w:u w:val="single"/>
        </w:rPr>
        <w:t xml:space="preserve"> </w:t>
      </w:r>
      <w:r>
        <w:rPr>
          <w:rFonts w:ascii="Times New Roman" w:hAnsi="Times New Roman" w:cs="Times New Roman"/>
          <w:b/>
          <w:bCs/>
          <w:u w:val="single"/>
        </w:rPr>
        <w:t>41</w:t>
      </w:r>
      <w:r>
        <w:rPr>
          <w:rFonts w:ascii="Times New Roman" w:hAnsi="Times New Roman" w:cs="Times New Roman"/>
        </w:rPr>
        <w:t xml:space="preserve"> odnose se na  nabavu materijalne imovine (zemljište) i nematerijalne imovine ( licence za softverske programe).</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Rashodi za nabavu proizvedene dugotrajne imovine - skupina 42</w:t>
      </w:r>
      <w:r>
        <w:rPr>
          <w:rFonts w:ascii="Times New Roman" w:hAnsi="Times New Roman" w:cs="Times New Roman"/>
        </w:rPr>
        <w:t xml:space="preserve"> odnose se na  nabavu opreme za održavanje javnih površina, uređenje pješačkih staza, izgradnju i uređenje prometnica, uređenje zgrada u vlasništvu općine, mrtvačnica i slično.</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Rashodi za dodatna ulaganja na nefinancijsku imovinu</w:t>
      </w:r>
      <w:r>
        <w:rPr>
          <w:rFonts w:ascii="Times New Roman" w:hAnsi="Times New Roman" w:cs="Times New Roman"/>
          <w:b/>
          <w:bCs/>
        </w:rPr>
        <w:t xml:space="preserve"> - skupina 45 </w:t>
      </w:r>
      <w:r>
        <w:rPr>
          <w:rFonts w:ascii="Times New Roman" w:hAnsi="Times New Roman" w:cs="Times New Roman"/>
        </w:rPr>
        <w:t>- odnose se na dodatna ulaganja u objekte u vlasništvu općine.</w:t>
      </w:r>
    </w:p>
    <w:p w:rsidR="00440A6E" w:rsidRDefault="00440A6E" w:rsidP="00440A6E">
      <w:pPr>
        <w:ind w:firstLine="708"/>
        <w:jc w:val="both"/>
        <w:rPr>
          <w:rFonts w:ascii="Times New Roman" w:hAnsi="Times New Roman" w:cs="Times New Roman"/>
        </w:rPr>
      </w:pPr>
      <w:r>
        <w:rPr>
          <w:rFonts w:ascii="Times New Roman" w:hAnsi="Times New Roman" w:cs="Times New Roman"/>
          <w:b/>
          <w:bCs/>
          <w:u w:val="single"/>
        </w:rPr>
        <w:t>Izdaci za financijsku imovinu i otplate zajmova</w:t>
      </w:r>
      <w:r>
        <w:rPr>
          <w:rFonts w:ascii="Times New Roman" w:hAnsi="Times New Roman" w:cs="Times New Roman"/>
        </w:rPr>
        <w:t xml:space="preserve"> </w:t>
      </w:r>
      <w:r>
        <w:rPr>
          <w:rFonts w:ascii="Times New Roman" w:hAnsi="Times New Roman" w:cs="Times New Roman"/>
          <w:b/>
          <w:bCs/>
        </w:rPr>
        <w:t>– skupina 54</w:t>
      </w:r>
      <w:r>
        <w:rPr>
          <w:rFonts w:ascii="Times New Roman" w:hAnsi="Times New Roman" w:cs="Times New Roman"/>
        </w:rPr>
        <w:t xml:space="preserve"> – odnosi se na otplatu kratkoročnog kredita koji bi se koristio u slučaju potrebe namirenja nedostajućih sredstava jedinicama lokalne i područne (regionalne) samouprave za povrat poreza na dohodak u razdoblju 2020.-2025.).</w:t>
      </w:r>
    </w:p>
    <w:p w:rsidR="00440A6E" w:rsidRDefault="00440A6E" w:rsidP="00440A6E">
      <w:pPr>
        <w:pStyle w:val="Odlomakpopisa"/>
        <w:spacing w:after="0"/>
        <w:ind w:left="0"/>
        <w:rPr>
          <w:rFonts w:ascii="Times New Roman" w:hAnsi="Times New Roman"/>
        </w:rPr>
      </w:pPr>
      <w:r>
        <w:rPr>
          <w:rFonts w:ascii="Times New Roman" w:hAnsi="Times New Roman"/>
        </w:rPr>
        <w:t>Pregled planiranih rashoda i izdataka daje se u slijedećoj tablici: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71"/>
        <w:gridCol w:w="1300"/>
        <w:gridCol w:w="1300"/>
        <w:gridCol w:w="1300"/>
        <w:gridCol w:w="960"/>
      </w:tblGrid>
      <w:tr w:rsidR="00440A6E" w:rsidTr="00F57898">
        <w:tc>
          <w:tcPr>
            <w:tcW w:w="5171"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RAČUN I OPIS RAČUNA</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PLAN ZA 2025.</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POVEĆANJE/SMANJENJE</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NOVI PLAN ZA 2025.</w:t>
            </w:r>
          </w:p>
        </w:tc>
        <w:tc>
          <w:tcPr>
            <w:tcW w:w="96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INDEKS 4/2</w:t>
            </w:r>
          </w:p>
        </w:tc>
      </w:tr>
      <w:tr w:rsidR="00440A6E" w:rsidTr="00F57898">
        <w:tc>
          <w:tcPr>
            <w:tcW w:w="5171"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1</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2</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3</w:t>
            </w:r>
          </w:p>
        </w:tc>
        <w:tc>
          <w:tcPr>
            <w:tcW w:w="130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4</w:t>
            </w:r>
          </w:p>
        </w:tc>
        <w:tc>
          <w:tcPr>
            <w:tcW w:w="960" w:type="dxa"/>
            <w:shd w:val="clear" w:color="auto" w:fill="505050"/>
          </w:tcPr>
          <w:p w:rsidR="00440A6E" w:rsidRDefault="00440A6E"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5</w:t>
            </w:r>
          </w:p>
        </w:tc>
      </w:tr>
      <w:tr w:rsidR="00440A6E" w:rsidTr="00F57898">
        <w:tc>
          <w:tcPr>
            <w:tcW w:w="5171" w:type="dxa"/>
            <w:shd w:val="clear" w:color="auto" w:fill="BDD7EE"/>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 Rashodi poslovanja</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934.458,46</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16.985,03</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951.443,49</w:t>
            </w:r>
          </w:p>
        </w:tc>
        <w:tc>
          <w:tcPr>
            <w:tcW w:w="96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101,82%</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31 Rashodi za zaposlene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279.813,46</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-27.838,98</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251.974,48</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90,05%</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209.300,00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-9.978,06</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199.321,94</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95,23%</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37.865,00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-2.188,64</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35.676,36</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94,22%</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19.135,00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-15.135,00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20,90%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13.513,46</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-537,28</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12.976,18</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96,02%</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32 Materijalni rashodi</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236.850,00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419,81</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237.269,81</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100,18%</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194.990,00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-94.681,76</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100.308,24</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51,44%</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23.000,00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8.153,12</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31.153,12</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135,45%</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54.758,04</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54.758,04</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8.410,28</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8.410,28</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360,00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-19,87</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340,13</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94,48%</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55 Pomoći iz državnog proračuna knjižnica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700,00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700,00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lastRenderedPageBreak/>
              <w:t>34 Financijski rashodi</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3.100,00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180,00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3.280,00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105,81%</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-620,00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2.480,00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35 Subvencije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7.000,00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-4.340,00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2.660,00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38,00%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7.000,00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-4.340,00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2.660,00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38,00%</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36 Pomoći dane u inozemstvo i unutar općeg proračuna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31.500,00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14.500,00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46.000,00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146,03%</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46.000,00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146,03%</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37 Naknade građanima i kućanstvima na temelju osiguranja i druge naknade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43.000,00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-13.065,80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29.934,20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69,61%</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43.000,00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-13.065,80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29.934,20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69,61%</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38 Rashodi za donacije, kazne, naknade šteta i kapitalne pomoći</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333.195,00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47.130,00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380.325,00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114,14%</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1.601,98</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1.601,98</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4.894,92</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4.894,92</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331.593,02</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41.635,08</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373.228,10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112,56%</w:t>
            </w:r>
          </w:p>
        </w:tc>
      </w:tr>
      <w:tr w:rsidR="00440A6E" w:rsidTr="00F57898">
        <w:tc>
          <w:tcPr>
            <w:tcW w:w="5171" w:type="dxa"/>
            <w:shd w:val="clear" w:color="auto" w:fill="BDD7EE"/>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4 Rashodi za nabavu nefinancijske imovine</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497.221,78</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-308.498,81</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188.722,97</w:t>
            </w:r>
          </w:p>
        </w:tc>
        <w:tc>
          <w:tcPr>
            <w:tcW w:w="96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37,96%</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41 Rashodi za nabavu neproizvedene dugotrajne imovine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56.650,00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-40.462,50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16.187,50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28,57%</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1.750,00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16.650,00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-2.212,50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14.437,50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86,71%</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42 Rashodi za nabavu proizvedene dugotrajne imovine</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259.571,78</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-170.032,56</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89.539,22</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34,49%</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11.121,78</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-1.833,94</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9.287,84</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83,51%</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25.800,00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25.800,00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42 Prihod od komunalnog doprinosa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59.000,00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-53.758,04</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5.241,96</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8,88%</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824,73</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8.824,73</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110,31%</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128.700,00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-97.115,31</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31.584,69</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24,54%</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55 Pomoći iz državnog proračuna knjižnica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8.950,00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8.800,00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98,32%</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45 Rashodi za dodatna ulaganja na nefinancijskoj imovini</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181.000,00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-98.003,75</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82.996,25</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45,85%</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181.000,00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-98.003,75</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82.996,25</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45,85%</w:t>
            </w:r>
          </w:p>
        </w:tc>
      </w:tr>
      <w:tr w:rsidR="00440A6E" w:rsidTr="00F57898">
        <w:tc>
          <w:tcPr>
            <w:tcW w:w="5171" w:type="dxa"/>
            <w:shd w:val="clear" w:color="auto" w:fill="BDD7EE"/>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5 Izdaci za financijsku imovinu i otplate zajmova</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960" w:type="dxa"/>
            <w:shd w:val="clear" w:color="auto" w:fill="BDD7EE"/>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r>
      <w:tr w:rsidR="00440A6E" w:rsidTr="00F57898">
        <w:tc>
          <w:tcPr>
            <w:tcW w:w="5171" w:type="dxa"/>
          </w:tcPr>
          <w:p w:rsidR="00440A6E" w:rsidRDefault="00440A6E" w:rsidP="00F57898">
            <w:pPr>
              <w:pStyle w:val="Odlomakpopisa"/>
              <w:spacing w:after="0"/>
              <w:ind w:left="0"/>
              <w:rPr>
                <w:rFonts w:ascii="Times New Roman" w:hAnsi="Times New Roman"/>
                <w:sz w:val="18"/>
                <w:szCs w:val="18"/>
              </w:rPr>
            </w:pPr>
            <w:r>
              <w:rPr>
                <w:rFonts w:ascii="Times New Roman" w:hAnsi="Times New Roman"/>
                <w:sz w:val="18"/>
                <w:szCs w:val="18"/>
              </w:rPr>
              <w:t>54 Izdaci za otplatu glavnice primljenih kredita i zajmova</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960" w:type="dxa"/>
          </w:tcPr>
          <w:p w:rsidR="00440A6E" w:rsidRDefault="00440A6E"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r>
      <w:tr w:rsidR="00440A6E" w:rsidTr="00F57898">
        <w:tc>
          <w:tcPr>
            <w:tcW w:w="5171" w:type="dxa"/>
            <w:shd w:val="clear" w:color="auto" w:fill="E6FFE5"/>
          </w:tcPr>
          <w:p w:rsidR="00440A6E" w:rsidRDefault="00440A6E"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81 Namjenski primici od zaduživanja</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-86.500,00</w:t>
            </w:r>
          </w:p>
        </w:tc>
        <w:tc>
          <w:tcPr>
            <w:tcW w:w="130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960" w:type="dxa"/>
            <w:shd w:val="clear" w:color="auto" w:fill="E6FFE5"/>
          </w:tcPr>
          <w:p w:rsidR="00440A6E" w:rsidRDefault="00440A6E"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440A6E" w:rsidTr="00F57898">
        <w:tc>
          <w:tcPr>
            <w:tcW w:w="5171" w:type="dxa"/>
            <w:shd w:val="clear" w:color="auto" w:fill="505050"/>
          </w:tcPr>
          <w:p w:rsidR="00440A6E" w:rsidRDefault="00440A6E" w:rsidP="00F57898">
            <w:pPr>
              <w:pStyle w:val="Odlomakpopisa"/>
              <w:spacing w:after="0"/>
              <w:ind w:left="0"/>
              <w:rPr>
                <w:rFonts w:ascii="Times New Roman" w:hAnsi="Times New Roman"/>
                <w:b/>
                <w:color w:val="FFFFFF"/>
                <w:sz w:val="16"/>
                <w:szCs w:val="18"/>
              </w:rPr>
            </w:pPr>
            <w:r>
              <w:rPr>
                <w:rFonts w:ascii="Times New Roman" w:hAnsi="Times New Roman"/>
                <w:b/>
                <w:color w:val="FFFFFF"/>
                <w:sz w:val="16"/>
                <w:szCs w:val="18"/>
              </w:rPr>
              <w:t>UKUPNO RASHODI I IZDACI</w:t>
            </w:r>
          </w:p>
        </w:tc>
        <w:tc>
          <w:tcPr>
            <w:tcW w:w="130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1.518.180,24</w:t>
            </w:r>
          </w:p>
        </w:tc>
        <w:tc>
          <w:tcPr>
            <w:tcW w:w="130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-378.013,78</w:t>
            </w:r>
          </w:p>
        </w:tc>
        <w:tc>
          <w:tcPr>
            <w:tcW w:w="130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1.140.166,46</w:t>
            </w:r>
          </w:p>
        </w:tc>
        <w:tc>
          <w:tcPr>
            <w:tcW w:w="960" w:type="dxa"/>
            <w:shd w:val="clear" w:color="auto" w:fill="505050"/>
          </w:tcPr>
          <w:p w:rsidR="00440A6E" w:rsidRDefault="00440A6E"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75,10%</w:t>
            </w:r>
          </w:p>
        </w:tc>
      </w:tr>
    </w:tbl>
    <w:p w:rsidR="00440A6E" w:rsidRDefault="00440A6E" w:rsidP="00440A6E">
      <w:pPr>
        <w:pStyle w:val="Odlomakpopisa"/>
        <w:spacing w:after="0"/>
        <w:ind w:left="0"/>
        <w:rPr>
          <w:rFonts w:ascii="Times New Roman" w:hAnsi="Times New Roman"/>
          <w:sz w:val="18"/>
          <w:szCs w:val="18"/>
        </w:rPr>
      </w:pPr>
    </w:p>
    <w:p w:rsidR="00440A6E" w:rsidRDefault="00440A6E" w:rsidP="00440A6E">
      <w:pPr>
        <w:pStyle w:val="Odlomakpopisa"/>
        <w:spacing w:after="0"/>
        <w:ind w:firstLine="414"/>
        <w:rPr>
          <w:rFonts w:ascii="Times New Roman" w:hAnsi="Times New Roman"/>
        </w:rPr>
      </w:pPr>
    </w:p>
    <w:p w:rsidR="00440A6E" w:rsidRDefault="00440A6E" w:rsidP="00440A6E">
      <w:pPr>
        <w:spacing w:after="0"/>
        <w:rPr>
          <w:rFonts w:ascii="Times New Roman" w:hAnsi="Times New Roman" w:cs="Times New Roman"/>
          <w:b/>
          <w:bCs/>
        </w:rPr>
      </w:pPr>
      <w:r>
        <w:rPr>
          <w:rFonts w:ascii="Times New Roman" w:hAnsi="Times New Roman" w:cs="Times New Roman"/>
          <w:b/>
          <w:bCs/>
        </w:rPr>
        <w:t>3.2. OBRAZLOŽENJE PRENESENOG MANJKA ODNOSNO VIŠKA PRORAČUNA</w:t>
      </w:r>
    </w:p>
    <w:p w:rsidR="00440A6E" w:rsidRDefault="00440A6E" w:rsidP="00440A6E">
      <w:pPr>
        <w:ind w:firstLine="708"/>
        <w:jc w:val="both"/>
        <w:rPr>
          <w:rFonts w:ascii="Times New Roman" w:hAnsi="Times New Roman" w:cs="Times New Roman"/>
        </w:rPr>
      </w:pPr>
      <w:r>
        <w:rPr>
          <w:rFonts w:ascii="Times New Roman" w:hAnsi="Times New Roman" w:cs="Times New Roman"/>
        </w:rPr>
        <w:t>Planirani preneseni manjak se odnosi na manjak od općih prihoda i primitaka u iznosu od 201.362,71 EUR.</w:t>
      </w:r>
    </w:p>
    <w:p w:rsidR="00440A6E" w:rsidRDefault="00440A6E" w:rsidP="00440A6E">
      <w:pPr>
        <w:ind w:firstLine="708"/>
        <w:jc w:val="both"/>
        <w:rPr>
          <w:rFonts w:ascii="Times New Roman" w:hAnsi="Times New Roman" w:cs="Times New Roman"/>
        </w:rPr>
      </w:pPr>
      <w:r>
        <w:rPr>
          <w:rFonts w:ascii="Times New Roman" w:hAnsi="Times New Roman" w:cs="Times New Roman"/>
        </w:rPr>
        <w:t>Nakon uključenog planiranog prijenosa manjka prihoda, proračun je uravnotežen.</w:t>
      </w:r>
    </w:p>
    <w:p w:rsidR="00440A6E" w:rsidRDefault="00440A6E" w:rsidP="00440A6E">
      <w:pPr>
        <w:jc w:val="both"/>
        <w:rPr>
          <w:rFonts w:ascii="Times New Roman" w:hAnsi="Times New Roman" w:cs="Times New Roman"/>
        </w:rPr>
      </w:pPr>
    </w:p>
    <w:p w:rsidR="00440A6E" w:rsidRDefault="00440A6E" w:rsidP="00A66748">
      <w:pPr>
        <w:pStyle w:val="Odlomakpopisa"/>
        <w:numPr>
          <w:ilvl w:val="1"/>
          <w:numId w:val="13"/>
        </w:numPr>
        <w:spacing w:after="0"/>
        <w:rPr>
          <w:rFonts w:ascii="Times New Roman" w:hAnsi="Times New Roman"/>
          <w:b/>
          <w:bCs/>
        </w:rPr>
      </w:pPr>
      <w:r>
        <w:rPr>
          <w:rFonts w:ascii="Times New Roman" w:hAnsi="Times New Roman"/>
          <w:b/>
          <w:bCs/>
        </w:rPr>
        <w:t xml:space="preserve"> OBRAZLOŽENJE POSEBNOG DIJELA PRORAČUNA</w:t>
      </w:r>
    </w:p>
    <w:p w:rsidR="00440A6E" w:rsidRDefault="00440A6E" w:rsidP="00440A6E">
      <w:pPr>
        <w:widowControl w:val="0"/>
        <w:spacing w:before="12"/>
        <w:ind w:right="1" w:firstLine="708"/>
        <w:jc w:val="both"/>
        <w:rPr>
          <w:rFonts w:ascii="Times New Roman" w:hAnsi="Times New Roman" w:cs="Times New Roman"/>
          <w:color w:val="000000"/>
        </w:rPr>
      </w:pPr>
      <w:r>
        <w:rPr>
          <w:rFonts w:ascii="Times New Roman" w:hAnsi="Times New Roman" w:cs="Times New Roman"/>
          <w:color w:val="000000"/>
        </w:rPr>
        <w:t>Obrazloženje posebnog dijela proračuna sastoji se od obrazloženja programa koje se daje kroz obrazloženje aktivnosti i projekata:</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1001 OPĆINSKO VIJEĆE I OPĆINSKI NAČELNIK</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103.796,49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A100101 Općinsko vijeće i Općinski načelnik, planirana u iznosu 60.638,85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A100102 Lokalni izbori, planirana u iznosu 35.370,14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A100103 Financiranje političkih stranaka, planirana u iznosu 980,00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A100104 Obilježavanje Dana Općine i ostale manifestascije, planirana u iznosu 6.807,50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1002 VIJEĆE SRPSKE NACIONALNE MANJINE</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3.437,49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A100201 Vijeće srpske nacionalne manjine, planirana u iznosu 3.437,49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1003 PRIPREMA I DONOŠENJE AKATA IZ DJELOKRUGA TIJELA</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183.517,12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A100301 Administrativno i stručno osoblje, planirana u iznosu 139.279,28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A100302 Komunalni redar, planirana u iznosu 6.500,00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A100303 Tekuće i investicijsko održavanje građevinskih objekata, postrojenja i opreme i dr., planirana u iznosu 22.450,00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A100304 Intelektualne i osobne usluge, planirana u iznosu 6.000,00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A100305 Informatizacija uprave i nabava namještaja i opreme, planirana u iznosu 9.287,84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1004 RAZVOJ GOSPODARSTVA</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2.660,00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A100401 Poticanje poljoprivrede i gospodarskih subjekata, planirana u iznosu 2.660,00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1005 ODRŽAVANJE KOMUNALNE INFRASTRUKTURE</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141.585,42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A100501 Održavanje nerazvrstanih cesta, planirana u iznosu 57.692,10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A100502 Održavanje javnih površina na kojima nije dopušten promet vozilima, planirana u iznosu 22.000,00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A100503 Održavanje građevina javne odvodnje oborinskih voda, planirana u iznosu 10.000,00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A100504 Održavanje javnih zelenih površina, planirana u iznosu 6.746,66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A100505 Održavanje građevina, uređaja i predmeta javne namjene, planirana u iznosu 11.400,00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A100506 Održavanje groblja, planirana u iznosu 17.846,66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A100507 Održavanje čistoće javnih površina, planirana u iznosu 3.900,00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A100508 Održavanje javne rasvjete, planirana u iznosu 12.000,00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1006 GRAĐENJE KOMUNALNE INFRASTRUKTURE</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153.847,63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K100607 Centar općine, planiran u iznosu 14.659,14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K100601 Izgradnja prilazne ceste i mosta na potoku Draževac, planiran u iznosu 1.750,00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K100602 Izgradnja dječjeg igrališta u naselju Trnava, planiran u iznosu 2.998,86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K100603 Uređenje parkirališta kod doma Kosovac, planiran u iznosu 1.241,96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K100604 Uređenje okoliša Društvenog doma Smrtić-Ratkovac i izgradnja nadstrešnice, planiran u iznosu 51.551,42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K100606 Modernizacija javne rasvjete, planiran u iznosu 81.646,25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1007 GOSPODARENJE OTPADOM</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7.376,11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A100701 Poticajna naknada za smanjenje količine miješanog komunalnog otpada, planirana u iznosu 1.876,11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A100702 Naknada za korištenje odlagališta komunalnog otpada, planirana u iznosu 5.500,00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1008 PREDŠKOLSKI ODGOJ, OBRAZOVANJE</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64.434,20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A100801 Predškolski odgoj, planirana u iznosu 39.500,00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A100802 Osnovno i srednjoškolsko obrazovanje, planirana u iznosu 21.034,20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A100803 Visoko obrazovanje, planirana u iznosu 3.900,00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1009 JAVNE POTREBE U KULTURI, SPORTU, VJERSKIM ZAJEDNICAMA I OSTALO</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80.115,00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A100901 Djelatnost kulturno-umjetničkih društava, udruga i RP Bljesak, planirana u iznosu 20.500,00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A100902 Vjerske zajednice, planirana u iznosu 23.615,00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A100903 Utvrda Bedem, planirana u iznosu 14.000,00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A100904 Sportske zajednice, planirana u iznosu 22.000,00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1010 SOCIJALNE POTREBE</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40.422,67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A101001 Jednokratne novčane pomoći, planirana u iznosu 5.000,00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A101002 Pomoći u rješavanju prve stambene nekretnine mladih obitelji, planirana u iznosu 17.330,00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A101003 Humanitarna skrb kroz udruge i druge organizacije - Crveni križ, planirana u iznosu 4.200,00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A101004 Javni radovi, planirana u iznosu 13.892,67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1011 DODATNE USLUGE U ZDRAVSTVU</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21.587,50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A101102 Ostale tekuće donacije u zdravstvu, planirana u iznosu 300,00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A101101 Deratizacija, dezinsekcija, planirana u iznosu 21.287,50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1012 ORGANIZIRANJE ZAŠTITE I SPAŠAVANJA</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34.613,61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A101201 DVD, planirana u iznosu 30.000,00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A101202 Civilna zaštita, planirana u iznosu 3.963,61 EUR.</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A101203 HGSS, planirana u iznosu 650,00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1013 UPRAVLJANJE IMOVINOM</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1.000,00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A101301 Rekonstrukcija vijećnice, planirana u iznosu 1.000,00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1014 RAZVOJ SUSTAVA VODOOPSKRBE I ODVODNJE</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260.000,00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A101401 Kapitalne pomoći trgovačkim društvima  u javnom sektoru - odvodnja VZS, planirana u iznosu 260.000,00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1016 NARODNA KNJIŽNICA I ČITAONICA</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41.773,22 EUR, a sadrži slijedeće aktivnosti:</w:t>
      </w:r>
    </w:p>
    <w:p w:rsidR="00440A6E" w:rsidRDefault="00440A6E" w:rsidP="00440A6E">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A101601 Narodna knjižnica i čitaonica, planirana u iznosu 41.773,22 EUR.</w:t>
      </w: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widowControl w:val="0"/>
        <w:spacing w:before="12" w:after="0"/>
        <w:ind w:right="1"/>
        <w:jc w:val="both"/>
        <w:rPr>
          <w:rFonts w:ascii="Times New Roman" w:hAnsi="Times New Roman" w:cs="Times New Roman"/>
          <w:color w:val="000000"/>
        </w:rPr>
      </w:pPr>
    </w:p>
    <w:p w:rsidR="00440A6E" w:rsidRDefault="00440A6E" w:rsidP="00440A6E">
      <w:pPr>
        <w:spacing w:after="0"/>
        <w:rPr>
          <w:rFonts w:ascii="Times New Roman" w:hAnsi="Times New Roman" w:cs="Times New Roman"/>
          <w:b/>
          <w:bCs/>
        </w:rPr>
      </w:pPr>
    </w:p>
    <w:p w:rsidR="00440A6E" w:rsidRDefault="00440A6E" w:rsidP="00440A6E">
      <w:pPr>
        <w:spacing w:after="0"/>
        <w:rPr>
          <w:rFonts w:ascii="Times New Roman" w:hAnsi="Times New Roman" w:cs="Times New Roman"/>
          <w:b/>
          <w:bCs/>
        </w:rPr>
      </w:pPr>
    </w:p>
    <w:p w:rsidR="00440A6E" w:rsidRDefault="00440A6E" w:rsidP="00440A6E">
      <w:pPr>
        <w:spacing w:after="0"/>
        <w:jc w:val="center"/>
        <w:rPr>
          <w:rFonts w:ascii="Times New Roman" w:hAnsi="Times New Roman" w:cs="Times New Roman"/>
          <w:b/>
          <w:bCs/>
        </w:rPr>
      </w:pPr>
      <w:r>
        <w:rPr>
          <w:rFonts w:ascii="Times New Roman" w:hAnsi="Times New Roman" w:cs="Times New Roman"/>
          <w:b/>
          <w:bCs/>
        </w:rPr>
        <w:t>Članak 5.</w:t>
      </w:r>
    </w:p>
    <w:p w:rsidR="00440A6E" w:rsidRDefault="00440A6E" w:rsidP="00440A6E">
      <w:pPr>
        <w:widowControl w:val="0"/>
        <w:spacing w:before="12"/>
        <w:ind w:right="1" w:firstLine="708"/>
        <w:jc w:val="both"/>
        <w:rPr>
          <w:rFonts w:ascii="Times New Roman" w:hAnsi="Times New Roman"/>
          <w:b/>
          <w:bCs/>
        </w:rPr>
      </w:pPr>
      <w:r>
        <w:rPr>
          <w:rFonts w:ascii="Times New Roman" w:hAnsi="Times New Roman" w:cs="Times New Roman"/>
          <w:color w:val="000000"/>
        </w:rPr>
        <w:t>II. izmjene i dopune proračuna Općine Gornji Bogićevci za 2025.godinu stupaju na snagu osmog dana od objave u  Glasniku Općine Gornji Bogićevci, a biti će objavljene i na službenim stranicama Općine Gornji Bogićevci.</w:t>
      </w:r>
    </w:p>
    <w:p w:rsidR="00440A6E" w:rsidRDefault="00440A6E" w:rsidP="00440A6E">
      <w:pPr>
        <w:spacing w:after="0"/>
        <w:jc w:val="center"/>
        <w:rPr>
          <w:rFonts w:ascii="Times New Roman" w:hAnsi="Times New Roman"/>
          <w:b/>
          <w:bCs/>
        </w:rPr>
      </w:pPr>
      <w:r>
        <w:rPr>
          <w:rFonts w:ascii="Times New Roman" w:hAnsi="Times New Roman"/>
          <w:b/>
          <w:bCs/>
        </w:rPr>
        <w:t>OPĆINSKO VIJEĆE</w:t>
      </w:r>
    </w:p>
    <w:p w:rsidR="00440A6E" w:rsidRDefault="00440A6E" w:rsidP="00440A6E">
      <w:pPr>
        <w:spacing w:after="0"/>
        <w:jc w:val="center"/>
        <w:rPr>
          <w:rFonts w:ascii="Times New Roman" w:hAnsi="Times New Roman"/>
          <w:b/>
          <w:bCs/>
        </w:rPr>
      </w:pPr>
      <w:r>
        <w:rPr>
          <w:rFonts w:ascii="Times New Roman" w:hAnsi="Times New Roman"/>
          <w:b/>
          <w:bCs/>
        </w:rPr>
        <w:t>OPĆINE GORNJI BOGIĆEVCI</w:t>
      </w:r>
    </w:p>
    <w:p w:rsidR="00440A6E" w:rsidRDefault="00440A6E" w:rsidP="00440A6E">
      <w:pPr>
        <w:spacing w:after="0"/>
        <w:jc w:val="right"/>
        <w:rPr>
          <w:rFonts w:ascii="Times New Roman" w:hAnsi="Times New Roman"/>
          <w:b/>
          <w:bCs/>
        </w:rPr>
      </w:pPr>
    </w:p>
    <w:p w:rsidR="00440A6E" w:rsidRDefault="00440A6E" w:rsidP="00440A6E">
      <w:pPr>
        <w:spacing w:after="0"/>
        <w:jc w:val="right"/>
        <w:rPr>
          <w:rFonts w:ascii="Times New Roman" w:hAnsi="Times New Roman"/>
          <w:b/>
          <w:bCs/>
        </w:rPr>
      </w:pPr>
    </w:p>
    <w:p w:rsidR="00440A6E" w:rsidRDefault="00440A6E" w:rsidP="00440A6E">
      <w:pPr>
        <w:spacing w:after="0"/>
        <w:jc w:val="right"/>
        <w:rPr>
          <w:rFonts w:ascii="Times New Roman" w:hAnsi="Times New Roman"/>
          <w:b/>
          <w:bCs/>
        </w:rPr>
      </w:pPr>
    </w:p>
    <w:p w:rsidR="00440A6E" w:rsidRDefault="00440A6E" w:rsidP="00440A6E">
      <w:pPr>
        <w:spacing w:after="0"/>
        <w:jc w:val="right"/>
        <w:rPr>
          <w:rFonts w:ascii="Times New Roman" w:hAnsi="Times New Roman"/>
        </w:rPr>
      </w:pPr>
      <w:r>
        <w:rPr>
          <w:rFonts w:ascii="Times New Roman" w:hAnsi="Times New Roman"/>
        </w:rPr>
        <w:t>PREDSJEDNIK OPĆINSKOG VIJEĆA</w:t>
      </w:r>
    </w:p>
    <w:p w:rsidR="00440A6E" w:rsidRDefault="00440A6E" w:rsidP="00440A6E">
      <w:pPr>
        <w:spacing w:after="0"/>
        <w:jc w:val="right"/>
        <w:rPr>
          <w:rFonts w:ascii="Times New Roman" w:hAnsi="Times New Roman"/>
          <w:b/>
          <w:bCs/>
        </w:rPr>
      </w:pPr>
    </w:p>
    <w:p w:rsidR="00440A6E" w:rsidRDefault="00440A6E" w:rsidP="00440A6E">
      <w:pPr>
        <w:spacing w:after="0"/>
        <w:jc w:val="right"/>
        <w:rPr>
          <w:rFonts w:ascii="Times New Roman" w:hAnsi="Times New Roman"/>
          <w:b/>
          <w:bCs/>
        </w:rPr>
      </w:pPr>
      <w:r>
        <w:rPr>
          <w:rFonts w:ascii="Times New Roman" w:hAnsi="Times New Roman"/>
          <w:b/>
          <w:bCs/>
        </w:rPr>
        <w:t>________________________________</w:t>
      </w:r>
    </w:p>
    <w:p w:rsidR="00440A6E" w:rsidRDefault="00440A6E" w:rsidP="00440A6E">
      <w:pPr>
        <w:spacing w:after="0"/>
        <w:rPr>
          <w:rFonts w:ascii="Times New Roman" w:hAnsi="Times New Roman"/>
          <w:b/>
          <w:bCs/>
        </w:rPr>
      </w:pPr>
    </w:p>
    <w:p w:rsidR="00440A6E" w:rsidRDefault="00440A6E" w:rsidP="00440A6E">
      <w:pPr>
        <w:spacing w:after="0"/>
        <w:rPr>
          <w:rFonts w:ascii="Times New Roman" w:eastAsia="Times New Roman" w:hAnsi="Times New Roman" w:cs="Times New Roman"/>
          <w:lang w:eastAsia="hr-HR"/>
        </w:rPr>
      </w:pPr>
    </w:p>
    <w:p w:rsidR="00440A6E" w:rsidRDefault="00440A6E" w:rsidP="00440A6E">
      <w:pPr>
        <w:spacing w:after="0"/>
        <w:rPr>
          <w:rFonts w:ascii="Times New Roman" w:eastAsia="Times New Roman" w:hAnsi="Times New Roman" w:cs="Times New Roman"/>
          <w:lang w:val="en-US" w:eastAsia="hr-HR"/>
        </w:rPr>
      </w:pPr>
      <w:r>
        <w:rPr>
          <w:rFonts w:ascii="Times New Roman" w:eastAsia="Times New Roman" w:hAnsi="Times New Roman" w:cs="Times New Roman"/>
          <w:lang w:eastAsia="hr-HR"/>
        </w:rPr>
        <w:t xml:space="preserve">KLASA: </w:t>
      </w:r>
      <w:r>
        <w:rPr>
          <w:rFonts w:ascii="Times New Roman" w:eastAsia="Times New Roman" w:hAnsi="Times New Roman" w:cs="Times New Roman"/>
          <w:lang w:val="en-US" w:eastAsia="hr-HR"/>
        </w:rPr>
        <w:t>400-05/25-02/01</w:t>
      </w:r>
    </w:p>
    <w:p w:rsidR="00440A6E" w:rsidRDefault="00440A6E" w:rsidP="00440A6E">
      <w:pPr>
        <w:spacing w:after="0"/>
        <w:rPr>
          <w:rFonts w:ascii="Times New Roman" w:eastAsia="Times New Roman" w:hAnsi="Times New Roman" w:cs="Times New Roman"/>
          <w:lang w:val="en-US" w:eastAsia="hr-HR"/>
        </w:rPr>
      </w:pPr>
      <w:r>
        <w:rPr>
          <w:rFonts w:ascii="Times New Roman" w:eastAsia="Times New Roman" w:hAnsi="Times New Roman" w:cs="Times New Roman"/>
          <w:lang w:eastAsia="hr-HR"/>
        </w:rPr>
        <w:t xml:space="preserve">URBROJ: </w:t>
      </w:r>
      <w:r>
        <w:rPr>
          <w:rFonts w:ascii="Times New Roman" w:eastAsia="Times New Roman" w:hAnsi="Times New Roman" w:cs="Times New Roman"/>
          <w:lang w:val="en-US" w:eastAsia="hr-HR"/>
        </w:rPr>
        <w:t>2178-22-03-21</w:t>
      </w:r>
    </w:p>
    <w:p w:rsidR="00440A6E" w:rsidRDefault="00440A6E" w:rsidP="00440A6E">
      <w:pPr>
        <w:spacing w:after="0"/>
        <w:rPr>
          <w:rFonts w:ascii="Times New Roman" w:eastAsia="Times New Roman" w:hAnsi="Times New Roman" w:cs="Times New Roman"/>
          <w:lang w:val="en-US" w:eastAsia="hr-HR"/>
        </w:rPr>
      </w:pPr>
      <w:r>
        <w:rPr>
          <w:rFonts w:ascii="Times New Roman" w:eastAsia="Times New Roman" w:hAnsi="Times New Roman" w:cs="Times New Roman"/>
          <w:lang w:eastAsia="hr-HR"/>
        </w:rPr>
        <w:t xml:space="preserve">Gornji Bogićevci, </w:t>
      </w:r>
      <w:r>
        <w:rPr>
          <w:rFonts w:ascii="Times New Roman" w:eastAsia="Times New Roman" w:hAnsi="Times New Roman" w:cs="Times New Roman"/>
          <w:lang w:val="en-US" w:eastAsia="hr-HR"/>
        </w:rPr>
        <w:t>22.12.2025.</w:t>
      </w:r>
    </w:p>
    <w:p w:rsidR="00440A6E" w:rsidRDefault="00440A6E" w:rsidP="00440A6E">
      <w:pPr>
        <w:spacing w:after="0"/>
        <w:rPr>
          <w:rFonts w:ascii="Times New Roman" w:hAnsi="Times New Roman"/>
          <w:b/>
          <w:bCs/>
        </w:rPr>
      </w:pPr>
    </w:p>
    <w:p w:rsidR="00440A6E" w:rsidRDefault="00440A6E" w:rsidP="00440A6E">
      <w:pPr>
        <w:spacing w:after="0"/>
        <w:jc w:val="right"/>
        <w:rPr>
          <w:rFonts w:ascii="Times New Roman" w:hAnsi="Times New Roman" w:cs="Times New Roman"/>
        </w:rPr>
      </w:pPr>
    </w:p>
    <w:p w:rsidR="00440A6E" w:rsidRDefault="00440A6E" w:rsidP="00440A6E">
      <w:pPr>
        <w:spacing w:after="0"/>
        <w:rPr>
          <w:rFonts w:ascii="Times New Roman" w:hAnsi="Times New Roman"/>
        </w:rPr>
      </w:pPr>
    </w:p>
    <w:p w:rsidR="00440A6E" w:rsidRDefault="00440A6E" w:rsidP="00360577">
      <w:pPr>
        <w:spacing w:line="360" w:lineRule="auto"/>
        <w:jc w:val="both"/>
        <w:rPr>
          <w:rFonts w:ascii="Times New Roman" w:hAnsi="Times New Roman" w:cs="Times New Roman"/>
          <w:b/>
          <w:bCs/>
          <w:sz w:val="24"/>
          <w:szCs w:val="24"/>
        </w:rPr>
      </w:pPr>
    </w:p>
    <w:p w:rsidR="00440A6E" w:rsidRDefault="00440A6E" w:rsidP="00440A6E">
      <w:pPr>
        <w:pStyle w:val="Tijeloteksta"/>
      </w:pPr>
      <w:r>
        <w:rPr>
          <w:noProof/>
        </w:rPr>
        <w:drawing>
          <wp:inline distT="0" distB="0" distL="0" distR="0">
            <wp:extent cx="484505" cy="642620"/>
            <wp:effectExtent l="0" t="0" r="0" b="508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440A6E" w:rsidRDefault="00440A6E" w:rsidP="00440A6E">
      <w:pPr>
        <w:pStyle w:val="Tijeloteksta"/>
        <w:ind w:firstLine="720"/>
      </w:pPr>
    </w:p>
    <w:p w:rsidR="00440A6E" w:rsidRDefault="00440A6E" w:rsidP="00440A6E">
      <w:pPr>
        <w:rPr>
          <w:sz w:val="24"/>
          <w:szCs w:val="24"/>
        </w:rPr>
      </w:pPr>
      <w:r>
        <w:rPr>
          <w:sz w:val="24"/>
          <w:szCs w:val="24"/>
        </w:rPr>
        <w:t>REPUBLIKA HRVATSKA</w:t>
      </w:r>
    </w:p>
    <w:p w:rsidR="00440A6E" w:rsidRDefault="00440A6E" w:rsidP="00440A6E">
      <w:pPr>
        <w:rPr>
          <w:sz w:val="24"/>
          <w:szCs w:val="24"/>
        </w:rPr>
      </w:pPr>
      <w:r>
        <w:rPr>
          <w:sz w:val="24"/>
          <w:szCs w:val="24"/>
        </w:rPr>
        <w:t>BRODSKO-POSAVSKA ŽUPANIJA</w:t>
      </w:r>
    </w:p>
    <w:p w:rsidR="00440A6E" w:rsidRDefault="00440A6E" w:rsidP="00440A6E">
      <w:pPr>
        <w:rPr>
          <w:sz w:val="24"/>
          <w:szCs w:val="24"/>
        </w:rPr>
      </w:pPr>
      <w:r>
        <w:rPr>
          <w:sz w:val="24"/>
          <w:szCs w:val="24"/>
        </w:rPr>
        <w:t>OPĆINA GORNJI BOGIĆEVCI</w:t>
      </w:r>
    </w:p>
    <w:p w:rsidR="00440A6E" w:rsidRDefault="00440A6E" w:rsidP="00440A6E">
      <w:pPr>
        <w:rPr>
          <w:sz w:val="24"/>
          <w:szCs w:val="24"/>
        </w:rPr>
      </w:pPr>
      <w:r>
        <w:rPr>
          <w:sz w:val="24"/>
          <w:szCs w:val="24"/>
        </w:rPr>
        <w:t>OPĆINSKO VIJEĆE</w:t>
      </w:r>
    </w:p>
    <w:p w:rsidR="00440A6E" w:rsidRDefault="00440A6E" w:rsidP="00440A6E">
      <w:pPr>
        <w:jc w:val="both"/>
        <w:rPr>
          <w:sz w:val="24"/>
          <w:szCs w:val="24"/>
        </w:rPr>
      </w:pPr>
      <w:r>
        <w:rPr>
          <w:sz w:val="24"/>
          <w:szCs w:val="24"/>
        </w:rPr>
        <w:t xml:space="preserve">Trg hrvatskih branitelja 1, </w:t>
      </w:r>
    </w:p>
    <w:p w:rsidR="00440A6E" w:rsidRDefault="00440A6E" w:rsidP="00440A6E">
      <w:pPr>
        <w:jc w:val="both"/>
        <w:rPr>
          <w:sz w:val="24"/>
          <w:szCs w:val="24"/>
        </w:rPr>
      </w:pPr>
      <w:r>
        <w:rPr>
          <w:sz w:val="24"/>
          <w:szCs w:val="24"/>
        </w:rPr>
        <w:t>35429 Gornji Bogićevci</w:t>
      </w:r>
    </w:p>
    <w:p w:rsidR="00440A6E" w:rsidRDefault="00440A6E" w:rsidP="00440A6E">
      <w:pPr>
        <w:rPr>
          <w:sz w:val="24"/>
          <w:szCs w:val="24"/>
        </w:rPr>
      </w:pPr>
      <w:r>
        <w:rPr>
          <w:sz w:val="24"/>
          <w:szCs w:val="24"/>
        </w:rPr>
        <w:t>OIB: 89414039518</w:t>
      </w:r>
    </w:p>
    <w:p w:rsidR="00440A6E" w:rsidRDefault="00440A6E" w:rsidP="00440A6E">
      <w:pPr>
        <w:rPr>
          <w:sz w:val="24"/>
          <w:szCs w:val="24"/>
        </w:rPr>
      </w:pPr>
      <w:r>
        <w:rPr>
          <w:sz w:val="24"/>
          <w:szCs w:val="24"/>
        </w:rPr>
        <w:t>Tel: 035/375-056</w:t>
      </w:r>
    </w:p>
    <w:p w:rsidR="00440A6E" w:rsidRDefault="00440A6E" w:rsidP="00440A6E">
      <w:pPr>
        <w:pStyle w:val="Tijeloteksta"/>
        <w:ind w:firstLine="708"/>
        <w:rPr>
          <w:bCs/>
        </w:rPr>
      </w:pPr>
    </w:p>
    <w:p w:rsidR="00440A6E" w:rsidRDefault="00440A6E" w:rsidP="00440A6E">
      <w:pPr>
        <w:pStyle w:val="Tijeloteksta"/>
        <w:ind w:firstLine="708"/>
        <w:rPr>
          <w:b/>
        </w:rPr>
      </w:pPr>
      <w:r>
        <w:rPr>
          <w:bCs/>
        </w:rPr>
        <w:t xml:space="preserve">Na temelju članka 33. stavka 1. Zakona o stambenom zbrinjavanju na potpomognutim područjima („Narodne novine“ broj 106/18, 98/19 i 82/23), Uredbe o uvjetima za kupnju obiteljske kuće ili stana u državnom vlasništvu na područjima posebne državne skrbi („Narodne novine“ broj 19/11, 56/11, 3/13 i 24/19) </w:t>
      </w:r>
      <w:r>
        <w:t>članka 39. stavak 5. Statuta općine Gornji Bogićevci („Službeni glasnik Općine Gornji Bogićevci“, broj 02/21, Općinsko vijeće općine Gornji Bogićevci na svojoj 5. sjednici održanoj 22. prosinca 2025. godine, donosi</w:t>
      </w:r>
    </w:p>
    <w:p w:rsidR="00440A6E" w:rsidRDefault="00440A6E" w:rsidP="00440A6E">
      <w:pPr>
        <w:pStyle w:val="Tijeloteksta"/>
        <w:rPr>
          <w:b/>
          <w:bCs/>
        </w:rPr>
      </w:pPr>
    </w:p>
    <w:p w:rsidR="00440A6E" w:rsidRDefault="00440A6E" w:rsidP="00440A6E">
      <w:pPr>
        <w:tabs>
          <w:tab w:val="center" w:pos="4152"/>
          <w:tab w:val="left" w:pos="5235"/>
        </w:tabs>
        <w:jc w:val="center"/>
        <w:rPr>
          <w:b/>
          <w:bCs/>
          <w:sz w:val="24"/>
          <w:szCs w:val="24"/>
        </w:rPr>
      </w:pPr>
      <w:r>
        <w:rPr>
          <w:b/>
          <w:bCs/>
          <w:sz w:val="24"/>
          <w:szCs w:val="24"/>
        </w:rPr>
        <w:t>PLAN  UTROŠKA SREDSTAVA OD PRODAJE KUĆA I STANOVA U DRŽAVNOM VLASNIŠTVU NA PODRUČJU OPĆINE GORNJI BOGIĆECI ZA 2025. GODINU</w:t>
      </w:r>
    </w:p>
    <w:p w:rsidR="00440A6E" w:rsidRDefault="00440A6E" w:rsidP="00440A6E">
      <w:pPr>
        <w:jc w:val="center"/>
        <w:rPr>
          <w:bCs/>
          <w:sz w:val="24"/>
          <w:szCs w:val="24"/>
        </w:rPr>
      </w:pPr>
    </w:p>
    <w:p w:rsidR="00440A6E" w:rsidRDefault="00440A6E" w:rsidP="00440A6E">
      <w:pPr>
        <w:jc w:val="center"/>
        <w:rPr>
          <w:b/>
          <w:sz w:val="24"/>
          <w:szCs w:val="24"/>
        </w:rPr>
      </w:pPr>
      <w:r>
        <w:rPr>
          <w:b/>
          <w:sz w:val="24"/>
          <w:szCs w:val="24"/>
        </w:rPr>
        <w:t>Članak 1.</w:t>
      </w:r>
    </w:p>
    <w:p w:rsidR="00440A6E" w:rsidRDefault="00440A6E" w:rsidP="00440A6E">
      <w:pPr>
        <w:jc w:val="center"/>
        <w:rPr>
          <w:bCs/>
          <w:sz w:val="24"/>
          <w:szCs w:val="24"/>
        </w:rPr>
      </w:pPr>
    </w:p>
    <w:p w:rsidR="00440A6E" w:rsidRDefault="00440A6E" w:rsidP="00440A6E">
      <w:pPr>
        <w:rPr>
          <w:sz w:val="24"/>
          <w:szCs w:val="24"/>
        </w:rPr>
      </w:pPr>
      <w:r>
        <w:rPr>
          <w:sz w:val="24"/>
          <w:szCs w:val="24"/>
        </w:rPr>
        <w:t>Ovim Planom utvrđuje se namjena korištenja sredstava od prodaje kuća i stanova u državnom vlasništvu na području općine Gornji Bogićevci.</w:t>
      </w:r>
    </w:p>
    <w:p w:rsidR="00440A6E" w:rsidRDefault="00440A6E" w:rsidP="00440A6E">
      <w:pPr>
        <w:rPr>
          <w:sz w:val="24"/>
          <w:szCs w:val="24"/>
        </w:rPr>
      </w:pPr>
    </w:p>
    <w:p w:rsidR="00440A6E" w:rsidRDefault="00440A6E" w:rsidP="00440A6E">
      <w:pPr>
        <w:jc w:val="center"/>
        <w:rPr>
          <w:b/>
          <w:bCs/>
          <w:sz w:val="24"/>
          <w:szCs w:val="24"/>
        </w:rPr>
      </w:pPr>
      <w:r>
        <w:rPr>
          <w:b/>
          <w:bCs/>
          <w:sz w:val="24"/>
          <w:szCs w:val="24"/>
        </w:rPr>
        <w:t>Članak 2.</w:t>
      </w:r>
    </w:p>
    <w:p w:rsidR="00440A6E" w:rsidRDefault="00440A6E" w:rsidP="00440A6E">
      <w:pPr>
        <w:rPr>
          <w:sz w:val="24"/>
          <w:szCs w:val="24"/>
        </w:rPr>
      </w:pPr>
    </w:p>
    <w:p w:rsidR="00440A6E" w:rsidRDefault="00440A6E" w:rsidP="00440A6E">
      <w:pPr>
        <w:rPr>
          <w:sz w:val="24"/>
          <w:szCs w:val="24"/>
        </w:rPr>
      </w:pPr>
      <w:r>
        <w:rPr>
          <w:sz w:val="24"/>
          <w:szCs w:val="24"/>
        </w:rPr>
        <w:t xml:space="preserve">Od prodaje obiteljskih kuća i stanova u državnom vlasništvu na potpomognutim područjima za Općinu Gornji Bogićevci planiraju se sredstva u iznosu od </w:t>
      </w:r>
      <w:r>
        <w:rPr>
          <w:b/>
          <w:sz w:val="24"/>
          <w:szCs w:val="24"/>
        </w:rPr>
        <w:t>0,00 eura</w:t>
      </w:r>
      <w:r>
        <w:rPr>
          <w:sz w:val="24"/>
          <w:szCs w:val="24"/>
        </w:rPr>
        <w:t>.</w:t>
      </w:r>
    </w:p>
    <w:p w:rsidR="00440A6E" w:rsidRDefault="00440A6E" w:rsidP="00440A6E">
      <w:pPr>
        <w:rPr>
          <w:sz w:val="24"/>
          <w:szCs w:val="24"/>
        </w:rPr>
      </w:pPr>
    </w:p>
    <w:p w:rsidR="00440A6E" w:rsidRDefault="00440A6E" w:rsidP="00440A6E">
      <w:pPr>
        <w:jc w:val="center"/>
        <w:rPr>
          <w:b/>
          <w:bCs/>
          <w:sz w:val="24"/>
          <w:szCs w:val="24"/>
        </w:rPr>
      </w:pPr>
      <w:r>
        <w:rPr>
          <w:b/>
          <w:bCs/>
          <w:sz w:val="24"/>
          <w:szCs w:val="24"/>
        </w:rPr>
        <w:t>Članak 3.</w:t>
      </w:r>
    </w:p>
    <w:p w:rsidR="00440A6E" w:rsidRDefault="00440A6E" w:rsidP="00440A6E">
      <w:pPr>
        <w:jc w:val="center"/>
        <w:rPr>
          <w:bCs/>
          <w:sz w:val="24"/>
          <w:szCs w:val="24"/>
        </w:rPr>
      </w:pPr>
    </w:p>
    <w:p w:rsidR="00440A6E" w:rsidRDefault="00440A6E" w:rsidP="00440A6E">
      <w:pPr>
        <w:pStyle w:val="Tijeloteksta"/>
        <w:rPr>
          <w:bCs/>
        </w:rPr>
      </w:pPr>
      <w:r>
        <w:rPr>
          <w:bCs/>
        </w:rPr>
        <w:t>Sredstva iz članka 2. ovog Plana utrošit će se za izgradnju komunalne infrastrukture sukladno Programu građenja komunalne infrastrukture na području općine Gornji Bogićevci za 2025. godinu kako slijedi:</w:t>
      </w:r>
    </w:p>
    <w:p w:rsidR="00440A6E" w:rsidRDefault="00440A6E" w:rsidP="00440A6E">
      <w:pPr>
        <w:pStyle w:val="Tijeloteksta"/>
      </w:pPr>
      <w:r>
        <w:rPr>
          <w:bCs/>
        </w:rPr>
        <w:tab/>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911"/>
        <w:gridCol w:w="5828"/>
        <w:gridCol w:w="1570"/>
      </w:tblGrid>
      <w:tr w:rsidR="00440A6E" w:rsidTr="00F57898">
        <w:trPr>
          <w:trHeight w:val="276"/>
        </w:trPr>
        <w:tc>
          <w:tcPr>
            <w:tcW w:w="911" w:type="dxa"/>
            <w:vMerge w:val="restart"/>
          </w:tcPr>
          <w:p w:rsidR="00440A6E" w:rsidRDefault="00440A6E" w:rsidP="00F57898">
            <w:pPr>
              <w:pStyle w:val="Sadrajitablice"/>
              <w:snapToGrid w:val="0"/>
              <w:jc w:val="center"/>
              <w:rPr>
                <w:bCs/>
                <w:sz w:val="24"/>
                <w:szCs w:val="24"/>
              </w:rPr>
            </w:pPr>
            <w:r>
              <w:rPr>
                <w:bCs/>
                <w:sz w:val="24"/>
                <w:szCs w:val="24"/>
              </w:rPr>
              <w:t>Red.br.</w:t>
            </w:r>
          </w:p>
        </w:tc>
        <w:tc>
          <w:tcPr>
            <w:tcW w:w="5828" w:type="dxa"/>
            <w:vMerge w:val="restart"/>
          </w:tcPr>
          <w:p w:rsidR="00440A6E" w:rsidRDefault="00440A6E" w:rsidP="00F57898">
            <w:pPr>
              <w:pStyle w:val="Sadrajitablice"/>
              <w:snapToGrid w:val="0"/>
              <w:jc w:val="center"/>
              <w:rPr>
                <w:bCs/>
                <w:sz w:val="24"/>
                <w:szCs w:val="24"/>
              </w:rPr>
            </w:pPr>
            <w:r>
              <w:rPr>
                <w:bCs/>
                <w:sz w:val="24"/>
                <w:szCs w:val="24"/>
              </w:rPr>
              <w:t>Opis ulaganja</w:t>
            </w:r>
          </w:p>
        </w:tc>
        <w:tc>
          <w:tcPr>
            <w:tcW w:w="1570" w:type="dxa"/>
            <w:vMerge w:val="restart"/>
          </w:tcPr>
          <w:p w:rsidR="00440A6E" w:rsidRDefault="00440A6E" w:rsidP="00F57898">
            <w:pPr>
              <w:pStyle w:val="Sadrajitablice"/>
              <w:snapToGrid w:val="0"/>
              <w:jc w:val="center"/>
              <w:rPr>
                <w:bCs/>
                <w:sz w:val="24"/>
                <w:szCs w:val="24"/>
              </w:rPr>
            </w:pPr>
            <w:r>
              <w:rPr>
                <w:bCs/>
                <w:sz w:val="24"/>
                <w:szCs w:val="24"/>
              </w:rPr>
              <w:t>IZNOS (EUR)</w:t>
            </w:r>
          </w:p>
        </w:tc>
      </w:tr>
      <w:tr w:rsidR="00440A6E" w:rsidTr="00F57898">
        <w:trPr>
          <w:trHeight w:val="230"/>
        </w:trPr>
        <w:tc>
          <w:tcPr>
            <w:tcW w:w="911" w:type="dxa"/>
          </w:tcPr>
          <w:p w:rsidR="00440A6E" w:rsidRDefault="00440A6E" w:rsidP="00A66748">
            <w:pPr>
              <w:pStyle w:val="Sadrajitablice"/>
              <w:numPr>
                <w:ilvl w:val="0"/>
                <w:numId w:val="14"/>
              </w:numPr>
              <w:snapToGrid w:val="0"/>
              <w:rPr>
                <w:b/>
                <w:color w:val="FF0000"/>
                <w:sz w:val="24"/>
                <w:szCs w:val="24"/>
              </w:rPr>
            </w:pPr>
          </w:p>
        </w:tc>
        <w:tc>
          <w:tcPr>
            <w:tcW w:w="5828" w:type="dxa"/>
          </w:tcPr>
          <w:p w:rsidR="00440A6E" w:rsidRDefault="00440A6E" w:rsidP="00F57898">
            <w:pPr>
              <w:pStyle w:val="Sadrajitablice"/>
              <w:snapToGrid w:val="0"/>
              <w:jc w:val="center"/>
              <w:rPr>
                <w:b/>
                <w:sz w:val="24"/>
                <w:szCs w:val="24"/>
              </w:rPr>
            </w:pPr>
            <w:r>
              <w:rPr>
                <w:b/>
                <w:sz w:val="24"/>
                <w:szCs w:val="24"/>
              </w:rPr>
              <w:t>Modernizacija javne rasvjete</w:t>
            </w:r>
          </w:p>
        </w:tc>
        <w:tc>
          <w:tcPr>
            <w:tcW w:w="1570" w:type="dxa"/>
          </w:tcPr>
          <w:p w:rsidR="00440A6E" w:rsidRDefault="00440A6E" w:rsidP="00F57898">
            <w:pPr>
              <w:pStyle w:val="Sadrajitablice"/>
              <w:snapToGrid w:val="0"/>
              <w:jc w:val="center"/>
              <w:rPr>
                <w:b/>
                <w:color w:val="000000"/>
                <w:sz w:val="24"/>
                <w:szCs w:val="24"/>
                <w:lang w:val="hr-HR"/>
              </w:rPr>
            </w:pPr>
            <w:r>
              <w:rPr>
                <w:b/>
                <w:color w:val="000000"/>
                <w:sz w:val="24"/>
                <w:szCs w:val="24"/>
                <w:lang w:val="hr-HR"/>
              </w:rPr>
              <w:t>0,00</w:t>
            </w:r>
          </w:p>
        </w:tc>
      </w:tr>
      <w:tr w:rsidR="00440A6E" w:rsidTr="00F57898">
        <w:trPr>
          <w:trHeight w:val="276"/>
        </w:trPr>
        <w:tc>
          <w:tcPr>
            <w:tcW w:w="911" w:type="dxa"/>
          </w:tcPr>
          <w:p w:rsidR="00440A6E" w:rsidRDefault="00440A6E" w:rsidP="00F57898">
            <w:pPr>
              <w:pStyle w:val="Sadrajitablice"/>
              <w:snapToGrid w:val="0"/>
              <w:jc w:val="center"/>
              <w:rPr>
                <w:bCs/>
                <w:color w:val="000000"/>
                <w:sz w:val="24"/>
                <w:szCs w:val="24"/>
              </w:rPr>
            </w:pPr>
          </w:p>
        </w:tc>
        <w:tc>
          <w:tcPr>
            <w:tcW w:w="5828" w:type="dxa"/>
          </w:tcPr>
          <w:p w:rsidR="00440A6E" w:rsidRDefault="00440A6E" w:rsidP="00F57898">
            <w:pPr>
              <w:pStyle w:val="Sadrajitablice"/>
              <w:snapToGrid w:val="0"/>
              <w:jc w:val="center"/>
              <w:rPr>
                <w:bCs/>
                <w:color w:val="000000"/>
                <w:sz w:val="24"/>
                <w:szCs w:val="24"/>
              </w:rPr>
            </w:pPr>
            <w:r>
              <w:rPr>
                <w:bCs/>
                <w:color w:val="000000"/>
                <w:sz w:val="24"/>
                <w:szCs w:val="24"/>
              </w:rPr>
              <w:t>Ukupno:</w:t>
            </w:r>
          </w:p>
        </w:tc>
        <w:tc>
          <w:tcPr>
            <w:tcW w:w="1570" w:type="dxa"/>
          </w:tcPr>
          <w:p w:rsidR="00440A6E" w:rsidRDefault="00440A6E" w:rsidP="00F57898">
            <w:pPr>
              <w:pStyle w:val="Sadrajitablice"/>
              <w:snapToGrid w:val="0"/>
              <w:jc w:val="center"/>
              <w:rPr>
                <w:bCs/>
                <w:color w:val="000000"/>
                <w:sz w:val="24"/>
                <w:szCs w:val="24"/>
              </w:rPr>
            </w:pPr>
            <w:r>
              <w:rPr>
                <w:bCs/>
                <w:color w:val="000000"/>
                <w:sz w:val="24"/>
                <w:szCs w:val="24"/>
              </w:rPr>
              <w:t>0,00</w:t>
            </w:r>
          </w:p>
        </w:tc>
      </w:tr>
    </w:tbl>
    <w:p w:rsidR="00440A6E" w:rsidRDefault="00440A6E" w:rsidP="00440A6E">
      <w:pPr>
        <w:pStyle w:val="Tijeloteksta"/>
      </w:pPr>
    </w:p>
    <w:p w:rsidR="00440A6E" w:rsidRDefault="00440A6E" w:rsidP="00440A6E">
      <w:pPr>
        <w:pStyle w:val="Tijeloteksta"/>
        <w:jc w:val="center"/>
        <w:rPr>
          <w:b/>
          <w:bCs/>
        </w:rPr>
      </w:pPr>
    </w:p>
    <w:p w:rsidR="00440A6E" w:rsidRDefault="00440A6E" w:rsidP="00440A6E">
      <w:pPr>
        <w:pStyle w:val="Tijeloteksta"/>
        <w:jc w:val="center"/>
        <w:rPr>
          <w:b/>
          <w:bCs/>
        </w:rPr>
      </w:pPr>
    </w:p>
    <w:p w:rsidR="00440A6E" w:rsidRDefault="00440A6E" w:rsidP="00440A6E">
      <w:pPr>
        <w:pStyle w:val="Tijeloteksta"/>
        <w:jc w:val="center"/>
        <w:rPr>
          <w:b/>
          <w:bCs/>
        </w:rPr>
      </w:pPr>
      <w:r>
        <w:rPr>
          <w:b/>
          <w:bCs/>
        </w:rPr>
        <w:t>Članak 4.</w:t>
      </w:r>
    </w:p>
    <w:p w:rsidR="00440A6E" w:rsidRDefault="00440A6E" w:rsidP="00440A6E">
      <w:pPr>
        <w:pStyle w:val="Tijeloteksta"/>
        <w:jc w:val="center"/>
      </w:pPr>
    </w:p>
    <w:p w:rsidR="00440A6E" w:rsidRDefault="00440A6E" w:rsidP="00440A6E">
      <w:pPr>
        <w:pStyle w:val="Tijeloteksta"/>
      </w:pPr>
      <w:r>
        <w:t>Za realizaciju ovog Plana zadužuje se Općinski načelnik. Ovaj Plan dostaviti će se Ministarstvu prostornog uređenja, graditeljstva i državne imovine, te po završetku godine podnijeti Izvješće o utrošenim sredstvima za 2025. godinu.</w:t>
      </w:r>
    </w:p>
    <w:p w:rsidR="00440A6E" w:rsidRDefault="00440A6E" w:rsidP="00440A6E">
      <w:pPr>
        <w:pStyle w:val="Tijeloteksta"/>
      </w:pPr>
    </w:p>
    <w:p w:rsidR="00440A6E" w:rsidRDefault="00440A6E" w:rsidP="00440A6E">
      <w:pPr>
        <w:jc w:val="center"/>
        <w:rPr>
          <w:b/>
          <w:bCs/>
          <w:sz w:val="24"/>
          <w:szCs w:val="24"/>
        </w:rPr>
      </w:pPr>
      <w:r>
        <w:rPr>
          <w:b/>
          <w:bCs/>
          <w:sz w:val="24"/>
          <w:szCs w:val="24"/>
        </w:rPr>
        <w:t>Članak 5.</w:t>
      </w:r>
    </w:p>
    <w:p w:rsidR="00440A6E" w:rsidRDefault="00440A6E" w:rsidP="00440A6E">
      <w:pPr>
        <w:jc w:val="center"/>
        <w:rPr>
          <w:b/>
          <w:bCs/>
          <w:sz w:val="24"/>
          <w:szCs w:val="24"/>
        </w:rPr>
      </w:pPr>
    </w:p>
    <w:p w:rsidR="00440A6E" w:rsidRDefault="00440A6E" w:rsidP="00440A6E">
      <w:pPr>
        <w:pStyle w:val="Tijeloteksta"/>
        <w:rPr>
          <w:bCs/>
        </w:rPr>
      </w:pPr>
      <w:r>
        <w:rPr>
          <w:bCs/>
        </w:rPr>
        <w:t>Ovaj Program stupa na snagu osmi dan od dana objave u  “Službenom glasniku Općine Gornji Bogićevci“.</w:t>
      </w:r>
    </w:p>
    <w:p w:rsidR="00440A6E" w:rsidRDefault="00440A6E" w:rsidP="00440A6E">
      <w:pPr>
        <w:pStyle w:val="Tijeloteksta"/>
        <w:rPr>
          <w:bCs/>
        </w:rPr>
      </w:pPr>
    </w:p>
    <w:p w:rsidR="00440A6E" w:rsidRDefault="00440A6E" w:rsidP="00440A6E">
      <w:pPr>
        <w:pStyle w:val="Tijeloteksta"/>
        <w:jc w:val="center"/>
        <w:rPr>
          <w:bCs/>
        </w:rPr>
      </w:pPr>
      <w:r>
        <w:rPr>
          <w:b/>
          <w:iCs/>
        </w:rPr>
        <w:t>OPĆINSKO VIJEĆE</w:t>
      </w:r>
      <w:r>
        <w:rPr>
          <w:b/>
          <w:i/>
        </w:rPr>
        <w:t xml:space="preserve">  </w:t>
      </w:r>
      <w:r>
        <w:rPr>
          <w:b/>
          <w:iCs/>
        </w:rPr>
        <w:t>OPĆINE GORNJI BOGIĆEVCI</w:t>
      </w:r>
    </w:p>
    <w:p w:rsidR="00440A6E" w:rsidRDefault="00440A6E" w:rsidP="00440A6E">
      <w:pPr>
        <w:pStyle w:val="Tijeloteksta"/>
        <w:rPr>
          <w:bCs/>
        </w:rPr>
      </w:pPr>
    </w:p>
    <w:p w:rsidR="00440A6E" w:rsidRDefault="00440A6E" w:rsidP="00440A6E">
      <w:pPr>
        <w:jc w:val="both"/>
        <w:rPr>
          <w:bCs/>
          <w:sz w:val="24"/>
          <w:szCs w:val="24"/>
        </w:rPr>
      </w:pPr>
      <w:r>
        <w:rPr>
          <w:bCs/>
          <w:sz w:val="24"/>
          <w:szCs w:val="24"/>
        </w:rPr>
        <w:t>KLASA: 400-05-25-01-01</w:t>
      </w:r>
    </w:p>
    <w:p w:rsidR="00440A6E" w:rsidRDefault="00440A6E" w:rsidP="00440A6E">
      <w:pPr>
        <w:jc w:val="both"/>
        <w:rPr>
          <w:bCs/>
          <w:sz w:val="24"/>
          <w:szCs w:val="24"/>
        </w:rPr>
      </w:pPr>
      <w:r>
        <w:rPr>
          <w:bCs/>
          <w:sz w:val="24"/>
          <w:szCs w:val="24"/>
        </w:rPr>
        <w:lastRenderedPageBreak/>
        <w:t>URBROJ: 2178-22-03-25-11</w:t>
      </w:r>
    </w:p>
    <w:p w:rsidR="00440A6E" w:rsidRDefault="00440A6E" w:rsidP="00440A6E">
      <w:pPr>
        <w:jc w:val="both"/>
        <w:rPr>
          <w:bCs/>
          <w:sz w:val="24"/>
          <w:szCs w:val="24"/>
        </w:rPr>
      </w:pPr>
      <w:r>
        <w:rPr>
          <w:bCs/>
          <w:sz w:val="24"/>
          <w:szCs w:val="24"/>
        </w:rPr>
        <w:t>Gornji Bogićevci, 22. prosinca 2025. godine</w:t>
      </w:r>
      <w:r>
        <w:rPr>
          <w:bCs/>
          <w:sz w:val="24"/>
          <w:szCs w:val="24"/>
        </w:rPr>
        <w:tab/>
      </w:r>
      <w:r>
        <w:rPr>
          <w:bCs/>
          <w:sz w:val="24"/>
          <w:szCs w:val="24"/>
        </w:rPr>
        <w:tab/>
      </w:r>
    </w:p>
    <w:p w:rsidR="00440A6E" w:rsidRDefault="00440A6E" w:rsidP="00440A6E">
      <w:pPr>
        <w:jc w:val="both"/>
        <w:rPr>
          <w:bCs/>
          <w:sz w:val="24"/>
          <w:szCs w:val="24"/>
        </w:rPr>
      </w:pPr>
    </w:p>
    <w:p w:rsidR="00440A6E" w:rsidRDefault="00440A6E" w:rsidP="00440A6E">
      <w:pPr>
        <w:jc w:val="both"/>
        <w:rPr>
          <w:bCs/>
          <w:sz w:val="24"/>
          <w:szCs w:val="24"/>
        </w:rPr>
      </w:pPr>
    </w:p>
    <w:p w:rsidR="00440A6E" w:rsidRDefault="00440A6E" w:rsidP="00440A6E">
      <w:pPr>
        <w:jc w:val="both"/>
        <w:rPr>
          <w:bCs/>
          <w:sz w:val="24"/>
          <w:szCs w:val="24"/>
        </w:rPr>
      </w:pPr>
    </w:p>
    <w:p w:rsidR="00440A6E" w:rsidRDefault="00440A6E" w:rsidP="00440A6E">
      <w:pPr>
        <w:jc w:val="both"/>
        <w:rPr>
          <w:bCs/>
          <w:sz w:val="24"/>
          <w:szCs w:val="24"/>
        </w:rPr>
      </w:pPr>
    </w:p>
    <w:p w:rsidR="00440A6E" w:rsidRDefault="00440A6E" w:rsidP="00440A6E">
      <w:pPr>
        <w:jc w:val="both"/>
        <w:rPr>
          <w:b/>
          <w:bCs/>
          <w:sz w:val="24"/>
          <w:szCs w:val="24"/>
        </w:rPr>
      </w:pPr>
      <w:r>
        <w:rPr>
          <w:bCs/>
          <w:sz w:val="24"/>
          <w:szCs w:val="24"/>
        </w:rPr>
        <w:tab/>
      </w:r>
      <w:r>
        <w:rPr>
          <w:bCs/>
          <w:sz w:val="24"/>
          <w:szCs w:val="24"/>
        </w:rPr>
        <w:tab/>
      </w:r>
      <w:r>
        <w:rPr>
          <w:bCs/>
          <w:sz w:val="24"/>
          <w:szCs w:val="24"/>
        </w:rPr>
        <w:tab/>
      </w:r>
      <w:r>
        <w:rPr>
          <w:b/>
          <w:bCs/>
          <w:sz w:val="24"/>
          <w:szCs w:val="24"/>
        </w:rPr>
        <w:tab/>
      </w:r>
    </w:p>
    <w:p w:rsidR="00440A6E" w:rsidRDefault="00440A6E" w:rsidP="00440A6E">
      <w:pPr>
        <w:jc w:val="right"/>
        <w:rPr>
          <w:sz w:val="24"/>
          <w:szCs w:val="24"/>
        </w:rPr>
      </w:pPr>
      <w:r>
        <w:rPr>
          <w:sz w:val="24"/>
          <w:szCs w:val="24"/>
        </w:rPr>
        <w:t xml:space="preserve">   PREDSJEDNIK OPĆINSKOG VIJEĆA</w:t>
      </w:r>
    </w:p>
    <w:p w:rsidR="00440A6E" w:rsidRDefault="00440A6E" w:rsidP="00440A6E">
      <w:pPr>
        <w:ind w:left="4956" w:firstLine="708"/>
        <w:jc w:val="center"/>
        <w:rPr>
          <w:sz w:val="24"/>
          <w:szCs w:val="24"/>
        </w:rPr>
      </w:pPr>
      <w:r>
        <w:rPr>
          <w:sz w:val="24"/>
          <w:szCs w:val="24"/>
        </w:rPr>
        <w:t>Željko Klarić</w:t>
      </w:r>
    </w:p>
    <w:p w:rsidR="00440A6E" w:rsidRDefault="00440A6E" w:rsidP="00440A6E">
      <w:pPr>
        <w:rPr>
          <w:sz w:val="24"/>
          <w:szCs w:val="24"/>
        </w:rPr>
      </w:pPr>
    </w:p>
    <w:p w:rsidR="00440A6E" w:rsidRDefault="00440A6E" w:rsidP="00440A6E">
      <w:pPr>
        <w:rPr>
          <w:sz w:val="24"/>
          <w:szCs w:val="24"/>
        </w:rPr>
      </w:pPr>
    </w:p>
    <w:p w:rsidR="00440A6E" w:rsidRDefault="00440A6E" w:rsidP="00440A6E">
      <w:pPr>
        <w:rPr>
          <w:sz w:val="24"/>
          <w:szCs w:val="24"/>
        </w:rPr>
      </w:pPr>
    </w:p>
    <w:p w:rsidR="00440A6E" w:rsidRDefault="00440A6E" w:rsidP="00440A6E">
      <w:pPr>
        <w:rPr>
          <w:sz w:val="24"/>
          <w:szCs w:val="24"/>
        </w:rPr>
      </w:pPr>
    </w:p>
    <w:p w:rsidR="00440A6E" w:rsidRDefault="00440A6E" w:rsidP="00440A6E">
      <w:pPr>
        <w:rPr>
          <w:sz w:val="24"/>
          <w:szCs w:val="24"/>
        </w:rPr>
      </w:pPr>
      <w:r>
        <w:rPr>
          <w:sz w:val="24"/>
          <w:szCs w:val="24"/>
        </w:rPr>
        <w:t>Dostaviti:</w:t>
      </w:r>
    </w:p>
    <w:p w:rsidR="00440A6E" w:rsidRDefault="00440A6E" w:rsidP="00A66748">
      <w:pPr>
        <w:numPr>
          <w:ilvl w:val="0"/>
          <w:numId w:val="15"/>
        </w:numPr>
        <w:spacing w:line="240" w:lineRule="auto"/>
        <w:contextualSpacing/>
        <w:rPr>
          <w:sz w:val="24"/>
          <w:szCs w:val="24"/>
        </w:rPr>
      </w:pPr>
      <w:r>
        <w:rPr>
          <w:sz w:val="24"/>
          <w:szCs w:val="24"/>
        </w:rPr>
        <w:t>Jedinstveni upravni odjel</w:t>
      </w:r>
    </w:p>
    <w:p w:rsidR="00440A6E" w:rsidRDefault="00440A6E" w:rsidP="00A66748">
      <w:pPr>
        <w:numPr>
          <w:ilvl w:val="0"/>
          <w:numId w:val="15"/>
        </w:numPr>
        <w:spacing w:line="240" w:lineRule="auto"/>
        <w:contextualSpacing/>
        <w:rPr>
          <w:sz w:val="24"/>
          <w:szCs w:val="24"/>
        </w:rPr>
      </w:pPr>
      <w:r>
        <w:rPr>
          <w:sz w:val="24"/>
          <w:szCs w:val="24"/>
        </w:rPr>
        <w:t>Službeni glasnik Općine Gornji Bogićevci</w:t>
      </w:r>
    </w:p>
    <w:p w:rsidR="00440A6E" w:rsidRDefault="00440A6E" w:rsidP="00A66748">
      <w:pPr>
        <w:numPr>
          <w:ilvl w:val="0"/>
          <w:numId w:val="15"/>
        </w:numPr>
        <w:spacing w:line="240" w:lineRule="auto"/>
        <w:contextualSpacing/>
        <w:rPr>
          <w:sz w:val="24"/>
          <w:szCs w:val="24"/>
        </w:rPr>
      </w:pPr>
      <w:r>
        <w:rPr>
          <w:sz w:val="24"/>
          <w:szCs w:val="24"/>
        </w:rPr>
        <w:t>Ministarstvo prostornog uređenja, graditeljstva i državne imovine</w:t>
      </w:r>
    </w:p>
    <w:p w:rsidR="00440A6E" w:rsidRDefault="00440A6E" w:rsidP="00A66748">
      <w:pPr>
        <w:numPr>
          <w:ilvl w:val="0"/>
          <w:numId w:val="15"/>
        </w:numPr>
        <w:spacing w:line="240" w:lineRule="auto"/>
        <w:contextualSpacing/>
        <w:rPr>
          <w:sz w:val="24"/>
          <w:szCs w:val="24"/>
        </w:rPr>
      </w:pPr>
      <w:r>
        <w:rPr>
          <w:sz w:val="24"/>
          <w:szCs w:val="24"/>
        </w:rPr>
        <w:t>Pismohrana.</w:t>
      </w:r>
    </w:p>
    <w:p w:rsidR="00440A6E" w:rsidRDefault="00440A6E" w:rsidP="00440A6E">
      <w:pPr>
        <w:rPr>
          <w:sz w:val="24"/>
          <w:szCs w:val="24"/>
        </w:rPr>
      </w:pPr>
    </w:p>
    <w:p w:rsidR="00440A6E" w:rsidRDefault="00440A6E" w:rsidP="00440A6E">
      <w:pPr>
        <w:rPr>
          <w:sz w:val="24"/>
          <w:szCs w:val="24"/>
        </w:rPr>
      </w:pPr>
    </w:p>
    <w:p w:rsidR="00440A6E" w:rsidRDefault="00440A6E" w:rsidP="00440A6E">
      <w:pPr>
        <w:jc w:val="both"/>
        <w:rPr>
          <w:b/>
          <w:bCs/>
          <w:sz w:val="24"/>
          <w:szCs w:val="24"/>
        </w:rPr>
      </w:pPr>
    </w:p>
    <w:p w:rsidR="00440A6E" w:rsidRDefault="00440A6E" w:rsidP="00440A6E">
      <w:pPr>
        <w:jc w:val="both"/>
        <w:rPr>
          <w:b/>
          <w:bCs/>
          <w:sz w:val="24"/>
          <w:szCs w:val="24"/>
        </w:rPr>
      </w:pPr>
      <w:r>
        <w:rPr>
          <w:b/>
          <w:bCs/>
          <w:sz w:val="24"/>
          <w:szCs w:val="24"/>
        </w:rPr>
        <w:tab/>
      </w:r>
      <w:r>
        <w:rPr>
          <w:b/>
          <w:bCs/>
          <w:sz w:val="24"/>
          <w:szCs w:val="24"/>
        </w:rPr>
        <w:tab/>
        <w:t xml:space="preserve"> </w:t>
      </w:r>
    </w:p>
    <w:p w:rsidR="00440A6E" w:rsidRDefault="00440A6E" w:rsidP="00440A6E">
      <w:pPr>
        <w:rPr>
          <w:b/>
          <w:bCs/>
          <w:color w:val="000000"/>
          <w:sz w:val="24"/>
          <w:szCs w:val="24"/>
        </w:rPr>
      </w:pPr>
    </w:p>
    <w:p w:rsidR="00440A6E" w:rsidRDefault="00440A6E" w:rsidP="00440A6E">
      <w:pPr>
        <w:rPr>
          <w:b/>
          <w:bCs/>
          <w:color w:val="000000"/>
          <w:sz w:val="24"/>
          <w:szCs w:val="24"/>
        </w:rPr>
      </w:pPr>
    </w:p>
    <w:p w:rsidR="00440A6E" w:rsidRDefault="00440A6E" w:rsidP="00440A6E">
      <w:pPr>
        <w:rPr>
          <w:b/>
          <w:bCs/>
          <w:color w:val="000000"/>
          <w:sz w:val="24"/>
          <w:szCs w:val="24"/>
        </w:rPr>
      </w:pPr>
    </w:p>
    <w:p w:rsidR="00440A6E" w:rsidRDefault="00440A6E" w:rsidP="00440A6E">
      <w:pPr>
        <w:rPr>
          <w:b/>
          <w:bCs/>
          <w:color w:val="000000"/>
          <w:sz w:val="24"/>
          <w:szCs w:val="24"/>
        </w:rPr>
      </w:pPr>
    </w:p>
    <w:p w:rsidR="00440A6E" w:rsidRDefault="00440A6E" w:rsidP="00440A6E">
      <w:pPr>
        <w:rPr>
          <w:b/>
          <w:bCs/>
          <w:color w:val="000000"/>
          <w:sz w:val="24"/>
          <w:szCs w:val="24"/>
        </w:rPr>
      </w:pPr>
    </w:p>
    <w:p w:rsidR="00440A6E" w:rsidRDefault="00440A6E" w:rsidP="00440A6E">
      <w:pPr>
        <w:pStyle w:val="Podnaslov0"/>
        <w:rPr>
          <w:rStyle w:val="Istaknuto"/>
          <w:rFonts w:cs="Times New Roman"/>
          <w:b/>
          <w:bCs/>
          <w:i w:val="0"/>
          <w:iCs w:val="0"/>
          <w:color w:val="000000"/>
          <w:sz w:val="24"/>
          <w:szCs w:val="24"/>
        </w:rPr>
      </w:pPr>
      <w:r>
        <w:rPr>
          <w:rStyle w:val="Istaknuto"/>
          <w:rFonts w:cs="Times New Roman"/>
          <w:b/>
          <w:bCs/>
          <w:color w:val="000000"/>
          <w:sz w:val="24"/>
          <w:szCs w:val="24"/>
        </w:rPr>
        <w:t>OBRAZLOŽENJE PLANA UTROŠKA SREDSTAVA OD PRODAJE KUĆA I STANOVA U DRŽAVNOM VLASNIŠTVU NA PODRUČJU OPĆINE GORNJI BOGIĆEVCI U 2025. GODINI</w:t>
      </w:r>
    </w:p>
    <w:p w:rsidR="00440A6E" w:rsidRDefault="00440A6E" w:rsidP="00440A6E">
      <w:pPr>
        <w:rPr>
          <w:b/>
          <w:bCs/>
          <w:color w:val="000000"/>
          <w:sz w:val="24"/>
          <w:szCs w:val="24"/>
        </w:rPr>
      </w:pPr>
    </w:p>
    <w:p w:rsidR="00440A6E" w:rsidRDefault="00440A6E" w:rsidP="00440A6E">
      <w:pPr>
        <w:rPr>
          <w:color w:val="000000"/>
          <w:sz w:val="24"/>
          <w:szCs w:val="24"/>
        </w:rPr>
      </w:pPr>
      <w:r>
        <w:rPr>
          <w:color w:val="000000"/>
          <w:sz w:val="24"/>
          <w:szCs w:val="24"/>
        </w:rPr>
        <w:lastRenderedPageBreak/>
        <w:t xml:space="preserve">Zakonom o stambenom zbrinjavanju </w:t>
      </w:r>
      <w:r>
        <w:rPr>
          <w:bCs/>
          <w:color w:val="000000"/>
          <w:sz w:val="24"/>
          <w:szCs w:val="24"/>
        </w:rPr>
        <w:t xml:space="preserve">(“Narodne novine” broj 106/18, 98/19 i 82/23) te </w:t>
      </w:r>
      <w:r>
        <w:rPr>
          <w:color w:val="000000"/>
          <w:sz w:val="24"/>
          <w:szCs w:val="24"/>
        </w:rPr>
        <w:t xml:space="preserve">Uredbom o uvjetima za kupnju obiteljske kuće ili stana u državnom vlasništvu na potpomognutim područjima („Narodne novine“ broj 19/11, 56/11, 3/13 i 24/19) propisano je da su sredstva od prodaje kuća i stanova u vlasništvu RH prihod jedinice lokalne samouprave na području na kojem se kuća ili stan nalaze te da se navedena sredstva mogu koristiti za izgradnju i obnovu komunalne infrastrukture, stambeno zbrinjavanje, izgradnju socijalnih stanova i podizanje standarda stambenog fonda. </w:t>
      </w:r>
    </w:p>
    <w:p w:rsidR="00440A6E" w:rsidRDefault="00440A6E" w:rsidP="00440A6E">
      <w:pPr>
        <w:rPr>
          <w:sz w:val="24"/>
          <w:szCs w:val="24"/>
        </w:rPr>
      </w:pPr>
      <w:r>
        <w:rPr>
          <w:color w:val="000000"/>
          <w:sz w:val="24"/>
          <w:szCs w:val="24"/>
        </w:rPr>
        <w:t>Propisano je također da su jedinice lokalne samouprave dužne izraditi Plan utroška sredstava i dostaviti ga Ministarstvu prostornog uređenja, graditeljstva i državne imovine, te po završetku godine dostaviti Izvješće o utrošenim sredstvima.</w:t>
      </w:r>
    </w:p>
    <w:p w:rsidR="00440A6E" w:rsidRDefault="00440A6E" w:rsidP="00440A6E"/>
    <w:p w:rsidR="00440A6E" w:rsidRDefault="00440A6E" w:rsidP="00440A6E">
      <w:pPr>
        <w:pStyle w:val="Tijeloteksta"/>
      </w:pPr>
      <w:r>
        <w:t xml:space="preserve">                    </w:t>
      </w:r>
      <w:r>
        <w:rPr>
          <w:noProof/>
        </w:rPr>
        <w:drawing>
          <wp:inline distT="0" distB="0" distL="0" distR="0">
            <wp:extent cx="484505" cy="642620"/>
            <wp:effectExtent l="0" t="0" r="0" b="5080"/>
            <wp:docPr id="506980839" name="Slika 506980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440A6E" w:rsidRDefault="00440A6E" w:rsidP="00440A6E">
      <w:pPr>
        <w:pStyle w:val="Tijeloteksta"/>
        <w:ind w:firstLine="720"/>
      </w:pP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REPUBLIKA HRVATSKA</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BRODSKO-POSAVSKA ŽUPANIJA</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OPĆINA GORNJI BOGIĆEVCI</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OPĆINSKO VIJEĆE</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35429 Gornji Bogićevci</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OIB: 89414039518</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Tel: 035/375-056</w:t>
      </w:r>
    </w:p>
    <w:p w:rsidR="00440A6E" w:rsidRDefault="00440A6E" w:rsidP="00440A6E">
      <w:pPr>
        <w:spacing w:after="0"/>
        <w:rPr>
          <w:rFonts w:ascii="Times New Roman" w:hAnsi="Times New Roman" w:cs="Times New Roman"/>
          <w:sz w:val="24"/>
          <w:szCs w:val="24"/>
        </w:rPr>
      </w:pPr>
    </w:p>
    <w:p w:rsidR="00440A6E" w:rsidRDefault="00440A6E" w:rsidP="00440A6E">
      <w:pPr>
        <w:pStyle w:val="Tijeloteksta"/>
        <w:ind w:firstLine="708"/>
        <w:rPr>
          <w:b/>
        </w:rPr>
      </w:pPr>
      <w:r>
        <w:t>Na temelju članka 67. stavak 1. Zakona o komunalnom gospodarstvu (“Narodne novine” broj 68/18, 110/18 i 32/20), a u vezi s člankom 19. Zakona o lokalnoj i područnoj (regionalnoj) samoupravi („Narodne novine“ broj</w:t>
      </w:r>
      <w:r>
        <w:rPr>
          <w:rStyle w:val="apple-converted-space"/>
        </w:rPr>
        <w:t xml:space="preserve"> 33/01, 60/01, 129/05, 109/07, 125/08, 36/09, 36/09, 150/11, 144/12, 19/13, 137/15, 123/17, 98/19 i 144/20), </w:t>
      </w:r>
      <w:r>
        <w:t>te članka 39. stavak 5 Statuta općine Gornji Bogićevci („Službeni glasnik Općine Gornji Bogićevci“, broj 02/21, Općinsko vijeće općine Gornji Bogićevci na svojoj 5. sjednici održanoj 22. prosinca 2025. godine, donosi</w:t>
      </w:r>
    </w:p>
    <w:p w:rsidR="00440A6E" w:rsidRDefault="00440A6E" w:rsidP="00440A6E">
      <w:pPr>
        <w:spacing w:after="0" w:line="240" w:lineRule="auto"/>
        <w:jc w:val="center"/>
        <w:rPr>
          <w:rFonts w:ascii="Times New Roman" w:eastAsia="Times New Roman" w:hAnsi="Times New Roman" w:cs="Times New Roman"/>
          <w:b/>
          <w:sz w:val="24"/>
          <w:szCs w:val="24"/>
          <w:lang w:eastAsia="hr-HR"/>
        </w:rPr>
      </w:pPr>
    </w:p>
    <w:p w:rsidR="00440A6E" w:rsidRDefault="00440A6E" w:rsidP="00440A6E">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PROGRAM GRAĐENJA KOMUNALNE INFRASTRUKTURE ZA 2025. GODINU</w:t>
      </w:r>
    </w:p>
    <w:p w:rsidR="00440A6E" w:rsidRDefault="00440A6E" w:rsidP="00440A6E">
      <w:pPr>
        <w:spacing w:after="0" w:line="240" w:lineRule="auto"/>
        <w:jc w:val="center"/>
        <w:rPr>
          <w:rFonts w:ascii="Times New Roman" w:hAnsi="Times New Roman" w:cs="Times New Roman"/>
          <w:b/>
          <w:sz w:val="24"/>
          <w:szCs w:val="24"/>
        </w:rPr>
      </w:pPr>
    </w:p>
    <w:p w:rsidR="00440A6E" w:rsidRDefault="00440A6E" w:rsidP="00440A6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w:t>
      </w:r>
      <w:r>
        <w:rPr>
          <w:rFonts w:ascii="Times New Roman" w:hAnsi="Times New Roman" w:cs="Times New Roman"/>
          <w:sz w:val="24"/>
          <w:szCs w:val="24"/>
        </w:rPr>
        <w:t>.</w:t>
      </w:r>
    </w:p>
    <w:p w:rsidR="00440A6E" w:rsidRDefault="00440A6E" w:rsidP="00440A6E">
      <w:pPr>
        <w:spacing w:after="0" w:line="240" w:lineRule="auto"/>
        <w:jc w:val="center"/>
        <w:rPr>
          <w:rFonts w:ascii="Times New Roman" w:hAnsi="Times New Roman" w:cs="Times New Roman"/>
          <w:sz w:val="24"/>
          <w:szCs w:val="24"/>
        </w:rPr>
      </w:pPr>
    </w:p>
    <w:p w:rsidR="00440A6E" w:rsidRDefault="00440A6E" w:rsidP="00440A6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Programom građenja komunalne infrastrukture za 2025. godinu (u daljnjem tekstu: Program) određuje se:</w:t>
      </w:r>
    </w:p>
    <w:p w:rsidR="00440A6E" w:rsidRDefault="00440A6E"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Građevine komunalne infrastrukture koje će se graditi radi uređenja neuređenih dijelova građevinskih područja </w:t>
      </w:r>
    </w:p>
    <w:p w:rsidR="00440A6E" w:rsidRDefault="00440A6E"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graditi u uređenim dijelovima građevinskog područja</w:t>
      </w:r>
    </w:p>
    <w:p w:rsidR="00440A6E" w:rsidRDefault="00440A6E"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graditi izvan građevinskog područja</w:t>
      </w:r>
    </w:p>
    <w:p w:rsidR="00440A6E" w:rsidRDefault="00440A6E"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Postojeće građevine komunalne infrastrukture koje će se rekonstruirati i način rekonstrukcije</w:t>
      </w:r>
    </w:p>
    <w:p w:rsidR="00440A6E" w:rsidRDefault="00440A6E"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uklanjati</w:t>
      </w:r>
    </w:p>
    <w:p w:rsidR="00440A6E" w:rsidRDefault="00440A6E"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Druga pitanja određena Zakonom o komunalnom gospodarstvu (“Narodne novine” broj 68/18, 110/18 i 32/20)</w:t>
      </w:r>
    </w:p>
    <w:p w:rsidR="00440A6E" w:rsidRDefault="00440A6E" w:rsidP="00440A6E">
      <w:pPr>
        <w:spacing w:after="0" w:line="240" w:lineRule="auto"/>
        <w:ind w:left="360"/>
        <w:jc w:val="both"/>
        <w:rPr>
          <w:rFonts w:ascii="Times New Roman" w:eastAsia="Times New Roman" w:hAnsi="Times New Roman" w:cs="Times New Roman"/>
          <w:sz w:val="24"/>
          <w:szCs w:val="24"/>
          <w:lang w:eastAsia="hr-HR"/>
        </w:rPr>
      </w:pPr>
    </w:p>
    <w:p w:rsidR="00440A6E" w:rsidRDefault="00440A6E" w:rsidP="00440A6E">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Članak 2</w:t>
      </w:r>
      <w:r>
        <w:rPr>
          <w:rFonts w:ascii="Times New Roman" w:hAnsi="Times New Roman" w:cs="Times New Roman"/>
          <w:sz w:val="24"/>
          <w:szCs w:val="24"/>
        </w:rPr>
        <w:t>.</w:t>
      </w:r>
    </w:p>
    <w:p w:rsidR="00440A6E" w:rsidRDefault="00440A6E" w:rsidP="00440A6E">
      <w:pPr>
        <w:spacing w:after="0" w:line="240" w:lineRule="auto"/>
        <w:jc w:val="center"/>
        <w:rPr>
          <w:rFonts w:ascii="Times New Roman" w:hAnsi="Times New Roman" w:cs="Times New Roman"/>
          <w:sz w:val="24"/>
          <w:szCs w:val="24"/>
        </w:rPr>
      </w:pPr>
    </w:p>
    <w:p w:rsidR="00440A6E" w:rsidRDefault="00440A6E" w:rsidP="00440A6E">
      <w:pPr>
        <w:tabs>
          <w:tab w:val="left" w:pos="244"/>
        </w:tabs>
        <w:spacing w:line="276" w:lineRule="auto"/>
        <w:ind w:left="244"/>
        <w:rPr>
          <w:rFonts w:ascii="Times New Roman" w:hAnsi="Times New Roman" w:cs="Times New Roman"/>
          <w:sz w:val="24"/>
          <w:szCs w:val="24"/>
        </w:rPr>
      </w:pPr>
      <w:r>
        <w:rPr>
          <w:rFonts w:ascii="Times New Roman" w:hAnsi="Times New Roman" w:cs="Times New Roman"/>
          <w:sz w:val="24"/>
          <w:szCs w:val="24"/>
        </w:rPr>
        <w:t xml:space="preserve">     Građevine komunalne infrastrukture su:</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nerazvrstane ceste</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javne prometne površine na kojima nije dopušten promet motornih vozila (nogostupi, biciklističke staze, trgovi)</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javna parkirališta</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javne zelene površine (parkovi, drvoredi, dječja igrališta, športski i rekreacijski prostori)</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građevine i uređaji javne namjene (nadstrešnice, zdenci, fontane, javni zahodi, spomenici)</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javna rasvjeta</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groblja i krematoriji na grobljima,</w:t>
      </w:r>
    </w:p>
    <w:p w:rsidR="00440A6E" w:rsidRDefault="00440A6E"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građevine namijenjene obavljanju javnog prijevoza.</w:t>
      </w:r>
    </w:p>
    <w:p w:rsidR="00440A6E" w:rsidRDefault="00440A6E" w:rsidP="00440A6E">
      <w:pPr>
        <w:spacing w:after="0" w:line="240" w:lineRule="auto"/>
        <w:rPr>
          <w:rFonts w:ascii="Times New Roman" w:eastAsia="Times New Roman" w:hAnsi="Times New Roman" w:cs="Times New Roman"/>
          <w:b/>
          <w:sz w:val="24"/>
          <w:szCs w:val="24"/>
          <w:lang w:eastAsia="hr-HR"/>
        </w:rPr>
      </w:pPr>
    </w:p>
    <w:p w:rsidR="00440A6E" w:rsidRDefault="00440A6E" w:rsidP="00440A6E">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Članak 3.</w:t>
      </w:r>
    </w:p>
    <w:p w:rsidR="00440A6E" w:rsidRDefault="00440A6E" w:rsidP="00440A6E">
      <w:pPr>
        <w:keepNext/>
        <w:spacing w:after="0" w:line="240" w:lineRule="auto"/>
        <w:jc w:val="both"/>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440A6E" w:rsidRDefault="00440A6E" w:rsidP="00440A6E">
      <w:pPr>
        <w:keepNext/>
        <w:spacing w:after="0" w:line="240" w:lineRule="auto"/>
        <w:jc w:val="both"/>
        <w:outlineLvl w:val="0"/>
        <w:rPr>
          <w:rFonts w:ascii="Times New Roman" w:eastAsia="Times New Roman" w:hAnsi="Times New Roman" w:cs="Times New Roman"/>
          <w:sz w:val="24"/>
          <w:szCs w:val="24"/>
          <w:lang w:eastAsia="hr-HR"/>
        </w:rPr>
      </w:pPr>
      <w:bookmarkStart w:id="13" w:name="_Hlk203986427"/>
      <w:r>
        <w:rPr>
          <w:rFonts w:ascii="Times New Roman" w:eastAsia="Times New Roman" w:hAnsi="Times New Roman" w:cs="Times New Roman"/>
          <w:sz w:val="24"/>
          <w:szCs w:val="24"/>
          <w:lang w:eastAsia="hr-HR"/>
        </w:rPr>
        <w:t>U 2025. godini gradnja komunalne infrastrukture iz članka 2. ovog Programa obuhvaća slijedeće:</w:t>
      </w:r>
    </w:p>
    <w:bookmarkEnd w:id="13"/>
    <w:p w:rsidR="00440A6E" w:rsidRDefault="00440A6E" w:rsidP="00440A6E">
      <w:pPr>
        <w:keepNext/>
        <w:spacing w:after="0" w:line="240" w:lineRule="auto"/>
        <w:jc w:val="both"/>
        <w:outlineLvl w:val="0"/>
        <w:rPr>
          <w:rFonts w:ascii="Times New Roman" w:eastAsia="Times New Roman" w:hAnsi="Times New Roman" w:cs="Times New Roman"/>
          <w:sz w:val="24"/>
          <w:szCs w:val="24"/>
          <w:lang w:eastAsia="hr-HR"/>
        </w:rPr>
      </w:pPr>
    </w:p>
    <w:p w:rsidR="00440A6E" w:rsidRDefault="00440A6E" w:rsidP="00440A6E">
      <w:pPr>
        <w:keepNext/>
        <w:spacing w:after="0" w:line="240" w:lineRule="auto"/>
        <w:jc w:val="both"/>
        <w:outlineLvl w:val="0"/>
        <w:rPr>
          <w:rFonts w:ascii="Times New Roman" w:eastAsia="Times New Roman" w:hAnsi="Times New Roman" w:cs="Times New Roman"/>
          <w:sz w:val="24"/>
          <w:szCs w:val="24"/>
          <w:lang w:eastAsia="hr-HR"/>
        </w:rPr>
      </w:pPr>
    </w:p>
    <w:p w:rsidR="00440A6E" w:rsidRDefault="00440A6E" w:rsidP="00A66748">
      <w:pPr>
        <w:numPr>
          <w:ilvl w:val="0"/>
          <w:numId w:val="18"/>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Građevine komunalne infrastrukture koje će se graditi radi uređenja neuređenih dijelova građevinskih područja </w:t>
      </w:r>
    </w:p>
    <w:p w:rsidR="00440A6E" w:rsidRDefault="00440A6E" w:rsidP="00440A6E">
      <w:pPr>
        <w:pStyle w:val="Odlomakpopisa"/>
        <w:keepNext/>
        <w:spacing w:after="0" w:line="240" w:lineRule="auto"/>
        <w:jc w:val="both"/>
        <w:outlineLvl w:val="0"/>
        <w:rPr>
          <w:rFonts w:ascii="Times New Roman" w:eastAsia="Times New Roman" w:hAnsi="Times New Roman" w:cs="Times New Roman"/>
          <w:sz w:val="24"/>
          <w:szCs w:val="24"/>
          <w:lang w:eastAsia="hr-HR"/>
        </w:rPr>
      </w:pP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4602"/>
        <w:gridCol w:w="3463"/>
      </w:tblGrid>
      <w:tr w:rsidR="00440A6E" w:rsidTr="00F57898">
        <w:trPr>
          <w:trHeight w:val="373"/>
        </w:trPr>
        <w:tc>
          <w:tcPr>
            <w:tcW w:w="0" w:type="auto"/>
          </w:tcPr>
          <w:p w:rsidR="00440A6E" w:rsidRDefault="00440A6E" w:rsidP="00F57898">
            <w:pPr>
              <w:jc w:val="center"/>
              <w:rPr>
                <w:rFonts w:ascii="Times New Roman" w:hAnsi="Times New Roman" w:cs="Times New Roman"/>
                <w:sz w:val="24"/>
                <w:szCs w:val="24"/>
              </w:rPr>
            </w:pPr>
            <w:r>
              <w:rPr>
                <w:rFonts w:ascii="Times New Roman" w:hAnsi="Times New Roman" w:cs="Times New Roman"/>
                <w:sz w:val="24"/>
                <w:szCs w:val="24"/>
              </w:rPr>
              <w:t>1.</w:t>
            </w:r>
          </w:p>
        </w:tc>
        <w:tc>
          <w:tcPr>
            <w:tcW w:w="8065" w:type="dxa"/>
            <w:gridSpan w:val="2"/>
          </w:tcPr>
          <w:p w:rsidR="00440A6E" w:rsidRDefault="00440A6E" w:rsidP="00F57898">
            <w:pPr>
              <w:jc w:val="center"/>
              <w:rPr>
                <w:rFonts w:ascii="Times New Roman" w:hAnsi="Times New Roman" w:cs="Times New Roman"/>
                <w:sz w:val="24"/>
                <w:szCs w:val="24"/>
              </w:rPr>
            </w:pPr>
            <w:r>
              <w:rPr>
                <w:rFonts w:ascii="Times New Roman" w:hAnsi="Times New Roman" w:cs="Times New Roman"/>
                <w:b/>
                <w:bCs/>
                <w:sz w:val="24"/>
                <w:szCs w:val="24"/>
              </w:rPr>
              <w:t>GRAĐEVINE KOMUNALNE INFRASTRUKTURE KOJE ĆE SE GRADITI RADI UREĐENJA NEUREĐENIH DIJELOVA GRAĐEVINSKOG PODRUČJA</w:t>
            </w:r>
          </w:p>
        </w:tc>
      </w:tr>
      <w:tr w:rsidR="00440A6E" w:rsidTr="00F57898">
        <w:trPr>
          <w:trHeight w:val="373"/>
        </w:trPr>
        <w:tc>
          <w:tcPr>
            <w:tcW w:w="0" w:type="auto"/>
          </w:tcPr>
          <w:p w:rsidR="00440A6E" w:rsidRDefault="00440A6E" w:rsidP="00F57898">
            <w:pPr>
              <w:jc w:val="center"/>
              <w:rPr>
                <w:rFonts w:ascii="Times New Roman" w:hAnsi="Times New Roman" w:cs="Times New Roman"/>
                <w:sz w:val="24"/>
                <w:szCs w:val="24"/>
              </w:rPr>
            </w:pPr>
            <w:r>
              <w:rPr>
                <w:rFonts w:ascii="Times New Roman" w:hAnsi="Times New Roman" w:cs="Times New Roman"/>
                <w:sz w:val="24"/>
                <w:szCs w:val="24"/>
              </w:rPr>
              <w:t>1.1.</w:t>
            </w:r>
          </w:p>
        </w:tc>
        <w:tc>
          <w:tcPr>
            <w:tcW w:w="4602" w:type="dxa"/>
          </w:tcPr>
          <w:p w:rsidR="00440A6E" w:rsidRDefault="00440A6E" w:rsidP="00F57898">
            <w:pPr>
              <w:jc w:val="center"/>
              <w:rPr>
                <w:rFonts w:ascii="Times New Roman" w:hAnsi="Times New Roman" w:cs="Times New Roman"/>
                <w:b/>
                <w:bCs/>
                <w:sz w:val="24"/>
                <w:szCs w:val="24"/>
              </w:rPr>
            </w:pPr>
            <w:r>
              <w:rPr>
                <w:rFonts w:ascii="Times New Roman" w:hAnsi="Times New Roman" w:cs="Times New Roman"/>
                <w:b/>
                <w:bCs/>
                <w:sz w:val="24"/>
                <w:szCs w:val="24"/>
              </w:rPr>
              <w:t>NERAZVRSTANE CESTE</w:t>
            </w:r>
          </w:p>
        </w:tc>
        <w:tc>
          <w:tcPr>
            <w:tcW w:w="3463" w:type="dxa"/>
          </w:tcPr>
          <w:p w:rsidR="00440A6E" w:rsidRDefault="00440A6E" w:rsidP="00F57898">
            <w:pPr>
              <w:jc w:val="center"/>
              <w:rPr>
                <w:rFonts w:ascii="Times New Roman" w:hAnsi="Times New Roman" w:cs="Times New Roman"/>
                <w:sz w:val="24"/>
                <w:szCs w:val="24"/>
              </w:rPr>
            </w:pPr>
            <w:r>
              <w:rPr>
                <w:rFonts w:ascii="Times New Roman" w:hAnsi="Times New Roman" w:cs="Times New Roman"/>
                <w:sz w:val="24"/>
                <w:szCs w:val="24"/>
              </w:rPr>
              <w:t>PLANIRANO</w:t>
            </w: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prilazne ceste i mosta na potoku Draževac</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41 Prihod za posebne namjene:</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1.750,00</w:t>
            </w: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1.750,00</w:t>
            </w: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ceste Stari kraj – groblje LU Vepar</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0,00</w:t>
            </w: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440A6E" w:rsidTr="00F57898">
        <w:trPr>
          <w:trHeight w:val="381"/>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UKUPNO</w:t>
            </w:r>
          </w:p>
        </w:tc>
        <w:tc>
          <w:tcPr>
            <w:tcW w:w="3463" w:type="dxa"/>
          </w:tcPr>
          <w:p w:rsidR="00440A6E" w:rsidRDefault="00440A6E" w:rsidP="00F57898">
            <w:pPr>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1.750,00</w:t>
            </w:r>
          </w:p>
        </w:tc>
      </w:tr>
    </w:tbl>
    <w:p w:rsidR="00440A6E" w:rsidRDefault="00440A6E" w:rsidP="00440A6E">
      <w:pPr>
        <w:keepNext/>
        <w:spacing w:after="0" w:line="240" w:lineRule="auto"/>
        <w:jc w:val="both"/>
        <w:outlineLvl w:val="0"/>
        <w:rPr>
          <w:rFonts w:ascii="Times New Roman" w:eastAsia="Times New Roman" w:hAnsi="Times New Roman" w:cs="Times New Roman"/>
          <w:color w:val="000000" w:themeColor="text1"/>
          <w:sz w:val="24"/>
          <w:szCs w:val="24"/>
          <w:lang w:eastAsia="hr-HR"/>
        </w:rPr>
      </w:pPr>
    </w:p>
    <w:p w:rsidR="00440A6E" w:rsidRDefault="00440A6E" w:rsidP="00A66748">
      <w:pPr>
        <w:pStyle w:val="Odlomakpopisa"/>
        <w:numPr>
          <w:ilvl w:val="0"/>
          <w:numId w:val="18"/>
        </w:numPr>
        <w:spacing w:after="0" w:line="240" w:lineRule="auto"/>
        <w:jc w:val="both"/>
        <w:rPr>
          <w:rFonts w:ascii="Times New Roman" w:eastAsia="Times New Roman" w:hAnsi="Times New Roman" w:cs="Times New Roman"/>
          <w:b/>
          <w:bCs/>
          <w:color w:val="000000" w:themeColor="text1"/>
          <w:sz w:val="24"/>
          <w:szCs w:val="24"/>
          <w:lang w:eastAsia="hr-HR"/>
        </w:rPr>
      </w:pPr>
      <w:r>
        <w:rPr>
          <w:rFonts w:ascii="Times New Roman" w:eastAsia="Times New Roman" w:hAnsi="Times New Roman" w:cs="Times New Roman"/>
          <w:b/>
          <w:bCs/>
          <w:color w:val="000000" w:themeColor="text1"/>
          <w:sz w:val="24"/>
          <w:szCs w:val="24"/>
          <w:lang w:eastAsia="hr-HR"/>
        </w:rPr>
        <w:t>Građevine komunalne infrastrukture koje će se graditi u uređenim dijelovima građevinskog područja</w:t>
      </w:r>
    </w:p>
    <w:p w:rsidR="00440A6E" w:rsidRDefault="00440A6E" w:rsidP="00440A6E">
      <w:pPr>
        <w:spacing w:after="0" w:line="240" w:lineRule="auto"/>
        <w:jc w:val="both"/>
        <w:rPr>
          <w:rFonts w:ascii="Times New Roman" w:eastAsia="Times New Roman" w:hAnsi="Times New Roman" w:cs="Times New Roman"/>
          <w:b/>
          <w:bCs/>
          <w:color w:val="000000" w:themeColor="text1"/>
          <w:sz w:val="24"/>
          <w:szCs w:val="24"/>
          <w:lang w:eastAsia="hr-HR"/>
        </w:rPr>
      </w:pP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4602"/>
        <w:gridCol w:w="3463"/>
      </w:tblGrid>
      <w:tr w:rsidR="00440A6E" w:rsidTr="00F57898">
        <w:trPr>
          <w:trHeight w:val="373"/>
        </w:trPr>
        <w:tc>
          <w:tcPr>
            <w:tcW w:w="0" w:type="auto"/>
          </w:tcPr>
          <w:p w:rsidR="00440A6E" w:rsidRDefault="00440A6E" w:rsidP="00F5789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8065" w:type="dxa"/>
            <w:gridSpan w:val="2"/>
          </w:tcPr>
          <w:p w:rsidR="00440A6E" w:rsidRDefault="00440A6E" w:rsidP="00F57898">
            <w:pPr>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GRAĐEVINE KOMUNALNE INFRASTRUKTURE KOJE ĆE SE GRADITI U UREĐENIM DIJELOVIMA GRAĐEVINSKOG PODRUČJA</w:t>
            </w:r>
          </w:p>
        </w:tc>
      </w:tr>
      <w:tr w:rsidR="00440A6E" w:rsidTr="00F57898">
        <w:trPr>
          <w:trHeight w:val="373"/>
        </w:trPr>
        <w:tc>
          <w:tcPr>
            <w:tcW w:w="0" w:type="auto"/>
          </w:tcPr>
          <w:p w:rsidR="00440A6E" w:rsidRDefault="00440A6E" w:rsidP="00F5789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2.1.</w:t>
            </w:r>
          </w:p>
        </w:tc>
        <w:tc>
          <w:tcPr>
            <w:tcW w:w="4602" w:type="dxa"/>
          </w:tcPr>
          <w:p w:rsidR="00440A6E" w:rsidRDefault="00440A6E" w:rsidP="00F5789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JAVNE ZELENE POVRŠINE</w:t>
            </w:r>
          </w:p>
        </w:tc>
        <w:tc>
          <w:tcPr>
            <w:tcW w:w="3463" w:type="dxa"/>
          </w:tcPr>
          <w:p w:rsidR="00440A6E" w:rsidRDefault="00440A6E" w:rsidP="00F57898">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PLANIRANO</w:t>
            </w: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dječjeg igrališta u naselju Trnava</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792,62</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45 Prihod od šumskog doprinosa: 2.206,19</w:t>
            </w: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2.998,96</w:t>
            </w: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Uređenje okoliša Društvenog doma Smrtić-Ratkovac i izgradnja nadstrešnice</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41 Prihodi za posebne namjene 25.800,00</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43 Prihod od komunalne naknade</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4.000,00</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45 Prihodi od šumskog doprinosa 6.618,54</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15.132,88</w:t>
            </w:r>
          </w:p>
          <w:p w:rsidR="00440A6E" w:rsidRDefault="00440A6E" w:rsidP="00F57898">
            <w:pPr>
              <w:rPr>
                <w:rFonts w:ascii="Times New Roman" w:hAnsi="Times New Roman" w:cs="Times New Roman"/>
                <w:color w:val="000000" w:themeColor="text1"/>
                <w:sz w:val="24"/>
                <w:szCs w:val="24"/>
              </w:rPr>
            </w:pP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51.551,42</w:t>
            </w: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GRAĐEVINE I UREĐAJI JAVNE NAMJENE</w:t>
            </w:r>
          </w:p>
        </w:tc>
        <w:tc>
          <w:tcPr>
            <w:tcW w:w="3463" w:type="dxa"/>
          </w:tcPr>
          <w:p w:rsidR="00440A6E" w:rsidRDefault="00440A6E" w:rsidP="00F57898">
            <w:pPr>
              <w:jc w:val="right"/>
              <w:rPr>
                <w:rFonts w:ascii="Times New Roman" w:hAnsi="Times New Roman" w:cs="Times New Roman"/>
                <w:color w:val="000000" w:themeColor="text1"/>
                <w:sz w:val="24"/>
                <w:szCs w:val="24"/>
              </w:rPr>
            </w:pP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Uređenje centra Općine (završetak radova)</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14.659,14</w:t>
            </w: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14.659,14</w:t>
            </w:r>
          </w:p>
        </w:tc>
      </w:tr>
      <w:tr w:rsidR="00440A6E" w:rsidTr="00F57898">
        <w:trPr>
          <w:trHeight w:val="2134"/>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i opremanje dječjeg vrtića</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(projektna dokumentacija)</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51 Pomoći: 0,00</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71: Prihodi od prodaje ili zamjene nefinancijske imovine: 0,00</w:t>
            </w: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0,00</w:t>
            </w:r>
          </w:p>
        </w:tc>
      </w:tr>
      <w:tr w:rsidR="00440A6E" w:rsidTr="00F57898">
        <w:trPr>
          <w:trHeight w:val="1072"/>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Uređenje parkirališta kod doma Kosovac</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(izgradnja, nadzor)</w:t>
            </w:r>
          </w:p>
          <w:p w:rsidR="00440A6E" w:rsidRDefault="00440A6E" w:rsidP="00F57898">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Izvor 43 Prihod od komunalne naknade: 1.241,96</w:t>
            </w:r>
          </w:p>
        </w:tc>
        <w:tc>
          <w:tcPr>
            <w:tcW w:w="3463" w:type="dxa"/>
          </w:tcPr>
          <w:p w:rsidR="00440A6E" w:rsidRDefault="00440A6E" w:rsidP="00F57898">
            <w:pPr>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1.241,96</w:t>
            </w:r>
          </w:p>
        </w:tc>
      </w:tr>
      <w:tr w:rsidR="00440A6E" w:rsidTr="00F57898">
        <w:trPr>
          <w:trHeight w:val="381"/>
        </w:trPr>
        <w:tc>
          <w:tcPr>
            <w:tcW w:w="0" w:type="auto"/>
          </w:tcPr>
          <w:p w:rsidR="00440A6E" w:rsidRDefault="00440A6E" w:rsidP="00F57898">
            <w:pPr>
              <w:rPr>
                <w:rFonts w:ascii="Times New Roman" w:hAnsi="Times New Roman" w:cs="Times New Roman"/>
                <w:color w:val="000000" w:themeColor="text1"/>
                <w:sz w:val="24"/>
                <w:szCs w:val="24"/>
              </w:rPr>
            </w:pPr>
          </w:p>
        </w:tc>
        <w:tc>
          <w:tcPr>
            <w:tcW w:w="4602" w:type="dxa"/>
          </w:tcPr>
          <w:p w:rsidR="00440A6E" w:rsidRDefault="00440A6E" w:rsidP="00F57898">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UKUPNO</w:t>
            </w:r>
          </w:p>
        </w:tc>
        <w:tc>
          <w:tcPr>
            <w:tcW w:w="3463" w:type="dxa"/>
          </w:tcPr>
          <w:p w:rsidR="00440A6E" w:rsidRDefault="00440A6E" w:rsidP="00F57898">
            <w:pPr>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70.451,48</w:t>
            </w:r>
          </w:p>
        </w:tc>
      </w:tr>
    </w:tbl>
    <w:p w:rsidR="00440A6E" w:rsidRDefault="00440A6E" w:rsidP="00440A6E">
      <w:pPr>
        <w:spacing w:after="0" w:line="240" w:lineRule="auto"/>
        <w:jc w:val="both"/>
        <w:rPr>
          <w:rFonts w:ascii="Times New Roman" w:eastAsia="Times New Roman" w:hAnsi="Times New Roman" w:cs="Times New Roman"/>
          <w:b/>
          <w:bCs/>
          <w:color w:val="000000" w:themeColor="text1"/>
          <w:sz w:val="24"/>
          <w:szCs w:val="24"/>
          <w:lang w:eastAsia="hr-HR"/>
        </w:rPr>
      </w:pPr>
    </w:p>
    <w:tbl>
      <w:tblPr>
        <w:tblStyle w:val="Reetkatablice"/>
        <w:tblW w:w="0" w:type="auto"/>
        <w:tblLook w:val="04A0"/>
      </w:tblPr>
      <w:tblGrid>
        <w:gridCol w:w="846"/>
        <w:gridCol w:w="5812"/>
        <w:gridCol w:w="2402"/>
      </w:tblGrid>
      <w:tr w:rsidR="00440A6E" w:rsidTr="00F57898">
        <w:tc>
          <w:tcPr>
            <w:tcW w:w="846" w:type="dxa"/>
          </w:tcPr>
          <w:p w:rsidR="00440A6E" w:rsidRDefault="00440A6E" w:rsidP="00F57898">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w:t>
            </w:r>
          </w:p>
        </w:tc>
        <w:tc>
          <w:tcPr>
            <w:tcW w:w="5812" w:type="dxa"/>
          </w:tcPr>
          <w:p w:rsidR="00440A6E" w:rsidRDefault="00440A6E" w:rsidP="00F57898">
            <w:pPr>
              <w:rPr>
                <w:rFonts w:ascii="Times New Roman" w:hAnsi="Times New Roman"/>
                <w:b/>
                <w:bCs/>
                <w:color w:val="000000" w:themeColor="text1"/>
                <w:sz w:val="24"/>
                <w:szCs w:val="24"/>
              </w:rPr>
            </w:pPr>
            <w:r>
              <w:rPr>
                <w:rFonts w:ascii="Times New Roman" w:hAnsi="Times New Roman"/>
                <w:b/>
                <w:bCs/>
                <w:color w:val="000000" w:themeColor="text1"/>
                <w:sz w:val="24"/>
                <w:szCs w:val="24"/>
                <w:lang w:eastAsia="hr-HR"/>
              </w:rPr>
              <w:t xml:space="preserve">POSTOJEĆE GRAĐEVINE KOMUNALNE </w:t>
            </w:r>
            <w:r>
              <w:rPr>
                <w:rFonts w:ascii="Times New Roman" w:hAnsi="Times New Roman"/>
                <w:b/>
                <w:bCs/>
                <w:color w:val="000000" w:themeColor="text1"/>
                <w:sz w:val="24"/>
                <w:szCs w:val="24"/>
                <w:lang w:eastAsia="hr-HR"/>
              </w:rPr>
              <w:lastRenderedPageBreak/>
              <w:t>INFRASTRUKTURE KOJE ĆE SE REKONSTRUIRATI I NAČIN REKONSTRUKCIJE</w:t>
            </w:r>
          </w:p>
        </w:tc>
        <w:tc>
          <w:tcPr>
            <w:tcW w:w="2402" w:type="dxa"/>
          </w:tcPr>
          <w:p w:rsidR="00440A6E" w:rsidRDefault="00440A6E" w:rsidP="00F57898">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lastRenderedPageBreak/>
              <w:t>Plan za 2025.</w:t>
            </w:r>
          </w:p>
        </w:tc>
      </w:tr>
      <w:tr w:rsidR="00440A6E" w:rsidTr="00F57898">
        <w:tc>
          <w:tcPr>
            <w:tcW w:w="846" w:type="dxa"/>
          </w:tcPr>
          <w:p w:rsidR="00440A6E" w:rsidRDefault="00440A6E" w:rsidP="00F57898">
            <w:pPr>
              <w:jc w:val="center"/>
              <w:rPr>
                <w:rFonts w:ascii="Times New Roman" w:hAnsi="Times New Roman"/>
                <w:color w:val="000000" w:themeColor="text1"/>
                <w:sz w:val="24"/>
                <w:szCs w:val="24"/>
              </w:rPr>
            </w:pPr>
            <w:r>
              <w:rPr>
                <w:rFonts w:ascii="Times New Roman" w:hAnsi="Times New Roman"/>
                <w:color w:val="000000" w:themeColor="text1"/>
                <w:sz w:val="24"/>
                <w:szCs w:val="24"/>
              </w:rPr>
              <w:lastRenderedPageBreak/>
              <w:t>3.1.</w:t>
            </w:r>
          </w:p>
        </w:tc>
        <w:tc>
          <w:tcPr>
            <w:tcW w:w="5812" w:type="dxa"/>
          </w:tcPr>
          <w:p w:rsidR="00440A6E" w:rsidRDefault="00440A6E" w:rsidP="00F57898">
            <w:pPr>
              <w:rPr>
                <w:rFonts w:ascii="Times New Roman" w:hAnsi="Times New Roman"/>
                <w:color w:val="000000" w:themeColor="text1"/>
                <w:sz w:val="24"/>
                <w:szCs w:val="24"/>
              </w:rPr>
            </w:pPr>
            <w:r>
              <w:rPr>
                <w:rFonts w:ascii="Times New Roman" w:hAnsi="Times New Roman"/>
                <w:color w:val="000000" w:themeColor="text1"/>
                <w:sz w:val="24"/>
                <w:szCs w:val="24"/>
              </w:rPr>
              <w:t>JAVNA RASVJETA</w:t>
            </w:r>
          </w:p>
        </w:tc>
        <w:tc>
          <w:tcPr>
            <w:tcW w:w="2402" w:type="dxa"/>
          </w:tcPr>
          <w:p w:rsidR="00440A6E" w:rsidRDefault="00440A6E" w:rsidP="00F57898">
            <w:pPr>
              <w:jc w:val="right"/>
              <w:rPr>
                <w:rFonts w:ascii="Times New Roman" w:hAnsi="Times New Roman"/>
                <w:color w:val="000000" w:themeColor="text1"/>
                <w:sz w:val="24"/>
                <w:szCs w:val="24"/>
              </w:rPr>
            </w:pPr>
            <w:r>
              <w:rPr>
                <w:rFonts w:ascii="Times New Roman" w:hAnsi="Times New Roman"/>
                <w:color w:val="000000" w:themeColor="text1"/>
                <w:sz w:val="24"/>
                <w:szCs w:val="24"/>
              </w:rPr>
              <w:t>PLANIRANO</w:t>
            </w:r>
          </w:p>
        </w:tc>
      </w:tr>
      <w:tr w:rsidR="00440A6E" w:rsidTr="00F57898">
        <w:tc>
          <w:tcPr>
            <w:tcW w:w="846" w:type="dxa"/>
          </w:tcPr>
          <w:p w:rsidR="00440A6E" w:rsidRDefault="00440A6E" w:rsidP="00F57898">
            <w:pPr>
              <w:jc w:val="center"/>
              <w:rPr>
                <w:rFonts w:ascii="Times New Roman" w:hAnsi="Times New Roman"/>
                <w:color w:val="000000" w:themeColor="text1"/>
                <w:sz w:val="24"/>
                <w:szCs w:val="24"/>
              </w:rPr>
            </w:pPr>
          </w:p>
        </w:tc>
        <w:tc>
          <w:tcPr>
            <w:tcW w:w="5812" w:type="dxa"/>
          </w:tcPr>
          <w:p w:rsidR="00440A6E" w:rsidRDefault="00440A6E" w:rsidP="00F57898">
            <w:pPr>
              <w:spacing w:line="276" w:lineRule="auto"/>
              <w:rPr>
                <w:rFonts w:ascii="Times New Roman" w:hAnsi="Times New Roman"/>
                <w:color w:val="000000" w:themeColor="text1"/>
                <w:sz w:val="24"/>
                <w:szCs w:val="24"/>
              </w:rPr>
            </w:pPr>
            <w:r>
              <w:rPr>
                <w:rFonts w:ascii="Times New Roman" w:hAnsi="Times New Roman"/>
                <w:color w:val="000000" w:themeColor="text1"/>
                <w:sz w:val="24"/>
                <w:szCs w:val="24"/>
              </w:rPr>
              <w:t>Modernizacija javne rasvjete</w:t>
            </w:r>
          </w:p>
          <w:p w:rsidR="00440A6E" w:rsidRDefault="00440A6E" w:rsidP="00F57898">
            <w:pPr>
              <w:rPr>
                <w:rFonts w:ascii="Times New Roman" w:hAnsi="Times New Roman"/>
                <w:color w:val="000000" w:themeColor="text1"/>
                <w:sz w:val="24"/>
                <w:szCs w:val="24"/>
              </w:rPr>
            </w:pPr>
            <w:r>
              <w:rPr>
                <w:rFonts w:ascii="Times New Roman" w:hAnsi="Times New Roman"/>
                <w:color w:val="000000" w:themeColor="text1"/>
                <w:sz w:val="24"/>
                <w:szCs w:val="24"/>
              </w:rPr>
              <w:t>(radovi, nadzor)</w:t>
            </w:r>
          </w:p>
          <w:p w:rsidR="00440A6E" w:rsidRDefault="00440A6E" w:rsidP="00F57898">
            <w:pPr>
              <w:rPr>
                <w:rFonts w:ascii="Times New Roman" w:hAnsi="Times New Roman"/>
                <w:color w:val="000000" w:themeColor="text1"/>
                <w:sz w:val="24"/>
                <w:szCs w:val="24"/>
              </w:rPr>
            </w:pPr>
          </w:p>
          <w:p w:rsidR="00440A6E" w:rsidRDefault="00440A6E" w:rsidP="00F57898">
            <w:pPr>
              <w:rPr>
                <w:rFonts w:ascii="Times New Roman" w:hAnsi="Times New Roman"/>
                <w:color w:val="000000" w:themeColor="text1"/>
                <w:sz w:val="24"/>
                <w:szCs w:val="24"/>
              </w:rPr>
            </w:pPr>
            <w:r>
              <w:rPr>
                <w:rFonts w:ascii="Times New Roman" w:hAnsi="Times New Roman"/>
                <w:color w:val="000000" w:themeColor="text1"/>
                <w:sz w:val="24"/>
                <w:szCs w:val="24"/>
              </w:rPr>
              <w:t xml:space="preserve">Izvor 51 Pomoći: </w:t>
            </w:r>
            <w:r>
              <w:rPr>
                <w:rFonts w:ascii="Times New Roman" w:hAnsi="Times New Roman"/>
                <w:color w:val="000000" w:themeColor="text1"/>
                <w:sz w:val="24"/>
                <w:szCs w:val="24"/>
                <w:lang w:val="hr-HR"/>
              </w:rPr>
              <w:t>81.646,25</w:t>
            </w:r>
          </w:p>
          <w:p w:rsidR="00440A6E" w:rsidRDefault="00440A6E" w:rsidP="00F57898">
            <w:pPr>
              <w:rPr>
                <w:rFonts w:ascii="Times New Roman" w:hAnsi="Times New Roman"/>
                <w:color w:val="000000" w:themeColor="text1"/>
                <w:sz w:val="24"/>
                <w:szCs w:val="24"/>
              </w:rPr>
            </w:pPr>
          </w:p>
        </w:tc>
        <w:tc>
          <w:tcPr>
            <w:tcW w:w="2402" w:type="dxa"/>
          </w:tcPr>
          <w:p w:rsidR="00440A6E" w:rsidRDefault="00440A6E" w:rsidP="00F57898">
            <w:pPr>
              <w:jc w:val="right"/>
              <w:rPr>
                <w:rFonts w:ascii="Times New Roman" w:hAnsi="Times New Roman"/>
                <w:color w:val="000000" w:themeColor="text1"/>
                <w:sz w:val="24"/>
                <w:szCs w:val="24"/>
              </w:rPr>
            </w:pPr>
            <w:r>
              <w:rPr>
                <w:rFonts w:ascii="Times New Roman" w:hAnsi="Times New Roman"/>
                <w:color w:val="000000" w:themeColor="text1"/>
                <w:sz w:val="24"/>
                <w:szCs w:val="24"/>
                <w:lang w:val="hr-HR"/>
              </w:rPr>
              <w:t>81.646,25</w:t>
            </w:r>
          </w:p>
        </w:tc>
      </w:tr>
      <w:tr w:rsidR="00440A6E" w:rsidTr="00F57898">
        <w:tc>
          <w:tcPr>
            <w:tcW w:w="6658" w:type="dxa"/>
            <w:gridSpan w:val="2"/>
          </w:tcPr>
          <w:p w:rsidR="00440A6E" w:rsidRDefault="00440A6E" w:rsidP="00F57898">
            <w:pPr>
              <w:jc w:val="right"/>
              <w:rPr>
                <w:rFonts w:ascii="Times New Roman" w:hAnsi="Times New Roman"/>
                <w:b/>
                <w:bCs/>
                <w:color w:val="000000" w:themeColor="text1"/>
                <w:sz w:val="24"/>
                <w:szCs w:val="24"/>
              </w:rPr>
            </w:pPr>
            <w:r>
              <w:rPr>
                <w:rFonts w:ascii="Times New Roman" w:hAnsi="Times New Roman"/>
                <w:b/>
                <w:bCs/>
                <w:color w:val="000000" w:themeColor="text1"/>
                <w:sz w:val="24"/>
                <w:szCs w:val="24"/>
              </w:rPr>
              <w:t>UKUPNO:</w:t>
            </w:r>
          </w:p>
        </w:tc>
        <w:tc>
          <w:tcPr>
            <w:tcW w:w="2402" w:type="dxa"/>
          </w:tcPr>
          <w:p w:rsidR="00440A6E" w:rsidRDefault="00440A6E" w:rsidP="00F57898">
            <w:pPr>
              <w:jc w:val="right"/>
              <w:rPr>
                <w:rFonts w:ascii="Times New Roman" w:hAnsi="Times New Roman"/>
                <w:b/>
                <w:bCs/>
                <w:color w:val="000000" w:themeColor="text1"/>
                <w:sz w:val="24"/>
                <w:szCs w:val="24"/>
              </w:rPr>
            </w:pPr>
            <w:r>
              <w:rPr>
                <w:rFonts w:ascii="Times New Roman" w:hAnsi="Times New Roman"/>
                <w:b/>
                <w:bCs/>
                <w:color w:val="000000" w:themeColor="text1"/>
                <w:sz w:val="24"/>
                <w:szCs w:val="24"/>
                <w:lang w:val="hr-HR"/>
              </w:rPr>
              <w:t>81</w:t>
            </w:r>
            <w:r>
              <w:rPr>
                <w:rFonts w:ascii="Times New Roman" w:hAnsi="Times New Roman"/>
                <w:b/>
                <w:bCs/>
                <w:color w:val="000000" w:themeColor="text1"/>
                <w:sz w:val="24"/>
                <w:szCs w:val="24"/>
              </w:rPr>
              <w:t>.</w:t>
            </w:r>
            <w:r>
              <w:rPr>
                <w:rFonts w:ascii="Times New Roman" w:hAnsi="Times New Roman"/>
                <w:b/>
                <w:bCs/>
                <w:color w:val="000000" w:themeColor="text1"/>
                <w:sz w:val="24"/>
                <w:szCs w:val="24"/>
                <w:lang w:val="hr-HR"/>
              </w:rPr>
              <w:t>646</w:t>
            </w:r>
            <w:r>
              <w:rPr>
                <w:rFonts w:ascii="Times New Roman" w:hAnsi="Times New Roman"/>
                <w:b/>
                <w:bCs/>
                <w:color w:val="000000" w:themeColor="text1"/>
                <w:sz w:val="24"/>
                <w:szCs w:val="24"/>
              </w:rPr>
              <w:t>,</w:t>
            </w:r>
            <w:r>
              <w:rPr>
                <w:rFonts w:ascii="Times New Roman" w:hAnsi="Times New Roman"/>
                <w:b/>
                <w:bCs/>
                <w:color w:val="000000" w:themeColor="text1"/>
                <w:sz w:val="24"/>
                <w:szCs w:val="24"/>
                <w:lang w:val="hr-HR"/>
              </w:rPr>
              <w:t>25</w:t>
            </w:r>
          </w:p>
        </w:tc>
      </w:tr>
    </w:tbl>
    <w:p w:rsidR="00440A6E" w:rsidRDefault="00440A6E" w:rsidP="00440A6E">
      <w:pPr>
        <w:spacing w:after="0" w:line="240" w:lineRule="auto"/>
        <w:jc w:val="both"/>
        <w:rPr>
          <w:rFonts w:ascii="Times New Roman" w:eastAsia="Times New Roman" w:hAnsi="Times New Roman" w:cs="Times New Roman"/>
          <w:b/>
          <w:bCs/>
          <w:color w:val="000000" w:themeColor="text1"/>
          <w:sz w:val="24"/>
          <w:szCs w:val="24"/>
          <w:lang w:eastAsia="hr-HR"/>
        </w:rPr>
      </w:pPr>
    </w:p>
    <w:p w:rsidR="00440A6E" w:rsidRDefault="00440A6E" w:rsidP="00440A6E">
      <w:pPr>
        <w:spacing w:after="0" w:line="240" w:lineRule="auto"/>
        <w:jc w:val="both"/>
        <w:rPr>
          <w:rFonts w:ascii="Times New Roman" w:eastAsia="Times New Roman" w:hAnsi="Times New Roman" w:cs="Times New Roman"/>
          <w:b/>
          <w:bCs/>
          <w:color w:val="000000" w:themeColor="text1"/>
          <w:sz w:val="24"/>
          <w:szCs w:val="24"/>
          <w:lang w:eastAsia="hr-HR"/>
        </w:rPr>
      </w:pPr>
    </w:p>
    <w:p w:rsidR="00440A6E" w:rsidRDefault="00440A6E" w:rsidP="00440A6E">
      <w:pPr>
        <w:spacing w:after="0" w:line="240" w:lineRule="auto"/>
        <w:jc w:val="both"/>
        <w:rPr>
          <w:rFonts w:ascii="Times New Roman" w:eastAsia="Times New Roman" w:hAnsi="Times New Roman" w:cs="Times New Roman"/>
          <w:b/>
          <w:bCs/>
          <w:color w:val="000000" w:themeColor="text1"/>
          <w:sz w:val="24"/>
          <w:szCs w:val="24"/>
          <w:lang w:eastAsia="hr-HR"/>
        </w:rPr>
      </w:pPr>
    </w:p>
    <w:p w:rsidR="00440A6E" w:rsidRDefault="00440A6E" w:rsidP="00440A6E">
      <w:pPr>
        <w:spacing w:after="0" w:line="240" w:lineRule="auto"/>
        <w:ind w:firstLine="360"/>
        <w:jc w:val="center"/>
        <w:rPr>
          <w:rFonts w:ascii="Times New Roman" w:eastAsia="Times New Roman" w:hAnsi="Times New Roman" w:cs="Times New Roman"/>
          <w:b/>
          <w:color w:val="000000" w:themeColor="text1"/>
          <w:sz w:val="24"/>
          <w:szCs w:val="24"/>
          <w:lang w:eastAsia="hr-HR"/>
        </w:rPr>
      </w:pPr>
    </w:p>
    <w:p w:rsidR="00440A6E" w:rsidRDefault="00440A6E" w:rsidP="00440A6E">
      <w:pPr>
        <w:spacing w:after="0" w:line="240" w:lineRule="auto"/>
        <w:ind w:firstLine="360"/>
        <w:jc w:val="center"/>
        <w:rPr>
          <w:rFonts w:ascii="Times New Roman" w:eastAsia="Times New Roman" w:hAnsi="Times New Roman" w:cs="Times New Roman"/>
          <w:b/>
          <w:color w:val="000000" w:themeColor="text1"/>
          <w:sz w:val="24"/>
          <w:szCs w:val="24"/>
          <w:lang w:eastAsia="hr-HR"/>
        </w:rPr>
      </w:pPr>
    </w:p>
    <w:p w:rsidR="00440A6E" w:rsidRDefault="00440A6E" w:rsidP="00440A6E">
      <w:pPr>
        <w:spacing w:after="0" w:line="240" w:lineRule="auto"/>
        <w:rPr>
          <w:rFonts w:ascii="Times New Roman" w:eastAsia="Times New Roman" w:hAnsi="Times New Roman" w:cs="Times New Roman"/>
          <w:b/>
          <w:color w:val="000000" w:themeColor="text1"/>
          <w:sz w:val="24"/>
          <w:szCs w:val="24"/>
          <w:lang w:eastAsia="hr-HR"/>
        </w:rPr>
      </w:pPr>
      <w:r>
        <w:rPr>
          <w:rFonts w:ascii="Times New Roman" w:eastAsia="Times New Roman" w:hAnsi="Times New Roman" w:cs="Times New Roman"/>
          <w:b/>
          <w:color w:val="000000" w:themeColor="text1"/>
          <w:sz w:val="24"/>
          <w:szCs w:val="24"/>
          <w:lang w:eastAsia="hr-HR"/>
        </w:rPr>
        <w:t xml:space="preserve">                                                                       Članak 5.</w:t>
      </w:r>
    </w:p>
    <w:p w:rsidR="00440A6E" w:rsidRDefault="00440A6E" w:rsidP="00440A6E">
      <w:pPr>
        <w:spacing w:after="0" w:line="240" w:lineRule="auto"/>
        <w:rPr>
          <w:rFonts w:ascii="Times New Roman" w:eastAsia="Times New Roman" w:hAnsi="Times New Roman" w:cs="Times New Roman"/>
          <w:b/>
          <w:color w:val="000000" w:themeColor="text1"/>
          <w:sz w:val="24"/>
          <w:szCs w:val="24"/>
          <w:lang w:eastAsia="hr-HR"/>
        </w:rPr>
      </w:pPr>
    </w:p>
    <w:p w:rsidR="00440A6E" w:rsidRDefault="00440A6E" w:rsidP="00440A6E">
      <w:pPr>
        <w:keepNext/>
        <w:keepLines/>
        <w:spacing w:before="40" w:after="0" w:line="240" w:lineRule="auto"/>
        <w:ind w:firstLine="708"/>
        <w:jc w:val="both"/>
        <w:outlineLvl w:val="4"/>
        <w:rPr>
          <w:rFonts w:ascii="Times New Roman" w:eastAsiaTheme="majorEastAsia" w:hAnsi="Times New Roman" w:cs="Times New Roman"/>
          <w:color w:val="000000" w:themeColor="text1"/>
          <w:sz w:val="24"/>
          <w:szCs w:val="24"/>
          <w:lang w:eastAsia="hr-HR"/>
        </w:rPr>
      </w:pPr>
      <w:r>
        <w:rPr>
          <w:rFonts w:ascii="Times New Roman" w:eastAsiaTheme="majorEastAsia" w:hAnsi="Times New Roman" w:cs="Times New Roman"/>
          <w:color w:val="000000" w:themeColor="text1"/>
          <w:sz w:val="24"/>
          <w:szCs w:val="24"/>
          <w:lang w:eastAsia="hr-HR"/>
        </w:rPr>
        <w:t>Ovaj Program stupa na snagu osmi dan od dana objave u Službenom glasniku Općine Gornji Bogićevci</w:t>
      </w:r>
    </w:p>
    <w:p w:rsidR="00440A6E" w:rsidRDefault="00440A6E" w:rsidP="00440A6E">
      <w:pPr>
        <w:keepNext/>
        <w:keepLines/>
        <w:spacing w:before="40" w:after="0" w:line="240" w:lineRule="auto"/>
        <w:ind w:firstLine="708"/>
        <w:jc w:val="both"/>
        <w:outlineLvl w:val="4"/>
        <w:rPr>
          <w:rFonts w:ascii="Times New Roman" w:eastAsiaTheme="majorEastAsia" w:hAnsi="Times New Roman" w:cs="Times New Roman"/>
          <w:color w:val="000000" w:themeColor="text1"/>
          <w:sz w:val="24"/>
          <w:szCs w:val="24"/>
          <w:lang w:eastAsia="hr-HR"/>
        </w:rPr>
      </w:pPr>
    </w:p>
    <w:p w:rsidR="00440A6E" w:rsidRDefault="00440A6E" w:rsidP="00440A6E">
      <w:pPr>
        <w:spacing w:after="0" w:line="240" w:lineRule="auto"/>
        <w:rPr>
          <w:rFonts w:ascii="Times New Roman" w:hAnsi="Times New Roman" w:cs="Times New Roman"/>
          <w:b/>
          <w:iCs/>
          <w:color w:val="000000" w:themeColor="text1"/>
          <w:sz w:val="24"/>
          <w:szCs w:val="24"/>
        </w:rPr>
      </w:pPr>
      <w:r>
        <w:rPr>
          <w:rFonts w:ascii="Times New Roman" w:hAnsi="Times New Roman" w:cs="Times New Roman"/>
          <w:b/>
          <w:i/>
          <w:color w:val="000000" w:themeColor="text1"/>
          <w:sz w:val="24"/>
          <w:szCs w:val="24"/>
        </w:rPr>
        <w:t xml:space="preserve">                                  </w:t>
      </w:r>
      <w:r>
        <w:rPr>
          <w:rFonts w:ascii="Times New Roman" w:hAnsi="Times New Roman" w:cs="Times New Roman"/>
          <w:b/>
          <w:iCs/>
          <w:color w:val="000000" w:themeColor="text1"/>
          <w:sz w:val="24"/>
          <w:szCs w:val="24"/>
        </w:rPr>
        <w:t>OPĆINSKO VIJEĆE</w:t>
      </w:r>
      <w:r>
        <w:rPr>
          <w:rFonts w:ascii="Times New Roman" w:hAnsi="Times New Roman" w:cs="Times New Roman"/>
          <w:b/>
          <w:i/>
          <w:color w:val="000000" w:themeColor="text1"/>
          <w:sz w:val="24"/>
          <w:szCs w:val="24"/>
        </w:rPr>
        <w:t xml:space="preserve">  </w:t>
      </w:r>
      <w:r>
        <w:rPr>
          <w:rFonts w:ascii="Times New Roman" w:hAnsi="Times New Roman" w:cs="Times New Roman"/>
          <w:b/>
          <w:iCs/>
          <w:color w:val="000000" w:themeColor="text1"/>
          <w:sz w:val="24"/>
          <w:szCs w:val="24"/>
        </w:rPr>
        <w:t>OPĆINE GORNJI BOGIĆEVCI</w:t>
      </w:r>
    </w:p>
    <w:p w:rsidR="00440A6E" w:rsidRDefault="00440A6E" w:rsidP="00440A6E">
      <w:pPr>
        <w:spacing w:after="0" w:line="240" w:lineRule="auto"/>
        <w:rPr>
          <w:rFonts w:ascii="Times New Roman" w:hAnsi="Times New Roman" w:cs="Times New Roman"/>
          <w:b/>
          <w:iCs/>
          <w:color w:val="000000" w:themeColor="text1"/>
          <w:sz w:val="24"/>
          <w:szCs w:val="24"/>
        </w:rPr>
      </w:pPr>
    </w:p>
    <w:p w:rsidR="00440A6E" w:rsidRDefault="00440A6E" w:rsidP="00440A6E">
      <w:pPr>
        <w:spacing w:after="0" w:line="240" w:lineRule="auto"/>
        <w:rPr>
          <w:rFonts w:ascii="Times New Roman" w:hAnsi="Times New Roman" w:cs="Times New Roman"/>
          <w:b/>
          <w:iCs/>
          <w:color w:val="000000" w:themeColor="text1"/>
          <w:sz w:val="24"/>
          <w:szCs w:val="24"/>
        </w:rPr>
      </w:pPr>
    </w:p>
    <w:p w:rsidR="00440A6E" w:rsidRDefault="00440A6E" w:rsidP="00440A6E">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400-05-25-01-01</w:t>
      </w:r>
    </w:p>
    <w:p w:rsidR="00440A6E" w:rsidRDefault="00440A6E" w:rsidP="00440A6E">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2178-22-03-25-12</w:t>
      </w:r>
    </w:p>
    <w:p w:rsidR="00440A6E" w:rsidRDefault="00440A6E" w:rsidP="00440A6E">
      <w:pPr>
        <w:spacing w:after="0"/>
        <w:rPr>
          <w:rFonts w:ascii="Times New Roman" w:hAnsi="Times New Roman" w:cs="Times New Roman"/>
          <w:b/>
          <w:i/>
          <w:color w:val="000000" w:themeColor="text1"/>
          <w:sz w:val="24"/>
          <w:szCs w:val="24"/>
        </w:rPr>
      </w:pPr>
      <w:r>
        <w:rPr>
          <w:rFonts w:ascii="Times New Roman" w:hAnsi="Times New Roman" w:cs="Times New Roman"/>
          <w:color w:val="000000" w:themeColor="text1"/>
          <w:sz w:val="24"/>
          <w:szCs w:val="24"/>
        </w:rPr>
        <w:t>Gornji Bogićevci, 22.prosinca 2025. godine</w:t>
      </w:r>
    </w:p>
    <w:p w:rsidR="00440A6E" w:rsidRDefault="00440A6E" w:rsidP="00440A6E">
      <w:pPr>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p>
    <w:p w:rsidR="00440A6E" w:rsidRDefault="00440A6E" w:rsidP="00440A6E">
      <w:pPr>
        <w:spacing w:after="0"/>
        <w:jc w:val="right"/>
        <w:rPr>
          <w:rFonts w:ascii="Times New Roman" w:hAnsi="Times New Roman" w:cs="Times New Roman"/>
          <w:color w:val="000000" w:themeColor="text1"/>
          <w:sz w:val="24"/>
          <w:szCs w:val="24"/>
        </w:rPr>
      </w:pPr>
    </w:p>
    <w:p w:rsidR="00440A6E" w:rsidRDefault="00440A6E" w:rsidP="00440A6E">
      <w:pPr>
        <w:spacing w:after="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PREDSJEDNIK OPĆINSKOG VIJEĆA</w:t>
      </w:r>
    </w:p>
    <w:p w:rsidR="00440A6E" w:rsidRDefault="00440A6E" w:rsidP="00440A6E">
      <w:pPr>
        <w:ind w:left="4956" w:firstLine="708"/>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Željko Klarić</w:t>
      </w:r>
    </w:p>
    <w:p w:rsidR="00440A6E" w:rsidRDefault="00440A6E" w:rsidP="00440A6E">
      <w:pPr>
        <w:rPr>
          <w:rFonts w:ascii="Times New Roman" w:hAnsi="Times New Roman" w:cs="Times New Roman"/>
          <w:color w:val="000000" w:themeColor="text1"/>
          <w:sz w:val="24"/>
          <w:szCs w:val="24"/>
        </w:rPr>
      </w:pPr>
    </w:p>
    <w:p w:rsidR="00440A6E" w:rsidRDefault="00440A6E" w:rsidP="00440A6E">
      <w:pPr>
        <w:rPr>
          <w:rFonts w:ascii="Times New Roman" w:hAnsi="Times New Roman" w:cs="Times New Roman"/>
          <w:color w:val="000000" w:themeColor="text1"/>
          <w:sz w:val="24"/>
          <w:szCs w:val="24"/>
        </w:rPr>
      </w:pPr>
    </w:p>
    <w:p w:rsidR="00440A6E" w:rsidRDefault="00440A6E" w:rsidP="00440A6E">
      <w:pPr>
        <w:rPr>
          <w:rFonts w:ascii="Times New Roman" w:hAnsi="Times New Roman" w:cs="Times New Roman"/>
          <w:color w:val="000000" w:themeColor="text1"/>
          <w:sz w:val="24"/>
          <w:szCs w:val="24"/>
        </w:rPr>
      </w:pPr>
    </w:p>
    <w:p w:rsidR="00440A6E" w:rsidRDefault="00440A6E" w:rsidP="00440A6E">
      <w:pPr>
        <w:rPr>
          <w:rFonts w:ascii="Times New Roman" w:hAnsi="Times New Roman" w:cs="Times New Roman"/>
          <w:color w:val="000000" w:themeColor="text1"/>
          <w:sz w:val="24"/>
          <w:szCs w:val="24"/>
        </w:rPr>
      </w:pPr>
    </w:p>
    <w:p w:rsidR="00440A6E" w:rsidRDefault="00440A6E" w:rsidP="00440A6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Dostaviti:</w:t>
      </w:r>
    </w:p>
    <w:p w:rsidR="00440A6E" w:rsidRDefault="00440A6E" w:rsidP="00A66748">
      <w:pPr>
        <w:numPr>
          <w:ilvl w:val="0"/>
          <w:numId w:val="15"/>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Jedinstveni upravni odjel</w:t>
      </w:r>
    </w:p>
    <w:p w:rsidR="00440A6E" w:rsidRDefault="00440A6E" w:rsidP="00A66748">
      <w:pPr>
        <w:numPr>
          <w:ilvl w:val="0"/>
          <w:numId w:val="15"/>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Službeni glasnik Općine Gornji Bogićevci</w:t>
      </w:r>
    </w:p>
    <w:p w:rsidR="00440A6E" w:rsidRDefault="00440A6E" w:rsidP="00A66748">
      <w:pPr>
        <w:numPr>
          <w:ilvl w:val="0"/>
          <w:numId w:val="15"/>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Ministarstvo prostornog uređenja, graditeljstva i državne imovine</w:t>
      </w:r>
    </w:p>
    <w:p w:rsidR="00440A6E" w:rsidRDefault="00440A6E" w:rsidP="00A66748">
      <w:pPr>
        <w:numPr>
          <w:ilvl w:val="0"/>
          <w:numId w:val="15"/>
        </w:numPr>
        <w:spacing w:line="240" w:lineRule="auto"/>
        <w:contextualSpacing/>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Pismohrana.</w:t>
      </w:r>
    </w:p>
    <w:p w:rsidR="00440A6E" w:rsidRDefault="00440A6E" w:rsidP="00440A6E">
      <w:pPr>
        <w:rPr>
          <w:rFonts w:ascii="Times New Roman" w:hAnsi="Times New Roman" w:cs="Times New Roman"/>
          <w:color w:val="000000" w:themeColor="text1"/>
          <w:sz w:val="24"/>
          <w:szCs w:val="24"/>
        </w:rPr>
      </w:pPr>
    </w:p>
    <w:p w:rsidR="00440A6E" w:rsidRDefault="00440A6E" w:rsidP="00440A6E">
      <w:pPr>
        <w:spacing w:after="0" w:line="240" w:lineRule="auto"/>
        <w:rPr>
          <w:rFonts w:ascii="Times New Roman" w:hAnsi="Times New Roman" w:cs="Times New Roman"/>
          <w:color w:val="000000" w:themeColor="text1"/>
          <w:sz w:val="24"/>
          <w:szCs w:val="24"/>
        </w:rPr>
      </w:pPr>
    </w:p>
    <w:p w:rsidR="00440A6E" w:rsidRDefault="00440A6E" w:rsidP="00440A6E">
      <w:pPr>
        <w:pStyle w:val="Tijeloteksta"/>
      </w:pPr>
      <w:r>
        <w:t xml:space="preserve">                    </w:t>
      </w:r>
      <w:r>
        <w:rPr>
          <w:noProof/>
        </w:rPr>
        <w:drawing>
          <wp:inline distT="0" distB="0" distL="0" distR="0">
            <wp:extent cx="484505" cy="642620"/>
            <wp:effectExtent l="0" t="0" r="0" b="5080"/>
            <wp:docPr id="1053541832" name="Slika 1053541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440A6E" w:rsidRDefault="00440A6E" w:rsidP="00440A6E">
      <w:pPr>
        <w:pStyle w:val="Tijeloteksta"/>
        <w:ind w:firstLine="720"/>
      </w:pP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lastRenderedPageBreak/>
        <w:t>REPUBLIKA HRVATSKA</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BRODSKO-POSAVSKA ŽUPANIJA</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OPĆINA GORNJI BOGIĆEVCI</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OPĆINSKO VIJEĆE</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35429 Gornji Bogićevci</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OIB: 89414039518</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Tel: 035/375-056</w:t>
      </w:r>
    </w:p>
    <w:p w:rsidR="00440A6E" w:rsidRDefault="00440A6E" w:rsidP="00440A6E">
      <w:pPr>
        <w:rPr>
          <w:rFonts w:ascii="Times New Roman" w:hAnsi="Times New Roman" w:cs="Times New Roman"/>
          <w:sz w:val="24"/>
          <w:szCs w:val="24"/>
        </w:rPr>
      </w:pPr>
    </w:p>
    <w:p w:rsidR="00440A6E" w:rsidRDefault="00440A6E" w:rsidP="00440A6E">
      <w:pPr>
        <w:rPr>
          <w:rFonts w:ascii="Times New Roman" w:hAnsi="Times New Roman" w:cs="Times New Roman"/>
          <w:sz w:val="24"/>
          <w:szCs w:val="24"/>
        </w:rPr>
      </w:pPr>
      <w:r>
        <w:rPr>
          <w:rFonts w:ascii="Times New Roman" w:hAnsi="Times New Roman" w:cs="Times New Roman"/>
          <w:sz w:val="24"/>
          <w:szCs w:val="24"/>
        </w:rPr>
        <w:tab/>
        <w:t>Na temelju članka 6. stavak 2. Zakona o kulturnim vijećima i financiranju javnih potreba u kulturi („Narodne novine“ broj 83/22), Zakona o udrugama („Narodne novine“ broj 74/14, 70/17, 98/19 i 151/22), članka 17. Zakona o pravnom položaju vjerskih zajednica („Narodne novine“ broj 83/02, 73/13), članka 75. Zakona o sportu („Narodne novine“ broj 141/22), članka 2. Zakona o financiranju jedinica lokalne i područne (regionalne) samouprave („Narodne novine“ broj 127/17, 138/20, 151/22 i 114/23) i članka 39. stavak 5 Statuta općine Gornji Bogićevci („Službeni glasnik Općine Gornji Bogićevci“, broj 02/21, Općinsko vijeće općine Gornji Bogićevci na svojoj 5. sjednici održanoj 22. prosinca 2025. godine, donosi</w:t>
      </w:r>
    </w:p>
    <w:p w:rsidR="00440A6E" w:rsidRDefault="00440A6E" w:rsidP="00440A6E">
      <w:pPr>
        <w:jc w:val="center"/>
        <w:rPr>
          <w:rFonts w:ascii="Times New Roman" w:hAnsi="Times New Roman" w:cs="Times New Roman"/>
          <w:sz w:val="24"/>
          <w:szCs w:val="24"/>
        </w:rPr>
      </w:pPr>
      <w:r>
        <w:rPr>
          <w:rFonts w:ascii="Times New Roman" w:hAnsi="Times New Roman" w:cs="Times New Roman"/>
          <w:b/>
          <w:sz w:val="24"/>
          <w:szCs w:val="24"/>
        </w:rPr>
        <w:t>PROGRAM JAVNIH POTREBA U KULTURI, SPORTU, VJERSKIM ZAJEDNICAMA I OSTALO NA PODRUČJU OPĆINE GORNJI BOGIĆEVCI ZA 2025. GODINU</w:t>
      </w:r>
    </w:p>
    <w:p w:rsidR="00440A6E" w:rsidRDefault="00440A6E" w:rsidP="00440A6E">
      <w:pPr>
        <w:jc w:val="center"/>
        <w:rPr>
          <w:rFonts w:ascii="Times New Roman" w:hAnsi="Times New Roman" w:cs="Times New Roman"/>
          <w:b/>
          <w:bCs/>
          <w:sz w:val="24"/>
          <w:szCs w:val="24"/>
        </w:rPr>
      </w:pPr>
      <w:r>
        <w:rPr>
          <w:rFonts w:ascii="Times New Roman" w:hAnsi="Times New Roman" w:cs="Times New Roman"/>
          <w:b/>
          <w:bCs/>
          <w:sz w:val="24"/>
          <w:szCs w:val="24"/>
        </w:rPr>
        <w:t>I. PROGRAM JAVNIH POTREBA U KULTURI</w:t>
      </w:r>
    </w:p>
    <w:p w:rsidR="00440A6E" w:rsidRDefault="00440A6E" w:rsidP="00440A6E">
      <w:pPr>
        <w:jc w:val="center"/>
        <w:rPr>
          <w:rFonts w:ascii="Times New Roman" w:hAnsi="Times New Roman" w:cs="Times New Roman"/>
          <w:b/>
          <w:bCs/>
          <w:sz w:val="24"/>
          <w:szCs w:val="24"/>
        </w:rPr>
      </w:pPr>
      <w:r>
        <w:rPr>
          <w:rFonts w:ascii="Times New Roman" w:hAnsi="Times New Roman" w:cs="Times New Roman"/>
          <w:b/>
          <w:bCs/>
          <w:sz w:val="24"/>
          <w:szCs w:val="24"/>
        </w:rPr>
        <w:t>Članak 1.</w:t>
      </w:r>
    </w:p>
    <w:p w:rsidR="00440A6E" w:rsidRDefault="00440A6E" w:rsidP="00440A6E">
      <w:pPr>
        <w:rPr>
          <w:rFonts w:ascii="Times New Roman" w:hAnsi="Times New Roman" w:cs="Times New Roman"/>
          <w:sz w:val="24"/>
          <w:szCs w:val="24"/>
        </w:rPr>
      </w:pPr>
      <w:r>
        <w:rPr>
          <w:rFonts w:ascii="Times New Roman" w:hAnsi="Times New Roman" w:cs="Times New Roman"/>
          <w:sz w:val="24"/>
          <w:szCs w:val="24"/>
        </w:rPr>
        <w:t>Programom javnih potreba u kulturi na području općine Gornji Bogićevci u 2025. godini (u daljnjem tekstu: Program) utvrđuju se aktivnosti, poslovi i djelatnosti u kulturi od značaja za Općinu Gornji Bogićevci koje će se financirati iz Proračuna Općine Gornji Bogićevci za 2025. godinu (u daljnjem tekstu: Proračun).</w:t>
      </w:r>
    </w:p>
    <w:p w:rsidR="00440A6E" w:rsidRDefault="00440A6E" w:rsidP="00440A6E">
      <w:pPr>
        <w:jc w:val="center"/>
        <w:rPr>
          <w:rFonts w:ascii="Times New Roman" w:hAnsi="Times New Roman" w:cs="Times New Roman"/>
          <w:b/>
          <w:bCs/>
          <w:sz w:val="24"/>
          <w:szCs w:val="24"/>
        </w:rPr>
      </w:pPr>
      <w:r>
        <w:rPr>
          <w:rFonts w:ascii="Times New Roman" w:hAnsi="Times New Roman" w:cs="Times New Roman"/>
          <w:b/>
          <w:bCs/>
          <w:sz w:val="24"/>
          <w:szCs w:val="24"/>
        </w:rPr>
        <w:t>Članak 2.</w:t>
      </w:r>
    </w:p>
    <w:p w:rsidR="00440A6E" w:rsidRDefault="00440A6E" w:rsidP="00440A6E">
      <w:pPr>
        <w:rPr>
          <w:rFonts w:ascii="Times New Roman" w:hAnsi="Times New Roman" w:cs="Times New Roman"/>
          <w:sz w:val="24"/>
          <w:szCs w:val="24"/>
        </w:rPr>
      </w:pPr>
      <w:r>
        <w:rPr>
          <w:rFonts w:ascii="Times New Roman" w:hAnsi="Times New Roman" w:cs="Times New Roman"/>
          <w:sz w:val="24"/>
          <w:szCs w:val="24"/>
        </w:rPr>
        <w:t>Javne potrebe u kulturi na području općine gornji Bogićevci ostvarit će se:</w:t>
      </w:r>
    </w:p>
    <w:p w:rsidR="00440A6E" w:rsidRDefault="00440A6E" w:rsidP="00440A6E">
      <w:pPr>
        <w:pStyle w:val="Tijeloteksta"/>
        <w:tabs>
          <w:tab w:val="left" w:pos="16800"/>
        </w:tabs>
      </w:pPr>
      <w:r>
        <w:t>- financiranjem matičnih ustanova kulture u općini</w:t>
      </w:r>
    </w:p>
    <w:p w:rsidR="00440A6E" w:rsidRDefault="00440A6E" w:rsidP="00440A6E">
      <w:pPr>
        <w:pStyle w:val="Tijeloteksta"/>
        <w:tabs>
          <w:tab w:val="left" w:pos="16800"/>
        </w:tabs>
      </w:pPr>
      <w:r>
        <w:t>- djelovanjem ustanova kulture, udruženja i udruga u kulturi</w:t>
      </w:r>
    </w:p>
    <w:p w:rsidR="00440A6E" w:rsidRDefault="00440A6E" w:rsidP="00440A6E">
      <w:pPr>
        <w:pStyle w:val="Tijeloteksta"/>
        <w:tabs>
          <w:tab w:val="left" w:pos="16800"/>
        </w:tabs>
      </w:pPr>
      <w:r>
        <w:t xml:space="preserve">- pomaganjem i poticanjem umjetničkog i kulturnog stvaralaštva </w:t>
      </w:r>
    </w:p>
    <w:p w:rsidR="00440A6E" w:rsidRDefault="00440A6E" w:rsidP="00440A6E">
      <w:pPr>
        <w:pStyle w:val="Tijeloteksta"/>
        <w:tabs>
          <w:tab w:val="left" w:pos="16800"/>
        </w:tabs>
      </w:pPr>
      <w:r>
        <w:t>- akcijama  i manifestacijama u kulturi koje će pridonijeti razvitku i promicanju kulturnog života</w:t>
      </w:r>
    </w:p>
    <w:p w:rsidR="00440A6E" w:rsidRDefault="00440A6E" w:rsidP="00440A6E">
      <w:pPr>
        <w:pStyle w:val="Tijeloteksta"/>
        <w:tabs>
          <w:tab w:val="left" w:pos="16800"/>
        </w:tabs>
      </w:pPr>
      <w:r>
        <w:tab/>
      </w:r>
    </w:p>
    <w:p w:rsidR="00440A6E" w:rsidRDefault="00440A6E" w:rsidP="00440A6E">
      <w:pPr>
        <w:pStyle w:val="Tijeloteksta"/>
        <w:tabs>
          <w:tab w:val="left" w:pos="1245"/>
          <w:tab w:val="left" w:pos="5280"/>
        </w:tabs>
        <w:jc w:val="center"/>
        <w:rPr>
          <w:b/>
          <w:bCs/>
        </w:rPr>
      </w:pPr>
      <w:r>
        <w:rPr>
          <w:b/>
          <w:bCs/>
        </w:rPr>
        <w:t>Članak 3.</w:t>
      </w:r>
    </w:p>
    <w:p w:rsidR="00440A6E" w:rsidRDefault="00440A6E" w:rsidP="00440A6E">
      <w:pPr>
        <w:pStyle w:val="Tijeloteksta"/>
        <w:tabs>
          <w:tab w:val="left" w:pos="5280"/>
        </w:tabs>
      </w:pPr>
    </w:p>
    <w:p w:rsidR="00440A6E" w:rsidRDefault="00440A6E" w:rsidP="00440A6E">
      <w:pPr>
        <w:pStyle w:val="Tijeloteksta"/>
        <w:tabs>
          <w:tab w:val="left" w:pos="5280"/>
        </w:tabs>
      </w:pPr>
      <w:r>
        <w:t>Za javne potrebe u kulturi u  Proračunu za 2025.g. utvrđuju se slijedeći iznosi:</w:t>
      </w:r>
    </w:p>
    <w:p w:rsidR="00440A6E" w:rsidRDefault="00440A6E" w:rsidP="00440A6E">
      <w:pPr>
        <w:pStyle w:val="Tijeloteksta"/>
        <w:tabs>
          <w:tab w:val="left" w:pos="5280"/>
        </w:tabs>
      </w:pPr>
    </w:p>
    <w:tbl>
      <w:tblPr>
        <w:tblStyle w:val="Reetkatablice"/>
        <w:tblpPr w:leftFromText="180" w:rightFromText="180" w:vertAnchor="text" w:horzAnchor="margin" w:tblpY="76"/>
        <w:tblW w:w="14328" w:type="dxa"/>
        <w:tblLayout w:type="fixed"/>
        <w:tblLook w:val="04A0"/>
      </w:tblPr>
      <w:tblGrid>
        <w:gridCol w:w="846"/>
        <w:gridCol w:w="1984"/>
        <w:gridCol w:w="4678"/>
        <w:gridCol w:w="1701"/>
        <w:gridCol w:w="1843"/>
        <w:gridCol w:w="1559"/>
        <w:gridCol w:w="1717"/>
      </w:tblGrid>
      <w:tr w:rsidR="00440A6E" w:rsidTr="00F57898">
        <w:tc>
          <w:tcPr>
            <w:tcW w:w="846" w:type="dxa"/>
            <w:shd w:val="clear" w:color="auto" w:fill="CCFFFF"/>
          </w:tcPr>
          <w:p w:rsidR="00440A6E" w:rsidRDefault="00440A6E" w:rsidP="00F57898">
            <w:pPr>
              <w:pStyle w:val="Tijeloteksta"/>
              <w:tabs>
                <w:tab w:val="left" w:pos="5280"/>
              </w:tabs>
              <w:jc w:val="center"/>
            </w:pPr>
          </w:p>
        </w:tc>
        <w:tc>
          <w:tcPr>
            <w:tcW w:w="1984" w:type="dxa"/>
            <w:shd w:val="clear" w:color="auto" w:fill="CCFFFF"/>
          </w:tcPr>
          <w:p w:rsidR="00440A6E" w:rsidRDefault="00440A6E" w:rsidP="00F57898">
            <w:pPr>
              <w:pStyle w:val="Tijeloteksta"/>
              <w:tabs>
                <w:tab w:val="left" w:pos="5280"/>
              </w:tabs>
              <w:jc w:val="center"/>
            </w:pPr>
          </w:p>
        </w:tc>
        <w:tc>
          <w:tcPr>
            <w:tcW w:w="4678" w:type="dxa"/>
            <w:shd w:val="clear" w:color="auto" w:fill="CCFFFF"/>
          </w:tcPr>
          <w:p w:rsidR="00440A6E" w:rsidRDefault="00440A6E" w:rsidP="00F57898">
            <w:pPr>
              <w:pStyle w:val="Tijeloteksta"/>
              <w:tabs>
                <w:tab w:val="left" w:pos="5280"/>
              </w:tabs>
              <w:jc w:val="center"/>
            </w:pPr>
          </w:p>
        </w:tc>
        <w:tc>
          <w:tcPr>
            <w:tcW w:w="5103" w:type="dxa"/>
            <w:gridSpan w:val="3"/>
            <w:shd w:val="clear" w:color="auto" w:fill="CCFFFF"/>
          </w:tcPr>
          <w:p w:rsidR="00440A6E" w:rsidRDefault="00440A6E" w:rsidP="00F57898">
            <w:pPr>
              <w:pStyle w:val="Tijeloteksta"/>
              <w:tabs>
                <w:tab w:val="left" w:pos="5280"/>
              </w:tabs>
              <w:jc w:val="center"/>
            </w:pPr>
            <w:r>
              <w:t>Iznos</w:t>
            </w:r>
          </w:p>
        </w:tc>
        <w:tc>
          <w:tcPr>
            <w:tcW w:w="1717" w:type="dxa"/>
            <w:shd w:val="clear" w:color="auto" w:fill="CCFFFF"/>
          </w:tcPr>
          <w:p w:rsidR="00440A6E" w:rsidRDefault="00440A6E" w:rsidP="00F57898">
            <w:pPr>
              <w:pStyle w:val="Tijeloteksta"/>
              <w:tabs>
                <w:tab w:val="left" w:pos="5280"/>
              </w:tabs>
              <w:jc w:val="center"/>
            </w:pPr>
          </w:p>
        </w:tc>
      </w:tr>
      <w:tr w:rsidR="00440A6E" w:rsidTr="00F57898">
        <w:tc>
          <w:tcPr>
            <w:tcW w:w="846" w:type="dxa"/>
            <w:shd w:val="clear" w:color="auto" w:fill="CCFFFF"/>
          </w:tcPr>
          <w:p w:rsidR="00440A6E" w:rsidRDefault="00440A6E" w:rsidP="00F57898">
            <w:pPr>
              <w:pStyle w:val="Tijeloteksta"/>
              <w:tabs>
                <w:tab w:val="left" w:pos="5280"/>
              </w:tabs>
              <w:jc w:val="center"/>
            </w:pPr>
            <w:r>
              <w:t>Redni</w:t>
            </w:r>
          </w:p>
          <w:p w:rsidR="00440A6E" w:rsidRDefault="00440A6E" w:rsidP="00F57898">
            <w:pPr>
              <w:pStyle w:val="Tijeloteksta"/>
              <w:tabs>
                <w:tab w:val="left" w:pos="5280"/>
              </w:tabs>
              <w:jc w:val="center"/>
            </w:pPr>
            <w:r>
              <w:t>broj</w:t>
            </w:r>
          </w:p>
        </w:tc>
        <w:tc>
          <w:tcPr>
            <w:tcW w:w="1984" w:type="dxa"/>
            <w:shd w:val="clear" w:color="auto" w:fill="CCFFFF"/>
          </w:tcPr>
          <w:p w:rsidR="00440A6E" w:rsidRDefault="00440A6E" w:rsidP="00F57898">
            <w:pPr>
              <w:pStyle w:val="Tijeloteksta"/>
              <w:tabs>
                <w:tab w:val="left" w:pos="5280"/>
              </w:tabs>
              <w:jc w:val="center"/>
            </w:pPr>
            <w:r>
              <w:t>Aktivnost</w:t>
            </w:r>
          </w:p>
        </w:tc>
        <w:tc>
          <w:tcPr>
            <w:tcW w:w="4678" w:type="dxa"/>
            <w:shd w:val="clear" w:color="auto" w:fill="CCFFFF"/>
          </w:tcPr>
          <w:p w:rsidR="00440A6E" w:rsidRDefault="00440A6E" w:rsidP="00F57898">
            <w:pPr>
              <w:pStyle w:val="Tijeloteksta"/>
              <w:tabs>
                <w:tab w:val="left" w:pos="5280"/>
              </w:tabs>
              <w:jc w:val="center"/>
            </w:pPr>
            <w:r>
              <w:t>Opis</w:t>
            </w:r>
          </w:p>
        </w:tc>
        <w:tc>
          <w:tcPr>
            <w:tcW w:w="1701" w:type="dxa"/>
            <w:shd w:val="clear" w:color="auto" w:fill="CCFFFF"/>
          </w:tcPr>
          <w:p w:rsidR="00440A6E" w:rsidRDefault="00440A6E" w:rsidP="00F57898">
            <w:pPr>
              <w:pStyle w:val="Tijeloteksta"/>
              <w:tabs>
                <w:tab w:val="left" w:pos="990"/>
                <w:tab w:val="right" w:pos="4887"/>
              </w:tabs>
              <w:jc w:val="center"/>
            </w:pPr>
            <w:r>
              <w:t>Općina Gornji Bogićevci</w:t>
            </w:r>
          </w:p>
        </w:tc>
        <w:tc>
          <w:tcPr>
            <w:tcW w:w="1843" w:type="dxa"/>
            <w:shd w:val="clear" w:color="auto" w:fill="CCFFFF"/>
          </w:tcPr>
          <w:p w:rsidR="00440A6E" w:rsidRDefault="00440A6E" w:rsidP="00F57898">
            <w:pPr>
              <w:pStyle w:val="Tijeloteksta"/>
              <w:tabs>
                <w:tab w:val="left" w:pos="990"/>
                <w:tab w:val="right" w:pos="4887"/>
              </w:tabs>
              <w:jc w:val="center"/>
            </w:pPr>
            <w:r>
              <w:t>Ministarstvo kulture i županija</w:t>
            </w:r>
          </w:p>
        </w:tc>
        <w:tc>
          <w:tcPr>
            <w:tcW w:w="1559" w:type="dxa"/>
            <w:shd w:val="clear" w:color="auto" w:fill="CCFFFF"/>
          </w:tcPr>
          <w:p w:rsidR="00440A6E" w:rsidRDefault="00440A6E" w:rsidP="00F57898">
            <w:pPr>
              <w:pStyle w:val="Tijeloteksta"/>
              <w:tabs>
                <w:tab w:val="left" w:pos="990"/>
                <w:tab w:val="right" w:pos="4887"/>
              </w:tabs>
              <w:jc w:val="center"/>
            </w:pPr>
            <w:r>
              <w:t>Vlastiti</w:t>
            </w:r>
          </w:p>
          <w:p w:rsidR="00440A6E" w:rsidRDefault="00440A6E" w:rsidP="00F57898">
            <w:pPr>
              <w:pStyle w:val="Tijeloteksta"/>
              <w:tabs>
                <w:tab w:val="left" w:pos="990"/>
                <w:tab w:val="right" w:pos="4887"/>
              </w:tabs>
              <w:jc w:val="center"/>
            </w:pPr>
            <w:r>
              <w:t>prihodi</w:t>
            </w:r>
          </w:p>
        </w:tc>
        <w:tc>
          <w:tcPr>
            <w:tcW w:w="1717" w:type="dxa"/>
            <w:shd w:val="clear" w:color="auto" w:fill="CCFFFF"/>
          </w:tcPr>
          <w:p w:rsidR="00440A6E" w:rsidRDefault="00440A6E" w:rsidP="00F57898">
            <w:pPr>
              <w:pStyle w:val="Tijeloteksta"/>
              <w:tabs>
                <w:tab w:val="left" w:pos="5280"/>
              </w:tabs>
              <w:jc w:val="center"/>
            </w:pPr>
            <w:r>
              <w:t>Ukupno</w:t>
            </w:r>
          </w:p>
          <w:p w:rsidR="00440A6E" w:rsidRDefault="00440A6E" w:rsidP="00F57898">
            <w:pPr>
              <w:pStyle w:val="Tijeloteksta"/>
              <w:tabs>
                <w:tab w:val="left" w:pos="5280"/>
              </w:tabs>
              <w:jc w:val="center"/>
            </w:pPr>
            <w:r>
              <w:t>(EUR)</w:t>
            </w:r>
          </w:p>
        </w:tc>
      </w:tr>
      <w:tr w:rsidR="00440A6E" w:rsidTr="00F57898">
        <w:tc>
          <w:tcPr>
            <w:tcW w:w="846" w:type="dxa"/>
          </w:tcPr>
          <w:p w:rsidR="00440A6E" w:rsidRDefault="00440A6E" w:rsidP="00F57898">
            <w:pPr>
              <w:pStyle w:val="Tijeloteksta"/>
              <w:tabs>
                <w:tab w:val="left" w:pos="5280"/>
              </w:tabs>
            </w:pPr>
            <w:r>
              <w:t>1.</w:t>
            </w:r>
          </w:p>
        </w:tc>
        <w:tc>
          <w:tcPr>
            <w:tcW w:w="1984" w:type="dxa"/>
          </w:tcPr>
          <w:p w:rsidR="00440A6E" w:rsidRDefault="00440A6E" w:rsidP="00F57898">
            <w:pPr>
              <w:pStyle w:val="Tijeloteksta"/>
              <w:tabs>
                <w:tab w:val="left" w:pos="5280"/>
              </w:tabs>
              <w:rPr>
                <w:color w:val="000000" w:themeColor="text1"/>
              </w:rPr>
            </w:pPr>
            <w:r>
              <w:rPr>
                <w:color w:val="000000" w:themeColor="text1"/>
              </w:rPr>
              <w:t>Narodna knjižnica i čitaonica Gornji Bogićevci</w:t>
            </w:r>
          </w:p>
        </w:tc>
        <w:tc>
          <w:tcPr>
            <w:tcW w:w="4678" w:type="dxa"/>
          </w:tcPr>
          <w:p w:rsidR="00440A6E" w:rsidRDefault="00440A6E" w:rsidP="00F57898">
            <w:pPr>
              <w:pStyle w:val="Tijeloteksta"/>
              <w:tabs>
                <w:tab w:val="left" w:pos="5280"/>
              </w:tabs>
              <w:rPr>
                <w:color w:val="000000" w:themeColor="text1"/>
              </w:rPr>
            </w:pPr>
            <w:r>
              <w:rPr>
                <w:color w:val="000000" w:themeColor="text1"/>
              </w:rPr>
              <w:t>redovna djelatnost te nabavka knjiga, uredskog namještaja i opreme</w:t>
            </w:r>
          </w:p>
        </w:tc>
        <w:tc>
          <w:tcPr>
            <w:tcW w:w="1701" w:type="dxa"/>
          </w:tcPr>
          <w:p w:rsidR="00440A6E" w:rsidRDefault="00440A6E" w:rsidP="00F57898">
            <w:pPr>
              <w:pStyle w:val="Tijeloteksta"/>
              <w:tabs>
                <w:tab w:val="left" w:pos="5280"/>
              </w:tabs>
              <w:jc w:val="center"/>
            </w:pPr>
          </w:p>
          <w:p w:rsidR="00440A6E" w:rsidRDefault="00440A6E" w:rsidP="00F57898">
            <w:pPr>
              <w:pStyle w:val="Tijeloteksta"/>
              <w:tabs>
                <w:tab w:val="left" w:pos="5280"/>
              </w:tabs>
              <w:jc w:val="center"/>
            </w:pPr>
            <w:r>
              <w:rPr>
                <w:lang w:val="hr-HR"/>
              </w:rPr>
              <w:t>32.968,22</w:t>
            </w:r>
          </w:p>
        </w:tc>
        <w:tc>
          <w:tcPr>
            <w:tcW w:w="1843" w:type="dxa"/>
          </w:tcPr>
          <w:p w:rsidR="00440A6E" w:rsidRDefault="00440A6E" w:rsidP="00F57898">
            <w:pPr>
              <w:pStyle w:val="Tijeloteksta"/>
              <w:tabs>
                <w:tab w:val="left" w:pos="5280"/>
              </w:tabs>
              <w:jc w:val="center"/>
            </w:pPr>
          </w:p>
          <w:p w:rsidR="00440A6E" w:rsidRDefault="00440A6E" w:rsidP="00F57898">
            <w:pPr>
              <w:pStyle w:val="Tijeloteksta"/>
              <w:tabs>
                <w:tab w:val="left" w:pos="5280"/>
              </w:tabs>
              <w:jc w:val="center"/>
            </w:pPr>
            <w:r>
              <w:t>8.</w:t>
            </w:r>
            <w:r>
              <w:rPr>
                <w:lang w:val="hr-HR"/>
              </w:rPr>
              <w:t>655,00</w:t>
            </w:r>
          </w:p>
        </w:tc>
        <w:tc>
          <w:tcPr>
            <w:tcW w:w="1559" w:type="dxa"/>
          </w:tcPr>
          <w:p w:rsidR="00440A6E" w:rsidRDefault="00440A6E" w:rsidP="00F57898">
            <w:pPr>
              <w:pStyle w:val="Tijeloteksta"/>
              <w:tabs>
                <w:tab w:val="left" w:pos="5280"/>
              </w:tabs>
              <w:jc w:val="center"/>
            </w:pPr>
          </w:p>
          <w:p w:rsidR="00440A6E" w:rsidRDefault="00440A6E" w:rsidP="00F57898">
            <w:pPr>
              <w:pStyle w:val="Tijeloteksta"/>
              <w:tabs>
                <w:tab w:val="left" w:pos="5280"/>
              </w:tabs>
              <w:jc w:val="center"/>
            </w:pPr>
            <w:r>
              <w:rPr>
                <w:lang w:val="hr-HR"/>
              </w:rPr>
              <w:t>150</w:t>
            </w:r>
            <w:r>
              <w:t>,00</w:t>
            </w:r>
          </w:p>
          <w:p w:rsidR="00440A6E" w:rsidRDefault="00440A6E" w:rsidP="00F57898">
            <w:pPr>
              <w:pStyle w:val="Tijeloteksta"/>
              <w:tabs>
                <w:tab w:val="left" w:pos="5280"/>
              </w:tabs>
              <w:jc w:val="center"/>
            </w:pPr>
          </w:p>
        </w:tc>
        <w:tc>
          <w:tcPr>
            <w:tcW w:w="1717" w:type="dxa"/>
          </w:tcPr>
          <w:p w:rsidR="00440A6E" w:rsidRDefault="00440A6E" w:rsidP="00F57898">
            <w:pPr>
              <w:pStyle w:val="Tijeloteksta"/>
              <w:tabs>
                <w:tab w:val="left" w:pos="5280"/>
              </w:tabs>
              <w:jc w:val="center"/>
            </w:pPr>
          </w:p>
          <w:p w:rsidR="00440A6E" w:rsidRDefault="00440A6E" w:rsidP="00F57898">
            <w:pPr>
              <w:pStyle w:val="Tijeloteksta"/>
              <w:tabs>
                <w:tab w:val="left" w:pos="5280"/>
              </w:tabs>
              <w:jc w:val="center"/>
            </w:pPr>
            <w:r>
              <w:rPr>
                <w:lang w:val="hr-HR"/>
              </w:rPr>
              <w:t>41.773,22</w:t>
            </w:r>
          </w:p>
        </w:tc>
      </w:tr>
      <w:tr w:rsidR="00440A6E" w:rsidTr="00F57898">
        <w:tc>
          <w:tcPr>
            <w:tcW w:w="846" w:type="dxa"/>
          </w:tcPr>
          <w:p w:rsidR="00440A6E" w:rsidRDefault="00440A6E" w:rsidP="00F57898">
            <w:pPr>
              <w:pStyle w:val="Tijeloteksta"/>
              <w:tabs>
                <w:tab w:val="left" w:pos="5280"/>
              </w:tabs>
            </w:pPr>
            <w:r>
              <w:t>2.</w:t>
            </w:r>
          </w:p>
        </w:tc>
        <w:tc>
          <w:tcPr>
            <w:tcW w:w="1984" w:type="dxa"/>
          </w:tcPr>
          <w:p w:rsidR="00440A6E" w:rsidRDefault="00440A6E" w:rsidP="00F57898">
            <w:pPr>
              <w:pStyle w:val="Tijeloteksta"/>
              <w:tabs>
                <w:tab w:val="left" w:pos="5280"/>
              </w:tabs>
            </w:pPr>
            <w:r>
              <w:t>Djelatnost ustanova i udruga u kulturi</w:t>
            </w:r>
          </w:p>
        </w:tc>
        <w:tc>
          <w:tcPr>
            <w:tcW w:w="4678" w:type="dxa"/>
          </w:tcPr>
          <w:p w:rsidR="00440A6E" w:rsidRDefault="00440A6E" w:rsidP="00F57898">
            <w:pPr>
              <w:pStyle w:val="Tijeloteksta"/>
              <w:tabs>
                <w:tab w:val="left" w:pos="5280"/>
              </w:tabs>
            </w:pPr>
            <w:r>
              <w:t>Financiranje udruženja i udruga u kulturi koje su od interesa za općinu Gornji Bogićevci te Radio „Bljeska“</w:t>
            </w:r>
          </w:p>
        </w:tc>
        <w:tc>
          <w:tcPr>
            <w:tcW w:w="1701" w:type="dxa"/>
          </w:tcPr>
          <w:p w:rsidR="00440A6E" w:rsidRDefault="00440A6E" w:rsidP="00F57898">
            <w:pPr>
              <w:pStyle w:val="Tijeloteksta"/>
              <w:tabs>
                <w:tab w:val="left" w:pos="5280"/>
              </w:tabs>
              <w:jc w:val="center"/>
              <w:rPr>
                <w:color w:val="000000" w:themeColor="text1"/>
              </w:rPr>
            </w:pPr>
          </w:p>
          <w:p w:rsidR="00440A6E" w:rsidRDefault="00440A6E" w:rsidP="00F57898">
            <w:pPr>
              <w:pStyle w:val="Tijeloteksta"/>
              <w:tabs>
                <w:tab w:val="left" w:pos="5280"/>
              </w:tabs>
              <w:jc w:val="center"/>
              <w:rPr>
                <w:color w:val="000000" w:themeColor="text1"/>
              </w:rPr>
            </w:pPr>
            <w:r>
              <w:rPr>
                <w:color w:val="000000" w:themeColor="text1"/>
              </w:rPr>
              <w:t>2</w:t>
            </w:r>
            <w:r>
              <w:rPr>
                <w:color w:val="000000" w:themeColor="text1"/>
                <w:lang w:val="hr-HR"/>
              </w:rPr>
              <w:t>0</w:t>
            </w:r>
            <w:r>
              <w:rPr>
                <w:color w:val="000000" w:themeColor="text1"/>
              </w:rPr>
              <w:t>.</w:t>
            </w:r>
            <w:r>
              <w:rPr>
                <w:color w:val="000000" w:themeColor="text1"/>
                <w:lang w:val="hr-HR"/>
              </w:rPr>
              <w:t>5</w:t>
            </w:r>
            <w:r>
              <w:rPr>
                <w:color w:val="000000" w:themeColor="text1"/>
              </w:rPr>
              <w:t>00,00</w:t>
            </w:r>
          </w:p>
        </w:tc>
        <w:tc>
          <w:tcPr>
            <w:tcW w:w="1843" w:type="dxa"/>
          </w:tcPr>
          <w:p w:rsidR="00440A6E" w:rsidRDefault="00440A6E" w:rsidP="00F57898">
            <w:pPr>
              <w:pStyle w:val="Tijeloteksta"/>
              <w:tabs>
                <w:tab w:val="left" w:pos="5280"/>
              </w:tabs>
              <w:jc w:val="center"/>
              <w:rPr>
                <w:color w:val="000000" w:themeColor="text1"/>
              </w:rPr>
            </w:pPr>
          </w:p>
          <w:p w:rsidR="00440A6E" w:rsidRDefault="00440A6E" w:rsidP="00F57898">
            <w:pPr>
              <w:pStyle w:val="Tijeloteksta"/>
              <w:tabs>
                <w:tab w:val="left" w:pos="5280"/>
              </w:tabs>
              <w:jc w:val="center"/>
              <w:rPr>
                <w:color w:val="000000" w:themeColor="text1"/>
              </w:rPr>
            </w:pPr>
            <w:r>
              <w:rPr>
                <w:color w:val="000000" w:themeColor="text1"/>
              </w:rPr>
              <w:t>-</w:t>
            </w:r>
          </w:p>
        </w:tc>
        <w:tc>
          <w:tcPr>
            <w:tcW w:w="1559" w:type="dxa"/>
          </w:tcPr>
          <w:p w:rsidR="00440A6E" w:rsidRDefault="00440A6E" w:rsidP="00F57898">
            <w:pPr>
              <w:pStyle w:val="Tijeloteksta"/>
              <w:tabs>
                <w:tab w:val="left" w:pos="5280"/>
              </w:tabs>
              <w:jc w:val="center"/>
              <w:rPr>
                <w:color w:val="000000" w:themeColor="text1"/>
              </w:rPr>
            </w:pPr>
          </w:p>
          <w:p w:rsidR="00440A6E" w:rsidRDefault="00440A6E" w:rsidP="00F57898">
            <w:pPr>
              <w:pStyle w:val="Tijeloteksta"/>
              <w:tabs>
                <w:tab w:val="left" w:pos="5280"/>
              </w:tabs>
              <w:jc w:val="center"/>
              <w:rPr>
                <w:color w:val="000000" w:themeColor="text1"/>
              </w:rPr>
            </w:pPr>
            <w:r>
              <w:rPr>
                <w:color w:val="000000" w:themeColor="text1"/>
              </w:rPr>
              <w:t>-</w:t>
            </w:r>
          </w:p>
        </w:tc>
        <w:tc>
          <w:tcPr>
            <w:tcW w:w="1717" w:type="dxa"/>
          </w:tcPr>
          <w:p w:rsidR="00440A6E" w:rsidRDefault="00440A6E" w:rsidP="00F57898">
            <w:pPr>
              <w:pStyle w:val="Tijeloteksta"/>
              <w:tabs>
                <w:tab w:val="left" w:pos="5280"/>
              </w:tabs>
              <w:jc w:val="center"/>
              <w:rPr>
                <w:color w:val="000000" w:themeColor="text1"/>
              </w:rPr>
            </w:pPr>
          </w:p>
          <w:p w:rsidR="00440A6E" w:rsidRDefault="00440A6E" w:rsidP="00F57898">
            <w:pPr>
              <w:pStyle w:val="Tijeloteksta"/>
              <w:tabs>
                <w:tab w:val="left" w:pos="5280"/>
              </w:tabs>
              <w:jc w:val="center"/>
              <w:rPr>
                <w:color w:val="000000" w:themeColor="text1"/>
              </w:rPr>
            </w:pPr>
            <w:r>
              <w:rPr>
                <w:color w:val="000000" w:themeColor="text1"/>
              </w:rPr>
              <w:t>2</w:t>
            </w:r>
            <w:r>
              <w:rPr>
                <w:color w:val="000000" w:themeColor="text1"/>
                <w:lang w:val="hr-HR"/>
              </w:rPr>
              <w:t>0</w:t>
            </w:r>
            <w:r>
              <w:rPr>
                <w:color w:val="000000" w:themeColor="text1"/>
              </w:rPr>
              <w:t>.</w:t>
            </w:r>
            <w:r>
              <w:rPr>
                <w:color w:val="000000" w:themeColor="text1"/>
                <w:lang w:val="hr-HR"/>
              </w:rPr>
              <w:t>5</w:t>
            </w:r>
            <w:r>
              <w:rPr>
                <w:color w:val="000000" w:themeColor="text1"/>
              </w:rPr>
              <w:t>00,00</w:t>
            </w:r>
          </w:p>
        </w:tc>
      </w:tr>
      <w:tr w:rsidR="00440A6E" w:rsidTr="00F57898">
        <w:tc>
          <w:tcPr>
            <w:tcW w:w="846" w:type="dxa"/>
            <w:tcBorders>
              <w:bottom w:val="single" w:sz="4" w:space="0" w:color="auto"/>
            </w:tcBorders>
          </w:tcPr>
          <w:p w:rsidR="00440A6E" w:rsidRDefault="00440A6E" w:rsidP="00F57898">
            <w:pPr>
              <w:pStyle w:val="Tijeloteksta"/>
              <w:tabs>
                <w:tab w:val="left" w:pos="5280"/>
              </w:tabs>
            </w:pPr>
            <w:r>
              <w:lastRenderedPageBreak/>
              <w:t>3.</w:t>
            </w:r>
          </w:p>
        </w:tc>
        <w:tc>
          <w:tcPr>
            <w:tcW w:w="1984" w:type="dxa"/>
            <w:tcBorders>
              <w:bottom w:val="single" w:sz="4" w:space="0" w:color="auto"/>
            </w:tcBorders>
          </w:tcPr>
          <w:p w:rsidR="00440A6E" w:rsidRDefault="00440A6E" w:rsidP="00F57898">
            <w:pPr>
              <w:pStyle w:val="Tijeloteksta"/>
              <w:tabs>
                <w:tab w:val="left" w:pos="5280"/>
              </w:tabs>
            </w:pPr>
            <w:r>
              <w:t>Utvrda Bedem</w:t>
            </w:r>
          </w:p>
        </w:tc>
        <w:tc>
          <w:tcPr>
            <w:tcW w:w="4678" w:type="dxa"/>
            <w:tcBorders>
              <w:bottom w:val="single" w:sz="4" w:space="0" w:color="auto"/>
            </w:tcBorders>
          </w:tcPr>
          <w:p w:rsidR="00440A6E" w:rsidRDefault="00440A6E" w:rsidP="00F57898">
            <w:pPr>
              <w:pStyle w:val="Tijeloteksta"/>
              <w:tabs>
                <w:tab w:val="left" w:pos="5280"/>
              </w:tabs>
            </w:pPr>
            <w:r>
              <w:t>Kapitalni projekt</w:t>
            </w:r>
          </w:p>
        </w:tc>
        <w:tc>
          <w:tcPr>
            <w:tcW w:w="1701" w:type="dxa"/>
            <w:tcBorders>
              <w:bottom w:val="single" w:sz="4" w:space="0" w:color="auto"/>
            </w:tcBorders>
          </w:tcPr>
          <w:p w:rsidR="00440A6E" w:rsidRDefault="00440A6E" w:rsidP="00F57898">
            <w:pPr>
              <w:pStyle w:val="Tijeloteksta"/>
              <w:tabs>
                <w:tab w:val="left" w:pos="5280"/>
              </w:tabs>
              <w:jc w:val="center"/>
            </w:pPr>
            <w:r>
              <w:t>4.000,00</w:t>
            </w:r>
          </w:p>
        </w:tc>
        <w:tc>
          <w:tcPr>
            <w:tcW w:w="1843" w:type="dxa"/>
            <w:tcBorders>
              <w:bottom w:val="single" w:sz="4" w:space="0" w:color="auto"/>
            </w:tcBorders>
          </w:tcPr>
          <w:p w:rsidR="00440A6E" w:rsidRDefault="00440A6E" w:rsidP="00F57898">
            <w:pPr>
              <w:pStyle w:val="Tijeloteksta"/>
              <w:tabs>
                <w:tab w:val="left" w:pos="5280"/>
              </w:tabs>
              <w:jc w:val="center"/>
            </w:pPr>
            <w:r>
              <w:t>1</w:t>
            </w:r>
            <w:r>
              <w:rPr>
                <w:lang w:val="hr-HR"/>
              </w:rPr>
              <w:t>0</w:t>
            </w:r>
            <w:r>
              <w:t>.000,00</w:t>
            </w:r>
          </w:p>
        </w:tc>
        <w:tc>
          <w:tcPr>
            <w:tcW w:w="1559" w:type="dxa"/>
            <w:tcBorders>
              <w:bottom w:val="single" w:sz="4" w:space="0" w:color="auto"/>
            </w:tcBorders>
          </w:tcPr>
          <w:p w:rsidR="00440A6E" w:rsidRDefault="00440A6E" w:rsidP="00F57898">
            <w:pPr>
              <w:pStyle w:val="Tijeloteksta"/>
              <w:tabs>
                <w:tab w:val="left" w:pos="5280"/>
              </w:tabs>
              <w:jc w:val="center"/>
            </w:pPr>
            <w:r>
              <w:t>-</w:t>
            </w:r>
          </w:p>
        </w:tc>
        <w:tc>
          <w:tcPr>
            <w:tcW w:w="1717" w:type="dxa"/>
            <w:tcBorders>
              <w:bottom w:val="single" w:sz="4" w:space="0" w:color="auto"/>
            </w:tcBorders>
          </w:tcPr>
          <w:p w:rsidR="00440A6E" w:rsidRDefault="00440A6E" w:rsidP="00F57898">
            <w:pPr>
              <w:pStyle w:val="Tijeloteksta"/>
              <w:tabs>
                <w:tab w:val="left" w:pos="5280"/>
              </w:tabs>
              <w:jc w:val="center"/>
            </w:pPr>
            <w:r>
              <w:t>1</w:t>
            </w:r>
            <w:r>
              <w:rPr>
                <w:lang w:val="hr-HR"/>
              </w:rPr>
              <w:t>4</w:t>
            </w:r>
            <w:r>
              <w:t>.000,00</w:t>
            </w:r>
          </w:p>
        </w:tc>
      </w:tr>
      <w:tr w:rsidR="00440A6E" w:rsidTr="00F57898">
        <w:tc>
          <w:tcPr>
            <w:tcW w:w="12611" w:type="dxa"/>
            <w:gridSpan w:val="6"/>
            <w:shd w:val="clear" w:color="auto" w:fill="CCFFFF"/>
          </w:tcPr>
          <w:p w:rsidR="00440A6E" w:rsidRDefault="00440A6E" w:rsidP="00F57898">
            <w:pPr>
              <w:pStyle w:val="Tijeloteksta"/>
              <w:tabs>
                <w:tab w:val="left" w:pos="5280"/>
              </w:tabs>
              <w:jc w:val="center"/>
              <w:rPr>
                <w:b/>
              </w:rPr>
            </w:pPr>
          </w:p>
          <w:p w:rsidR="00440A6E" w:rsidRDefault="00440A6E" w:rsidP="00F57898">
            <w:pPr>
              <w:pStyle w:val="Tijeloteksta"/>
              <w:tabs>
                <w:tab w:val="left" w:pos="5280"/>
              </w:tabs>
              <w:jc w:val="center"/>
              <w:rPr>
                <w:b/>
              </w:rPr>
            </w:pPr>
            <w:r>
              <w:rPr>
                <w:b/>
              </w:rPr>
              <w:t>UKUPNO PROGRAM JAVNIH POTREBA U KULTURI:</w:t>
            </w:r>
          </w:p>
        </w:tc>
        <w:tc>
          <w:tcPr>
            <w:tcW w:w="1717" w:type="dxa"/>
            <w:shd w:val="clear" w:color="auto" w:fill="CCFFFF"/>
          </w:tcPr>
          <w:p w:rsidR="00440A6E" w:rsidRDefault="00440A6E" w:rsidP="00F57898">
            <w:pPr>
              <w:pStyle w:val="Tijeloteksta"/>
              <w:tabs>
                <w:tab w:val="left" w:pos="5280"/>
              </w:tabs>
              <w:jc w:val="center"/>
              <w:rPr>
                <w:b/>
              </w:rPr>
            </w:pPr>
          </w:p>
          <w:p w:rsidR="00440A6E" w:rsidRDefault="00440A6E" w:rsidP="00F57898">
            <w:pPr>
              <w:pStyle w:val="Tijeloteksta"/>
              <w:tabs>
                <w:tab w:val="left" w:pos="5280"/>
              </w:tabs>
              <w:jc w:val="center"/>
              <w:rPr>
                <w:b/>
              </w:rPr>
            </w:pPr>
            <w:r>
              <w:rPr>
                <w:b/>
                <w:lang w:val="hr-HR"/>
              </w:rPr>
              <w:t>76.273,22</w:t>
            </w:r>
          </w:p>
        </w:tc>
      </w:tr>
    </w:tbl>
    <w:p w:rsidR="00440A6E" w:rsidRDefault="00440A6E" w:rsidP="00440A6E">
      <w:pPr>
        <w:pStyle w:val="Tijeloteksta"/>
        <w:tabs>
          <w:tab w:val="left" w:pos="5280"/>
        </w:tabs>
        <w:jc w:val="center"/>
        <w:rPr>
          <w:b/>
          <w:bCs/>
        </w:rPr>
      </w:pPr>
    </w:p>
    <w:p w:rsidR="00440A6E" w:rsidRDefault="00440A6E" w:rsidP="00440A6E">
      <w:pPr>
        <w:pStyle w:val="Tijeloteksta"/>
        <w:tabs>
          <w:tab w:val="left" w:pos="5280"/>
        </w:tabs>
        <w:jc w:val="center"/>
        <w:rPr>
          <w:b/>
          <w:bCs/>
        </w:rPr>
      </w:pPr>
    </w:p>
    <w:p w:rsidR="00440A6E" w:rsidRDefault="00440A6E" w:rsidP="00440A6E">
      <w:pPr>
        <w:pStyle w:val="Tijeloteksta"/>
        <w:tabs>
          <w:tab w:val="left" w:pos="5280"/>
        </w:tabs>
        <w:jc w:val="center"/>
        <w:rPr>
          <w:b/>
          <w:bCs/>
        </w:rPr>
      </w:pPr>
      <w:r>
        <w:rPr>
          <w:b/>
          <w:bCs/>
        </w:rPr>
        <w:t>II. DJELATNOST VJERSKIH ZAJEDNICA</w:t>
      </w:r>
    </w:p>
    <w:p w:rsidR="00440A6E" w:rsidRDefault="00440A6E" w:rsidP="00440A6E">
      <w:pPr>
        <w:pStyle w:val="Tijeloteksta"/>
        <w:tabs>
          <w:tab w:val="left" w:pos="5280"/>
        </w:tabs>
        <w:jc w:val="center"/>
        <w:rPr>
          <w:b/>
          <w:bCs/>
        </w:rPr>
      </w:pPr>
    </w:p>
    <w:p w:rsidR="00440A6E" w:rsidRDefault="00440A6E" w:rsidP="00440A6E">
      <w:pPr>
        <w:pStyle w:val="Tijeloteksta"/>
        <w:tabs>
          <w:tab w:val="left" w:pos="5280"/>
        </w:tabs>
        <w:jc w:val="center"/>
        <w:rPr>
          <w:b/>
        </w:rPr>
      </w:pPr>
      <w:r>
        <w:rPr>
          <w:b/>
          <w:bCs/>
        </w:rPr>
        <w:t>Članak</w:t>
      </w:r>
      <w:r>
        <w:t xml:space="preserve"> </w:t>
      </w:r>
      <w:r>
        <w:rPr>
          <w:b/>
          <w:bCs/>
        </w:rPr>
        <w:t>4</w:t>
      </w:r>
      <w:r>
        <w:rPr>
          <w:b/>
        </w:rPr>
        <w:t>.</w:t>
      </w:r>
    </w:p>
    <w:p w:rsidR="00440A6E" w:rsidRDefault="00440A6E" w:rsidP="00440A6E">
      <w:pPr>
        <w:pStyle w:val="Tijeloteksta"/>
        <w:tabs>
          <w:tab w:val="left" w:pos="5280"/>
        </w:tabs>
        <w:jc w:val="center"/>
        <w:rPr>
          <w:b/>
        </w:rPr>
      </w:pPr>
    </w:p>
    <w:p w:rsidR="00440A6E" w:rsidRDefault="00440A6E" w:rsidP="00440A6E">
      <w:pPr>
        <w:rPr>
          <w:rFonts w:ascii="Times New Roman" w:hAnsi="Times New Roman" w:cs="Times New Roman"/>
          <w:sz w:val="24"/>
          <w:szCs w:val="24"/>
        </w:rPr>
      </w:pPr>
      <w:r>
        <w:rPr>
          <w:rFonts w:ascii="Times New Roman" w:hAnsi="Times New Roman" w:cs="Times New Roman"/>
          <w:sz w:val="24"/>
          <w:szCs w:val="24"/>
        </w:rPr>
        <w:t>Djelatnost rada vjerskih zajednica na području općine Gornji Bogićevci:</w:t>
      </w:r>
    </w:p>
    <w:tbl>
      <w:tblPr>
        <w:tblStyle w:val="Reetkatablice"/>
        <w:tblW w:w="0" w:type="auto"/>
        <w:tblLook w:val="04A0"/>
      </w:tblPr>
      <w:tblGrid>
        <w:gridCol w:w="1116"/>
        <w:gridCol w:w="2043"/>
        <w:gridCol w:w="3744"/>
        <w:gridCol w:w="1511"/>
        <w:gridCol w:w="1440"/>
      </w:tblGrid>
      <w:tr w:rsidR="00440A6E" w:rsidTr="00F57898">
        <w:tc>
          <w:tcPr>
            <w:tcW w:w="704"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Redni broj</w:t>
            </w:r>
          </w:p>
        </w:tc>
        <w:tc>
          <w:tcPr>
            <w:tcW w:w="2917"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Aktivnost</w:t>
            </w:r>
          </w:p>
        </w:tc>
        <w:tc>
          <w:tcPr>
            <w:tcW w:w="6304"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Aktivnost</w:t>
            </w:r>
          </w:p>
        </w:tc>
        <w:tc>
          <w:tcPr>
            <w:tcW w:w="1843"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Iznos</w:t>
            </w:r>
          </w:p>
        </w:tc>
        <w:tc>
          <w:tcPr>
            <w:tcW w:w="1701"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Ukupno</w:t>
            </w:r>
          </w:p>
        </w:tc>
      </w:tr>
      <w:tr w:rsidR="00440A6E" w:rsidTr="00F57898">
        <w:trPr>
          <w:trHeight w:val="547"/>
        </w:trPr>
        <w:tc>
          <w:tcPr>
            <w:tcW w:w="704" w:type="dxa"/>
          </w:tcPr>
          <w:p w:rsidR="00440A6E" w:rsidRDefault="00440A6E" w:rsidP="00F57898">
            <w:pPr>
              <w:ind w:left="720"/>
              <w:jc w:val="both"/>
              <w:rPr>
                <w:rFonts w:ascii="Times New Roman" w:hAnsi="Times New Roman"/>
                <w:sz w:val="24"/>
                <w:szCs w:val="24"/>
              </w:rPr>
            </w:pPr>
            <w:r>
              <w:rPr>
                <w:rFonts w:ascii="Times New Roman" w:hAnsi="Times New Roman"/>
                <w:sz w:val="24"/>
                <w:szCs w:val="24"/>
              </w:rPr>
              <w:t>1.</w:t>
            </w:r>
          </w:p>
        </w:tc>
        <w:tc>
          <w:tcPr>
            <w:tcW w:w="2917" w:type="dxa"/>
          </w:tcPr>
          <w:p w:rsidR="00440A6E" w:rsidRDefault="00440A6E" w:rsidP="00F57898">
            <w:pPr>
              <w:rPr>
                <w:rFonts w:ascii="Times New Roman" w:hAnsi="Times New Roman"/>
                <w:sz w:val="24"/>
                <w:szCs w:val="24"/>
              </w:rPr>
            </w:pPr>
            <w:r>
              <w:rPr>
                <w:rFonts w:ascii="Times New Roman" w:hAnsi="Times New Roman"/>
                <w:sz w:val="24"/>
                <w:szCs w:val="24"/>
              </w:rPr>
              <w:t>Tekuće donacije</w:t>
            </w:r>
          </w:p>
        </w:tc>
        <w:tc>
          <w:tcPr>
            <w:tcW w:w="6304" w:type="dxa"/>
          </w:tcPr>
          <w:p w:rsidR="00440A6E" w:rsidRDefault="00440A6E" w:rsidP="00F57898">
            <w:pPr>
              <w:rPr>
                <w:rFonts w:ascii="Times New Roman" w:hAnsi="Times New Roman"/>
                <w:sz w:val="24"/>
                <w:szCs w:val="24"/>
              </w:rPr>
            </w:pPr>
            <w:r>
              <w:rPr>
                <w:rFonts w:ascii="Times New Roman" w:hAnsi="Times New Roman"/>
                <w:sz w:val="24"/>
                <w:szCs w:val="24"/>
              </w:rPr>
              <w:t>Tekuće donacije</w:t>
            </w:r>
          </w:p>
        </w:tc>
        <w:tc>
          <w:tcPr>
            <w:tcW w:w="1843" w:type="dxa"/>
          </w:tcPr>
          <w:p w:rsidR="00440A6E" w:rsidRDefault="00440A6E" w:rsidP="00F57898">
            <w:pPr>
              <w:rPr>
                <w:rFonts w:ascii="Times New Roman" w:hAnsi="Times New Roman"/>
                <w:sz w:val="24"/>
                <w:szCs w:val="24"/>
              </w:rPr>
            </w:pPr>
          </w:p>
          <w:p w:rsidR="00440A6E" w:rsidRDefault="00440A6E" w:rsidP="00F57898">
            <w:pPr>
              <w:rPr>
                <w:rFonts w:ascii="Times New Roman" w:hAnsi="Times New Roman"/>
                <w:sz w:val="24"/>
                <w:szCs w:val="24"/>
              </w:rPr>
            </w:pPr>
            <w:r>
              <w:rPr>
                <w:rFonts w:ascii="Times New Roman" w:hAnsi="Times New Roman"/>
                <w:sz w:val="24"/>
                <w:szCs w:val="24"/>
                <w:lang w:val="hr-HR"/>
              </w:rPr>
              <w:t>5.315,00</w:t>
            </w:r>
          </w:p>
        </w:tc>
        <w:tc>
          <w:tcPr>
            <w:tcW w:w="1701" w:type="dxa"/>
          </w:tcPr>
          <w:p w:rsidR="00440A6E" w:rsidRDefault="00440A6E" w:rsidP="00F57898">
            <w:pPr>
              <w:rPr>
                <w:rFonts w:ascii="Times New Roman" w:hAnsi="Times New Roman"/>
                <w:sz w:val="24"/>
                <w:szCs w:val="24"/>
              </w:rPr>
            </w:pPr>
          </w:p>
          <w:p w:rsidR="00440A6E" w:rsidRDefault="00440A6E" w:rsidP="00F57898">
            <w:pPr>
              <w:rPr>
                <w:rFonts w:ascii="Times New Roman" w:hAnsi="Times New Roman"/>
                <w:sz w:val="24"/>
                <w:szCs w:val="24"/>
              </w:rPr>
            </w:pPr>
            <w:r>
              <w:rPr>
                <w:rFonts w:ascii="Times New Roman" w:hAnsi="Times New Roman"/>
                <w:sz w:val="24"/>
                <w:szCs w:val="24"/>
                <w:lang w:val="hr-HR"/>
              </w:rPr>
              <w:t>5.315,00</w:t>
            </w:r>
          </w:p>
        </w:tc>
      </w:tr>
      <w:tr w:rsidR="00440A6E" w:rsidTr="00F57898">
        <w:tc>
          <w:tcPr>
            <w:tcW w:w="704" w:type="dxa"/>
            <w:tcBorders>
              <w:bottom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rPr>
              <w:t>2.</w:t>
            </w:r>
          </w:p>
        </w:tc>
        <w:tc>
          <w:tcPr>
            <w:tcW w:w="2917" w:type="dxa"/>
            <w:tcBorders>
              <w:bottom w:val="single" w:sz="4" w:space="0" w:color="auto"/>
            </w:tcBorders>
          </w:tcPr>
          <w:p w:rsidR="00440A6E" w:rsidRDefault="00440A6E" w:rsidP="00F57898">
            <w:pPr>
              <w:rPr>
                <w:rFonts w:ascii="Times New Roman" w:hAnsi="Times New Roman"/>
                <w:sz w:val="24"/>
                <w:szCs w:val="24"/>
              </w:rPr>
            </w:pPr>
            <w:r>
              <w:rPr>
                <w:rFonts w:ascii="Times New Roman" w:hAnsi="Times New Roman"/>
                <w:sz w:val="24"/>
                <w:szCs w:val="24"/>
              </w:rPr>
              <w:t>Kapitalne donacije</w:t>
            </w:r>
          </w:p>
        </w:tc>
        <w:tc>
          <w:tcPr>
            <w:tcW w:w="6304" w:type="dxa"/>
            <w:tcBorders>
              <w:bottom w:val="single" w:sz="4" w:space="0" w:color="auto"/>
            </w:tcBorders>
          </w:tcPr>
          <w:p w:rsidR="00440A6E" w:rsidRDefault="00440A6E" w:rsidP="00F57898">
            <w:pPr>
              <w:rPr>
                <w:rFonts w:ascii="Times New Roman" w:hAnsi="Times New Roman"/>
                <w:sz w:val="24"/>
                <w:szCs w:val="24"/>
              </w:rPr>
            </w:pPr>
            <w:r>
              <w:rPr>
                <w:rFonts w:ascii="Times New Roman" w:hAnsi="Times New Roman"/>
                <w:sz w:val="24"/>
                <w:szCs w:val="24"/>
              </w:rPr>
              <w:t>za zaštitu, očuvanje i obnovu vjerskih objekata na području Općine</w:t>
            </w:r>
          </w:p>
        </w:tc>
        <w:tc>
          <w:tcPr>
            <w:tcW w:w="1843" w:type="dxa"/>
            <w:tcBorders>
              <w:bottom w:val="single" w:sz="4" w:space="0" w:color="auto"/>
            </w:tcBorders>
          </w:tcPr>
          <w:p w:rsidR="00440A6E" w:rsidRDefault="00440A6E" w:rsidP="00F57898">
            <w:pPr>
              <w:rPr>
                <w:rFonts w:ascii="Times New Roman" w:hAnsi="Times New Roman"/>
                <w:sz w:val="24"/>
                <w:szCs w:val="24"/>
              </w:rPr>
            </w:pPr>
            <w:r>
              <w:rPr>
                <w:rFonts w:ascii="Times New Roman" w:hAnsi="Times New Roman"/>
                <w:sz w:val="24"/>
                <w:szCs w:val="24"/>
                <w:lang w:val="hr-HR"/>
              </w:rPr>
              <w:t>18.300,00</w:t>
            </w:r>
          </w:p>
        </w:tc>
        <w:tc>
          <w:tcPr>
            <w:tcW w:w="1701" w:type="dxa"/>
            <w:tcBorders>
              <w:bottom w:val="single" w:sz="4" w:space="0" w:color="auto"/>
            </w:tcBorders>
          </w:tcPr>
          <w:p w:rsidR="00440A6E" w:rsidRDefault="00440A6E" w:rsidP="00F57898">
            <w:pPr>
              <w:rPr>
                <w:rFonts w:ascii="Times New Roman" w:hAnsi="Times New Roman"/>
                <w:sz w:val="24"/>
                <w:szCs w:val="24"/>
              </w:rPr>
            </w:pPr>
            <w:r>
              <w:rPr>
                <w:rFonts w:ascii="Times New Roman" w:hAnsi="Times New Roman"/>
                <w:sz w:val="24"/>
                <w:szCs w:val="24"/>
              </w:rPr>
              <w:t>18.300,00</w:t>
            </w:r>
          </w:p>
        </w:tc>
      </w:tr>
      <w:tr w:rsidR="00440A6E" w:rsidTr="00F57898">
        <w:tc>
          <w:tcPr>
            <w:tcW w:w="11768" w:type="dxa"/>
            <w:gridSpan w:val="4"/>
            <w:shd w:val="clear" w:color="auto" w:fill="CCFFFF"/>
          </w:tcPr>
          <w:p w:rsidR="00440A6E" w:rsidRDefault="00440A6E" w:rsidP="00F57898">
            <w:pPr>
              <w:rPr>
                <w:rFonts w:ascii="Times New Roman" w:hAnsi="Times New Roman"/>
                <w:b/>
                <w:sz w:val="24"/>
                <w:szCs w:val="24"/>
              </w:rPr>
            </w:pPr>
          </w:p>
          <w:p w:rsidR="00440A6E" w:rsidRDefault="00440A6E" w:rsidP="00F57898">
            <w:pPr>
              <w:rPr>
                <w:rFonts w:ascii="Times New Roman" w:hAnsi="Times New Roman"/>
                <w:sz w:val="24"/>
                <w:szCs w:val="24"/>
              </w:rPr>
            </w:pPr>
            <w:r>
              <w:rPr>
                <w:rFonts w:ascii="Times New Roman" w:hAnsi="Times New Roman"/>
                <w:b/>
                <w:sz w:val="24"/>
                <w:szCs w:val="24"/>
              </w:rPr>
              <w:t>Ukupno Program rada vjerskih zajednica</w:t>
            </w:r>
          </w:p>
        </w:tc>
        <w:tc>
          <w:tcPr>
            <w:tcW w:w="1701" w:type="dxa"/>
            <w:shd w:val="clear" w:color="auto" w:fill="CCFFFF"/>
          </w:tcPr>
          <w:p w:rsidR="00440A6E" w:rsidRDefault="00440A6E" w:rsidP="00F57898">
            <w:pPr>
              <w:rPr>
                <w:rFonts w:ascii="Times New Roman" w:hAnsi="Times New Roman"/>
                <w:b/>
                <w:sz w:val="24"/>
                <w:szCs w:val="24"/>
              </w:rPr>
            </w:pPr>
          </w:p>
          <w:p w:rsidR="00440A6E" w:rsidRDefault="00440A6E" w:rsidP="00F57898">
            <w:pPr>
              <w:rPr>
                <w:rFonts w:ascii="Times New Roman" w:hAnsi="Times New Roman"/>
                <w:b/>
                <w:sz w:val="24"/>
                <w:szCs w:val="24"/>
              </w:rPr>
            </w:pPr>
            <w:r>
              <w:rPr>
                <w:rFonts w:ascii="Times New Roman" w:hAnsi="Times New Roman"/>
                <w:b/>
                <w:sz w:val="24"/>
                <w:szCs w:val="24"/>
                <w:lang w:val="hr-HR"/>
              </w:rPr>
              <w:t>23.615,00</w:t>
            </w:r>
          </w:p>
        </w:tc>
      </w:tr>
    </w:tbl>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r>
        <w:rPr>
          <w:b/>
        </w:rPr>
        <w:t xml:space="preserve">III. OSTALE POTREBE </w:t>
      </w:r>
    </w:p>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r>
        <w:rPr>
          <w:b/>
        </w:rPr>
        <w:t>Članak 5.</w:t>
      </w:r>
    </w:p>
    <w:p w:rsidR="00440A6E" w:rsidRDefault="00440A6E" w:rsidP="00440A6E">
      <w:pPr>
        <w:pStyle w:val="Tijeloteksta"/>
        <w:tabs>
          <w:tab w:val="left" w:pos="5280"/>
        </w:tabs>
        <w:jc w:val="center"/>
        <w:rPr>
          <w:b/>
        </w:rPr>
      </w:pPr>
    </w:p>
    <w:p w:rsidR="00440A6E" w:rsidRDefault="00440A6E" w:rsidP="00440A6E">
      <w:pPr>
        <w:rPr>
          <w:rFonts w:ascii="Times New Roman" w:hAnsi="Times New Roman" w:cs="Times New Roman"/>
          <w:bCs/>
          <w:sz w:val="24"/>
          <w:szCs w:val="24"/>
        </w:rPr>
      </w:pPr>
      <w:r>
        <w:rPr>
          <w:rFonts w:ascii="Times New Roman" w:hAnsi="Times New Roman" w:cs="Times New Roman"/>
          <w:bCs/>
          <w:sz w:val="24"/>
          <w:szCs w:val="24"/>
        </w:rPr>
        <w:t>Program ostalih javnih potreba udruga građana na području općine Gornji Bogićevci:</w:t>
      </w:r>
    </w:p>
    <w:tbl>
      <w:tblPr>
        <w:tblStyle w:val="Reetkatablice"/>
        <w:tblW w:w="0" w:type="auto"/>
        <w:tblLook w:val="04A0"/>
      </w:tblPr>
      <w:tblGrid>
        <w:gridCol w:w="914"/>
        <w:gridCol w:w="2177"/>
        <w:gridCol w:w="5118"/>
        <w:gridCol w:w="1645"/>
      </w:tblGrid>
      <w:tr w:rsidR="00440A6E" w:rsidTr="00F57898">
        <w:tc>
          <w:tcPr>
            <w:tcW w:w="955"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Redni broj</w:t>
            </w:r>
          </w:p>
        </w:tc>
        <w:tc>
          <w:tcPr>
            <w:tcW w:w="2517"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Aktivnost</w:t>
            </w:r>
          </w:p>
        </w:tc>
        <w:tc>
          <w:tcPr>
            <w:tcW w:w="6304"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Aktivnost</w:t>
            </w:r>
          </w:p>
        </w:tc>
        <w:tc>
          <w:tcPr>
            <w:tcW w:w="1843" w:type="dxa"/>
            <w:shd w:val="clear" w:color="auto" w:fill="CCFFFF"/>
          </w:tcPr>
          <w:p w:rsidR="00440A6E" w:rsidRDefault="00440A6E" w:rsidP="00F57898">
            <w:pPr>
              <w:rPr>
                <w:rFonts w:ascii="Times New Roman" w:hAnsi="Times New Roman"/>
                <w:sz w:val="24"/>
                <w:szCs w:val="24"/>
              </w:rPr>
            </w:pPr>
            <w:r>
              <w:rPr>
                <w:rFonts w:ascii="Times New Roman" w:hAnsi="Times New Roman"/>
                <w:sz w:val="24"/>
                <w:szCs w:val="24"/>
              </w:rPr>
              <w:t>Iznos</w:t>
            </w:r>
          </w:p>
        </w:tc>
      </w:tr>
      <w:tr w:rsidR="00440A6E" w:rsidTr="00F57898">
        <w:tc>
          <w:tcPr>
            <w:tcW w:w="955" w:type="dxa"/>
          </w:tcPr>
          <w:p w:rsidR="00440A6E" w:rsidRDefault="00440A6E" w:rsidP="00F57898">
            <w:pPr>
              <w:rPr>
                <w:rFonts w:ascii="Times New Roman" w:hAnsi="Times New Roman"/>
                <w:sz w:val="24"/>
                <w:szCs w:val="24"/>
              </w:rPr>
            </w:pPr>
            <w:r>
              <w:rPr>
                <w:rFonts w:ascii="Times New Roman" w:hAnsi="Times New Roman"/>
                <w:sz w:val="24"/>
                <w:szCs w:val="24"/>
              </w:rPr>
              <w:t>1.</w:t>
            </w:r>
          </w:p>
        </w:tc>
        <w:tc>
          <w:tcPr>
            <w:tcW w:w="2517" w:type="dxa"/>
          </w:tcPr>
          <w:p w:rsidR="00440A6E" w:rsidRDefault="00440A6E" w:rsidP="00F57898">
            <w:pPr>
              <w:rPr>
                <w:rFonts w:ascii="Times New Roman" w:hAnsi="Times New Roman"/>
                <w:sz w:val="24"/>
                <w:szCs w:val="24"/>
              </w:rPr>
            </w:pPr>
            <w:r>
              <w:rPr>
                <w:rFonts w:ascii="Times New Roman" w:hAnsi="Times New Roman"/>
                <w:sz w:val="24"/>
                <w:szCs w:val="24"/>
              </w:rPr>
              <w:t>Ostale udruge građana</w:t>
            </w:r>
          </w:p>
        </w:tc>
        <w:tc>
          <w:tcPr>
            <w:tcW w:w="6304" w:type="dxa"/>
          </w:tcPr>
          <w:p w:rsidR="00440A6E" w:rsidRDefault="00440A6E" w:rsidP="00F57898">
            <w:pPr>
              <w:rPr>
                <w:rFonts w:ascii="Times New Roman" w:hAnsi="Times New Roman"/>
                <w:sz w:val="24"/>
                <w:szCs w:val="24"/>
              </w:rPr>
            </w:pPr>
            <w:r>
              <w:rPr>
                <w:rFonts w:ascii="Times New Roman" w:hAnsi="Times New Roman"/>
                <w:sz w:val="24"/>
                <w:szCs w:val="24"/>
              </w:rPr>
              <w:t>Udruge iz Domovinskog rata</w:t>
            </w:r>
          </w:p>
        </w:tc>
        <w:tc>
          <w:tcPr>
            <w:tcW w:w="1843" w:type="dxa"/>
          </w:tcPr>
          <w:p w:rsidR="00440A6E" w:rsidRDefault="00440A6E" w:rsidP="00F57898">
            <w:pPr>
              <w:rPr>
                <w:rFonts w:ascii="Times New Roman" w:hAnsi="Times New Roman"/>
                <w:sz w:val="24"/>
                <w:szCs w:val="24"/>
              </w:rPr>
            </w:pPr>
            <w:r>
              <w:rPr>
                <w:rFonts w:ascii="Times New Roman" w:hAnsi="Times New Roman"/>
                <w:sz w:val="24"/>
                <w:szCs w:val="24"/>
              </w:rPr>
              <w:t>3.000,00</w:t>
            </w:r>
          </w:p>
        </w:tc>
      </w:tr>
      <w:tr w:rsidR="00440A6E" w:rsidTr="00F57898">
        <w:tc>
          <w:tcPr>
            <w:tcW w:w="9776" w:type="dxa"/>
            <w:gridSpan w:val="3"/>
            <w:shd w:val="clear" w:color="auto" w:fill="CCFFFF"/>
          </w:tcPr>
          <w:p w:rsidR="00440A6E" w:rsidRDefault="00440A6E" w:rsidP="00F57898">
            <w:pPr>
              <w:rPr>
                <w:rFonts w:ascii="Times New Roman" w:hAnsi="Times New Roman"/>
                <w:b/>
                <w:sz w:val="24"/>
                <w:szCs w:val="24"/>
              </w:rPr>
            </w:pPr>
            <w:r>
              <w:rPr>
                <w:rFonts w:ascii="Times New Roman" w:hAnsi="Times New Roman"/>
                <w:b/>
                <w:sz w:val="24"/>
                <w:szCs w:val="24"/>
              </w:rPr>
              <w:t>Ukupno Program ostalih javnih potreba udruga građana:</w:t>
            </w:r>
          </w:p>
        </w:tc>
        <w:tc>
          <w:tcPr>
            <w:tcW w:w="1843" w:type="dxa"/>
            <w:shd w:val="clear" w:color="auto" w:fill="CCFFFF"/>
          </w:tcPr>
          <w:p w:rsidR="00440A6E" w:rsidRDefault="00440A6E" w:rsidP="00F57898">
            <w:pPr>
              <w:rPr>
                <w:rFonts w:ascii="Times New Roman" w:hAnsi="Times New Roman"/>
                <w:b/>
                <w:bCs/>
                <w:sz w:val="24"/>
                <w:szCs w:val="24"/>
              </w:rPr>
            </w:pPr>
            <w:r>
              <w:rPr>
                <w:rFonts w:ascii="Times New Roman" w:hAnsi="Times New Roman"/>
                <w:b/>
                <w:bCs/>
                <w:sz w:val="24"/>
                <w:szCs w:val="24"/>
              </w:rPr>
              <w:t>3.000,00</w:t>
            </w:r>
          </w:p>
        </w:tc>
      </w:tr>
    </w:tbl>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r>
        <w:rPr>
          <w:b/>
        </w:rPr>
        <w:t>IV. SPORTSKE ZAJEDNICE</w:t>
      </w:r>
    </w:p>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r>
        <w:rPr>
          <w:b/>
        </w:rPr>
        <w:t>Članak 6.</w:t>
      </w:r>
    </w:p>
    <w:p w:rsidR="00440A6E" w:rsidRDefault="00440A6E" w:rsidP="00440A6E">
      <w:pPr>
        <w:pStyle w:val="Tijeloteksta"/>
        <w:tabs>
          <w:tab w:val="left" w:pos="5280"/>
        </w:tabs>
        <w:jc w:val="center"/>
        <w:rPr>
          <w:b/>
        </w:rPr>
      </w:pP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Javne potrebe u sportu su programi, aktivnosti, poslovi vezani u sportu od značaja za općinu Gornji Bogićevci za:</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poticanje i promicanje sporta</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djelovanje sportskih udruga, </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promicanje sportskih aktivnosti djece i mladeži, </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razvijati sportsko-rekreacijske aktivnosti građana  i sl.</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p w:rsid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Članak 7.</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Financijska sredstva javnih potreba u sportu raspodjeljuju se putem Natječaja za financiranje Udruga u sportu za 2024 godinu. Planirana sredstva za udruge u </w:t>
      </w:r>
    </w:p>
    <w:p w:rsid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sportu za 2025.godinu iznose </w:t>
      </w:r>
      <w:r>
        <w:rPr>
          <w:rFonts w:ascii="Times New Roman" w:eastAsia="Times New Roman" w:hAnsi="Times New Roman" w:cs="Times New Roman"/>
          <w:b/>
          <w:bCs/>
          <w:sz w:val="24"/>
          <w:szCs w:val="24"/>
          <w:lang w:eastAsia="ar-SA"/>
        </w:rPr>
        <w:t>22.000,00 eura</w:t>
      </w:r>
      <w:r>
        <w:rPr>
          <w:rFonts w:ascii="Times New Roman" w:eastAsia="Times New Roman" w:hAnsi="Times New Roman" w:cs="Times New Roman"/>
          <w:sz w:val="24"/>
          <w:szCs w:val="24"/>
          <w:lang w:eastAsia="ar-SA"/>
        </w:rPr>
        <w:t>.</w:t>
      </w:r>
    </w:p>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r>
        <w:rPr>
          <w:b/>
        </w:rPr>
        <w:t xml:space="preserve">ZAKLJUČNO </w:t>
      </w:r>
    </w:p>
    <w:p w:rsidR="00440A6E" w:rsidRDefault="00440A6E" w:rsidP="00440A6E">
      <w:pPr>
        <w:pStyle w:val="Tijeloteksta"/>
        <w:tabs>
          <w:tab w:val="left" w:pos="5280"/>
        </w:tabs>
        <w:jc w:val="center"/>
        <w:rPr>
          <w:b/>
        </w:rPr>
      </w:pPr>
    </w:p>
    <w:p w:rsidR="00440A6E" w:rsidRDefault="00440A6E" w:rsidP="00440A6E">
      <w:pPr>
        <w:pStyle w:val="Tijeloteksta"/>
        <w:tabs>
          <w:tab w:val="left" w:pos="5280"/>
        </w:tabs>
        <w:jc w:val="center"/>
        <w:rPr>
          <w:b/>
        </w:rPr>
      </w:pPr>
      <w:r>
        <w:rPr>
          <w:b/>
        </w:rPr>
        <w:lastRenderedPageBreak/>
        <w:t>Članak 8.</w:t>
      </w:r>
    </w:p>
    <w:p w:rsidR="00440A6E" w:rsidRDefault="00440A6E" w:rsidP="00440A6E">
      <w:pPr>
        <w:pStyle w:val="Tijeloteksta"/>
        <w:tabs>
          <w:tab w:val="left" w:pos="5280"/>
        </w:tabs>
        <w:jc w:val="center"/>
        <w:rPr>
          <w:b/>
        </w:rPr>
      </w:pPr>
    </w:p>
    <w:p w:rsidR="00440A6E" w:rsidRDefault="00440A6E" w:rsidP="00440A6E">
      <w:pPr>
        <w:tabs>
          <w:tab w:val="left" w:pos="52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Ukupna sredstva za realizaciju Programa javnih potreba iznose </w:t>
      </w:r>
      <w:r>
        <w:rPr>
          <w:rFonts w:ascii="Times New Roman" w:hAnsi="Times New Roman" w:cs="Times New Roman"/>
          <w:b/>
          <w:bCs/>
          <w:color w:val="000000" w:themeColor="text1"/>
          <w:sz w:val="24"/>
          <w:szCs w:val="24"/>
        </w:rPr>
        <w:t>121.920,00 eura</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a raspoređuju se korisnicima na temelju provedenog javnog natječaja ili javnog poziva i pojedinačnih zahtjeva, a isplaćivat će se korisnicima na temelju ugovora kojima se utvrđuju međusobna prava i obveze davatelja i primatelja financijskih potpora, zahtjeva i priloženih računa. Sredstva utvrđena ovim Programom uplaćivat će se na žiro-račun korisnika sukladno sklopljenim ugovorima i odlukama Općinskog načelnika.</w:t>
      </w:r>
    </w:p>
    <w:p w:rsidR="00440A6E" w:rsidRDefault="00440A6E" w:rsidP="00440A6E">
      <w:pPr>
        <w:tabs>
          <w:tab w:val="left" w:pos="5820"/>
        </w:tabs>
        <w:suppressAutoHyphens/>
        <w:spacing w:after="0" w:line="240" w:lineRule="auto"/>
        <w:rPr>
          <w:rFonts w:ascii="Times New Roman" w:hAnsi="Times New Roman" w:cs="Times New Roman"/>
          <w:b/>
          <w:bCs/>
          <w:sz w:val="24"/>
          <w:szCs w:val="24"/>
        </w:rPr>
      </w:pPr>
      <w:r>
        <w:rPr>
          <w:rFonts w:ascii="Times New Roman" w:hAnsi="Times New Roman" w:cs="Times New Roman"/>
          <w:sz w:val="24"/>
          <w:szCs w:val="24"/>
        </w:rPr>
        <w:tab/>
      </w:r>
    </w:p>
    <w:p w:rsidR="00440A6E" w:rsidRDefault="00440A6E" w:rsidP="00440A6E">
      <w:pPr>
        <w:tabs>
          <w:tab w:val="left" w:pos="5280"/>
        </w:tabs>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rsidR="00440A6E" w:rsidRDefault="00440A6E" w:rsidP="00440A6E">
      <w:pPr>
        <w:tabs>
          <w:tab w:val="left" w:pos="5280"/>
        </w:tabs>
        <w:suppressAutoHyphens/>
        <w:spacing w:after="0" w:line="240" w:lineRule="auto"/>
        <w:rPr>
          <w:rFonts w:ascii="Times New Roman" w:hAnsi="Times New Roman" w:cs="Times New Roman"/>
          <w:sz w:val="24"/>
          <w:szCs w:val="24"/>
        </w:rPr>
      </w:pPr>
    </w:p>
    <w:p w:rsidR="00440A6E" w:rsidRDefault="00440A6E" w:rsidP="00440A6E">
      <w:pPr>
        <w:tabs>
          <w:tab w:val="left" w:pos="52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O izvršenju ovog Programa korisnici sredstava Proračuna s kojima se zaključuje ugovor obvezni su Jedinstvenom upravnom odjelu Općine Gornji Bogićevci dostaviti izvješće o ostvarenju programa i utrošku sredstava za proteklu godinu sukladno sklopljenom ugovoru. </w:t>
      </w:r>
    </w:p>
    <w:p w:rsidR="00440A6E" w:rsidRDefault="00440A6E" w:rsidP="00440A6E">
      <w:pPr>
        <w:tabs>
          <w:tab w:val="left" w:pos="5280"/>
        </w:tabs>
        <w:suppressAutoHyphens/>
        <w:spacing w:after="0" w:line="240" w:lineRule="auto"/>
        <w:jc w:val="center"/>
        <w:rPr>
          <w:rFonts w:ascii="Times New Roman" w:hAnsi="Times New Roman" w:cs="Times New Roman"/>
          <w:b/>
          <w:bCs/>
          <w:sz w:val="24"/>
          <w:szCs w:val="24"/>
        </w:rPr>
      </w:pPr>
    </w:p>
    <w:p w:rsidR="00440A6E" w:rsidRDefault="00440A6E" w:rsidP="00440A6E">
      <w:pPr>
        <w:tabs>
          <w:tab w:val="left" w:pos="5280"/>
        </w:tabs>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10.</w:t>
      </w:r>
    </w:p>
    <w:p w:rsidR="00440A6E" w:rsidRDefault="00440A6E" w:rsidP="00440A6E">
      <w:pPr>
        <w:tabs>
          <w:tab w:val="left" w:pos="5280"/>
        </w:tabs>
        <w:suppressAutoHyphens/>
        <w:spacing w:after="0" w:line="240" w:lineRule="auto"/>
        <w:jc w:val="center"/>
        <w:rPr>
          <w:rFonts w:ascii="Times New Roman" w:hAnsi="Times New Roman" w:cs="Times New Roman"/>
          <w:sz w:val="24"/>
          <w:szCs w:val="24"/>
        </w:rPr>
      </w:pPr>
    </w:p>
    <w:p w:rsidR="00440A6E" w:rsidRDefault="00440A6E" w:rsidP="00440A6E">
      <w:pPr>
        <w:pStyle w:val="Tijeloteksta"/>
        <w:tabs>
          <w:tab w:val="left" w:pos="19320"/>
        </w:tabs>
      </w:pPr>
      <w:r>
        <w:t>Ovaj Program stupa na snagu osmi dan od dana objave u "Službenom glasniku Općine Gornji Bogićevci“.</w:t>
      </w:r>
    </w:p>
    <w:p w:rsidR="00440A6E" w:rsidRDefault="00440A6E" w:rsidP="00440A6E">
      <w:pPr>
        <w:pStyle w:val="Tijeloteksta"/>
        <w:tabs>
          <w:tab w:val="left" w:pos="19320"/>
        </w:tabs>
        <w:ind w:left="1080" w:hanging="360"/>
      </w:pPr>
    </w:p>
    <w:p w:rsidR="00440A6E" w:rsidRDefault="00440A6E" w:rsidP="00440A6E">
      <w:pPr>
        <w:keepNext/>
        <w:keepLines/>
        <w:spacing w:before="40" w:after="0" w:line="240" w:lineRule="auto"/>
        <w:ind w:firstLine="708"/>
        <w:jc w:val="both"/>
        <w:outlineLvl w:val="4"/>
        <w:rPr>
          <w:rFonts w:ascii="Times New Roman" w:eastAsiaTheme="majorEastAsia" w:hAnsi="Times New Roman" w:cs="Times New Roman"/>
          <w:sz w:val="24"/>
          <w:szCs w:val="24"/>
          <w:lang w:eastAsia="hr-HR"/>
        </w:rPr>
      </w:pPr>
    </w:p>
    <w:p w:rsidR="00440A6E" w:rsidRDefault="00440A6E" w:rsidP="00440A6E">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OPĆINSKO VIJEĆE</w:t>
      </w:r>
      <w:r>
        <w:rPr>
          <w:rFonts w:ascii="Times New Roman" w:hAnsi="Times New Roman" w:cs="Times New Roman"/>
          <w:b/>
          <w:i/>
          <w:sz w:val="24"/>
          <w:szCs w:val="24"/>
        </w:rPr>
        <w:t xml:space="preserve">  </w:t>
      </w:r>
      <w:r>
        <w:rPr>
          <w:rFonts w:ascii="Times New Roman" w:hAnsi="Times New Roman" w:cs="Times New Roman"/>
          <w:b/>
          <w:iCs/>
          <w:sz w:val="24"/>
          <w:szCs w:val="24"/>
        </w:rPr>
        <w:t>OPĆINE GORNJI BOGIĆEVCI</w:t>
      </w:r>
    </w:p>
    <w:p w:rsidR="00440A6E" w:rsidRDefault="00440A6E" w:rsidP="00440A6E">
      <w:pPr>
        <w:spacing w:after="0" w:line="240" w:lineRule="auto"/>
        <w:rPr>
          <w:rFonts w:ascii="Times New Roman" w:hAnsi="Times New Roman" w:cs="Times New Roman"/>
          <w:b/>
          <w:iCs/>
          <w:sz w:val="24"/>
          <w:szCs w:val="24"/>
        </w:rPr>
      </w:pPr>
    </w:p>
    <w:p w:rsidR="00440A6E" w:rsidRDefault="00440A6E" w:rsidP="00440A6E">
      <w:pPr>
        <w:spacing w:after="0"/>
        <w:rPr>
          <w:rFonts w:ascii="Times New Roman" w:hAnsi="Times New Roman" w:cs="Times New Roman"/>
          <w:sz w:val="24"/>
          <w:szCs w:val="24"/>
        </w:rPr>
      </w:pPr>
    </w:p>
    <w:p w:rsidR="00440A6E" w:rsidRDefault="00440A6E" w:rsidP="00440A6E">
      <w:pPr>
        <w:spacing w:after="0"/>
        <w:rPr>
          <w:rFonts w:ascii="Times New Roman" w:hAnsi="Times New Roman" w:cs="Times New Roman"/>
          <w:sz w:val="24"/>
          <w:szCs w:val="24"/>
        </w:rPr>
      </w:pP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KLASA: 400-05-25-01-01</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URBROJ: 2178-22-03-25-13</w:t>
      </w:r>
    </w:p>
    <w:p w:rsidR="00440A6E" w:rsidRDefault="00440A6E" w:rsidP="00440A6E">
      <w:pPr>
        <w:spacing w:after="0"/>
        <w:rPr>
          <w:rFonts w:ascii="Times New Roman" w:hAnsi="Times New Roman" w:cs="Times New Roman"/>
          <w:b/>
          <w:i/>
          <w:sz w:val="24"/>
          <w:szCs w:val="24"/>
        </w:rPr>
      </w:pPr>
      <w:r>
        <w:rPr>
          <w:rFonts w:ascii="Times New Roman" w:hAnsi="Times New Roman" w:cs="Times New Roman"/>
          <w:sz w:val="24"/>
          <w:szCs w:val="24"/>
        </w:rPr>
        <w:t>Gornji Bogićevci, 22. prosinca 2025. godine</w:t>
      </w:r>
    </w:p>
    <w:p w:rsidR="00440A6E" w:rsidRDefault="00440A6E" w:rsidP="00440A6E">
      <w:pPr>
        <w:spacing w:after="0"/>
        <w:jc w:val="right"/>
        <w:rPr>
          <w:rFonts w:ascii="Times New Roman" w:hAnsi="Times New Roman" w:cs="Times New Roman"/>
          <w:sz w:val="24"/>
          <w:szCs w:val="24"/>
        </w:rPr>
      </w:pPr>
    </w:p>
    <w:p w:rsidR="00440A6E" w:rsidRDefault="00440A6E" w:rsidP="00440A6E">
      <w:pPr>
        <w:spacing w:after="0"/>
        <w:jc w:val="right"/>
        <w:rPr>
          <w:rFonts w:ascii="Times New Roman" w:hAnsi="Times New Roman" w:cs="Times New Roman"/>
          <w:sz w:val="24"/>
          <w:szCs w:val="24"/>
        </w:rPr>
      </w:pPr>
      <w:r>
        <w:rPr>
          <w:rFonts w:ascii="Times New Roman" w:hAnsi="Times New Roman" w:cs="Times New Roman"/>
          <w:sz w:val="24"/>
          <w:szCs w:val="24"/>
        </w:rPr>
        <w:t xml:space="preserve">        PREDSJEDNIK OPĆINSKOG VIJEĆA</w:t>
      </w:r>
    </w:p>
    <w:p w:rsidR="00440A6E" w:rsidRDefault="00440A6E" w:rsidP="00440A6E">
      <w:pPr>
        <w:ind w:left="9204" w:firstLine="708"/>
        <w:jc w:val="center"/>
        <w:rPr>
          <w:rFonts w:ascii="Times New Roman" w:hAnsi="Times New Roman" w:cs="Times New Roman"/>
          <w:sz w:val="24"/>
          <w:szCs w:val="24"/>
        </w:rPr>
      </w:pPr>
      <w:r>
        <w:rPr>
          <w:rFonts w:ascii="Times New Roman" w:hAnsi="Times New Roman" w:cs="Times New Roman"/>
          <w:sz w:val="24"/>
          <w:szCs w:val="24"/>
        </w:rPr>
        <w:t>Željko Klarić</w:t>
      </w:r>
    </w:p>
    <w:p w:rsidR="00440A6E" w:rsidRDefault="00440A6E" w:rsidP="00440A6E">
      <w:pPr>
        <w:rPr>
          <w:rFonts w:ascii="Times New Roman" w:hAnsi="Times New Roman" w:cs="Times New Roman"/>
          <w:sz w:val="24"/>
          <w:szCs w:val="24"/>
        </w:rPr>
      </w:pPr>
    </w:p>
    <w:p w:rsidR="00440A6E" w:rsidRDefault="00440A6E" w:rsidP="00440A6E">
      <w:pPr>
        <w:rPr>
          <w:rFonts w:ascii="Times New Roman" w:hAnsi="Times New Roman" w:cs="Times New Roman"/>
          <w:sz w:val="24"/>
          <w:szCs w:val="24"/>
        </w:rPr>
      </w:pPr>
      <w:r>
        <w:rPr>
          <w:rFonts w:ascii="Times New Roman" w:hAnsi="Times New Roman" w:cs="Times New Roman"/>
          <w:sz w:val="24"/>
          <w:szCs w:val="24"/>
        </w:rPr>
        <w:t>Dostaviti:</w:t>
      </w:r>
    </w:p>
    <w:p w:rsidR="00440A6E" w:rsidRDefault="00440A6E" w:rsidP="00A66748">
      <w:pPr>
        <w:numPr>
          <w:ilvl w:val="0"/>
          <w:numId w:val="19"/>
        </w:numPr>
        <w:spacing w:line="240" w:lineRule="auto"/>
        <w:contextualSpacing/>
        <w:rPr>
          <w:rFonts w:ascii="Times New Roman" w:hAnsi="Times New Roman" w:cs="Times New Roman"/>
          <w:sz w:val="24"/>
          <w:szCs w:val="24"/>
        </w:rPr>
      </w:pPr>
      <w:r>
        <w:rPr>
          <w:rFonts w:ascii="Times New Roman" w:hAnsi="Times New Roman" w:cs="Times New Roman"/>
          <w:sz w:val="24"/>
          <w:szCs w:val="24"/>
        </w:rPr>
        <w:t>Jedinstveni upravni odjel</w:t>
      </w:r>
    </w:p>
    <w:p w:rsidR="00440A6E" w:rsidRDefault="00440A6E" w:rsidP="00A66748">
      <w:pPr>
        <w:numPr>
          <w:ilvl w:val="0"/>
          <w:numId w:val="19"/>
        </w:numPr>
        <w:spacing w:line="240" w:lineRule="auto"/>
        <w:contextualSpacing/>
        <w:rPr>
          <w:rFonts w:ascii="Times New Roman" w:hAnsi="Times New Roman" w:cs="Times New Roman"/>
          <w:sz w:val="24"/>
          <w:szCs w:val="24"/>
        </w:rPr>
      </w:pPr>
      <w:r>
        <w:rPr>
          <w:rFonts w:ascii="Times New Roman" w:hAnsi="Times New Roman" w:cs="Times New Roman"/>
          <w:sz w:val="24"/>
          <w:szCs w:val="24"/>
        </w:rPr>
        <w:t>Službeni glasnik Općine Gornji Bogićevci</w:t>
      </w:r>
    </w:p>
    <w:p w:rsidR="00440A6E" w:rsidRDefault="00440A6E" w:rsidP="00A66748">
      <w:pPr>
        <w:numPr>
          <w:ilvl w:val="0"/>
          <w:numId w:val="19"/>
        </w:numPr>
        <w:spacing w:line="240" w:lineRule="auto"/>
        <w:contextualSpacing/>
        <w:rPr>
          <w:rFonts w:ascii="Times New Roman" w:hAnsi="Times New Roman" w:cs="Times New Roman"/>
          <w:sz w:val="24"/>
          <w:szCs w:val="24"/>
        </w:rPr>
      </w:pPr>
      <w:r>
        <w:rPr>
          <w:rFonts w:ascii="Times New Roman" w:hAnsi="Times New Roman" w:cs="Times New Roman"/>
          <w:sz w:val="24"/>
          <w:szCs w:val="24"/>
        </w:rPr>
        <w:t>Pismohrana.</w:t>
      </w:r>
    </w:p>
    <w:p w:rsidR="00440A6E" w:rsidRDefault="00440A6E" w:rsidP="00440A6E">
      <w:pPr>
        <w:rPr>
          <w:rFonts w:ascii="Times New Roman" w:hAnsi="Times New Roman" w:cs="Times New Roman"/>
          <w:sz w:val="24"/>
          <w:szCs w:val="24"/>
        </w:rPr>
      </w:pPr>
    </w:p>
    <w:p w:rsidR="00440A6E" w:rsidRDefault="00440A6E" w:rsidP="00440A6E">
      <w:pPr>
        <w:pStyle w:val="Tijeloteksta"/>
        <w:tabs>
          <w:tab w:val="left" w:pos="5280"/>
        </w:tabs>
        <w:rPr>
          <w:b/>
        </w:rPr>
      </w:pPr>
    </w:p>
    <w:p w:rsidR="00440A6E" w:rsidRDefault="00440A6E" w:rsidP="00440A6E">
      <w:pPr>
        <w:rPr>
          <w:rFonts w:ascii="Times New Roman" w:hAnsi="Times New Roman" w:cs="Times New Roman"/>
          <w:color w:val="000000" w:themeColor="text1"/>
          <w:sz w:val="24"/>
          <w:szCs w:val="24"/>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noProof/>
          <w:sz w:val="24"/>
          <w:szCs w:val="24"/>
          <w:lang w:eastAsia="hr-HR"/>
        </w:rPr>
        <w:drawing>
          <wp:inline distT="0" distB="0" distL="0" distR="0">
            <wp:extent cx="485775" cy="647700"/>
            <wp:effectExtent l="0" t="0" r="0" b="0"/>
            <wp:docPr id="39932857"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REPUBLIKA HRVATSKA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BRODSKO-POSAVSKA ŽUPANIJA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OPĆINA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OPĆINSKO VIJEĆE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Trg hrvatskih branitelja 1, </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35429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OIB: 89414039518</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Tel: 035/375-056</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ind w:firstLine="708"/>
        <w:jc w:val="both"/>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sz w:val="24"/>
          <w:szCs w:val="24"/>
          <w:lang w:eastAsia="ar-SA"/>
        </w:rPr>
        <w:tab/>
        <w:t>Na temelju članka 48. Zakona o predškolskom odgoju i obrazovanju („Narodne novine“ broj 10/97,107/07, 94/13, 98/19, 57/22 i 101/23), članka 141. Zakona o odgoju i obrazovanju u osnovnoj i srednjoj školi („Narodne novine“ broj 87/08, 86/09, 92/10, 105/10, 90/11, 5/12, 16/12, 86/12, 126/12, 94/13, 152/14, 07/17, 68/18, 98/19, 64/20, 151/22, 155/23 i 156/23), članka 2. Zakona o financiranju jedinica lokalne i područne (regionalne) samouprave („Narodne novine“ broj 127/17, 138/20, 151/22 i 114/23) i te članka 39. stavak 5 Statuta općine Gornji Bogićevci („Službeni glasnik Općine Gornji Bogićevci“, broj 02/21, Općinsko vijeće općine Gornji Bogićevci na svojoj 5. sjednici održanoj 22. prosinca 2025. godine, donosi</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PROGRAM  JAVNIH POTREBA U OBRAZOVANJU NA PODRUČJU OPĆINE GORNJI BOGIĆEVCI ZA 2025. GODINU</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b/>
          <w:bCs/>
          <w:sz w:val="24"/>
          <w:szCs w:val="24"/>
          <w:lang w:eastAsia="ar-SA"/>
        </w:rPr>
        <w:t xml:space="preserve">Članak 1. </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Programom javnih potreba u obrazovanju na području općine Gornji Bogićevci za 2025. godinu osigurava se: </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ostvarivanje redovnih programa odgoja i obrazovanja djece predškolske dobi, </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sufinanciranje nabavke radnog materijala za sve učenike osnovne škole</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sufinanciranje troškova prijevoza učenika srednjih škola</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stipendiranje studenata</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I. PROGRAM JAVNIH POTREBA U PREDŠKOLSKOM ODGOJU I OBRAZOVANJU</w:t>
      </w:r>
    </w:p>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2.</w:t>
      </w:r>
    </w:p>
    <w:p w:rsidR="00440A6E" w:rsidRP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
        <w:gridCol w:w="5226"/>
        <w:gridCol w:w="2773"/>
      </w:tblGrid>
      <w:tr w:rsidR="00440A6E" w:rsidRPr="00440A6E" w:rsidTr="00F57898">
        <w:tc>
          <w:tcPr>
            <w:tcW w:w="932" w:type="dxa"/>
            <w:shd w:val="clear" w:color="auto" w:fill="CCFFFF"/>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Redni </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broj</w:t>
            </w:r>
          </w:p>
        </w:tc>
        <w:tc>
          <w:tcPr>
            <w:tcW w:w="5226" w:type="dxa"/>
            <w:shd w:val="clear" w:color="auto" w:fill="CCFFFF"/>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Aktivnost</w:t>
            </w:r>
          </w:p>
        </w:tc>
        <w:tc>
          <w:tcPr>
            <w:tcW w:w="2773" w:type="dxa"/>
            <w:shd w:val="clear" w:color="auto" w:fill="CCFFFF"/>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Iznos (EUR)</w:t>
            </w:r>
          </w:p>
        </w:tc>
      </w:tr>
      <w:tr w:rsidR="00440A6E" w:rsidRPr="00440A6E" w:rsidTr="00F57898">
        <w:tc>
          <w:tcPr>
            <w:tcW w:w="932" w:type="dxa"/>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1.</w:t>
            </w:r>
          </w:p>
        </w:tc>
        <w:tc>
          <w:tcPr>
            <w:tcW w:w="5226" w:type="dxa"/>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PREDŠKOSLKI ODGOJ</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sufinanciranje rada Dječjeg vrtića „Bljesak“</w:t>
            </w:r>
          </w:p>
        </w:tc>
        <w:tc>
          <w:tcPr>
            <w:tcW w:w="2773" w:type="dxa"/>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color w:val="0D0D0D"/>
                <w:sz w:val="24"/>
                <w:szCs w:val="24"/>
                <w:lang w:eastAsia="ar-SA"/>
              </w:rPr>
            </w:pPr>
          </w:p>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color w:val="0D0D0D"/>
                <w:sz w:val="24"/>
                <w:szCs w:val="24"/>
                <w:lang w:eastAsia="ar-SA"/>
              </w:rPr>
            </w:pPr>
            <w:r w:rsidRPr="00440A6E">
              <w:rPr>
                <w:rFonts w:ascii="Times New Roman" w:eastAsia="Times New Roman" w:hAnsi="Times New Roman" w:cs="Times New Roman"/>
                <w:color w:val="0D0D0D"/>
                <w:sz w:val="24"/>
                <w:szCs w:val="24"/>
                <w:lang w:eastAsia="ar-SA"/>
              </w:rPr>
              <w:t>39.500,00</w:t>
            </w:r>
          </w:p>
        </w:tc>
      </w:tr>
      <w:tr w:rsidR="00440A6E" w:rsidRPr="00440A6E" w:rsidTr="00F57898">
        <w:tc>
          <w:tcPr>
            <w:tcW w:w="932" w:type="dxa"/>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p>
        </w:tc>
        <w:tc>
          <w:tcPr>
            <w:tcW w:w="5226" w:type="dxa"/>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Ukupno:</w:t>
            </w:r>
          </w:p>
        </w:tc>
        <w:tc>
          <w:tcPr>
            <w:tcW w:w="2773" w:type="dxa"/>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b/>
                <w:color w:val="0D0D0D"/>
                <w:sz w:val="24"/>
                <w:szCs w:val="24"/>
                <w:lang w:eastAsia="ar-SA"/>
              </w:rPr>
            </w:pPr>
            <w:r w:rsidRPr="00440A6E">
              <w:rPr>
                <w:rFonts w:ascii="Times New Roman" w:eastAsia="Times New Roman" w:hAnsi="Times New Roman" w:cs="Times New Roman"/>
                <w:b/>
                <w:color w:val="0D0D0D"/>
                <w:sz w:val="24"/>
                <w:szCs w:val="24"/>
                <w:lang w:eastAsia="ar-SA"/>
              </w:rPr>
              <w:t>39.500,00</w:t>
            </w:r>
          </w:p>
        </w:tc>
      </w:tr>
    </w:tbl>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II. PROGRAM JAVNIH POTREBA U OSNOVNOŠKOLSKOM I SREDNJOŠKOLSKOM OBRAZOVANJU</w:t>
      </w: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3.</w:t>
      </w: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32"/>
        <w:gridCol w:w="5226"/>
        <w:gridCol w:w="2773"/>
      </w:tblGrid>
      <w:tr w:rsidR="00440A6E" w:rsidRPr="00440A6E" w:rsidTr="00F57898">
        <w:tc>
          <w:tcPr>
            <w:tcW w:w="932" w:type="dxa"/>
            <w:shd w:val="clear" w:color="auto" w:fill="CCFFFF"/>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Redni </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broj</w:t>
            </w:r>
          </w:p>
        </w:tc>
        <w:tc>
          <w:tcPr>
            <w:tcW w:w="5226" w:type="dxa"/>
            <w:shd w:val="clear" w:color="auto" w:fill="CCFFFF"/>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Aktivnost</w:t>
            </w:r>
          </w:p>
        </w:tc>
        <w:tc>
          <w:tcPr>
            <w:tcW w:w="2773" w:type="dxa"/>
            <w:shd w:val="clear" w:color="auto" w:fill="CCFFFF"/>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Iznos (EUR)</w:t>
            </w:r>
          </w:p>
        </w:tc>
      </w:tr>
      <w:tr w:rsidR="00440A6E" w:rsidRPr="00440A6E" w:rsidTr="00F57898">
        <w:tc>
          <w:tcPr>
            <w:tcW w:w="932" w:type="dxa"/>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1. </w:t>
            </w:r>
          </w:p>
        </w:tc>
        <w:tc>
          <w:tcPr>
            <w:tcW w:w="5226" w:type="dxa"/>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OSNOVNO I SREDNJOŠKOLSKO OBRAZOVANJE</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lastRenderedPageBreak/>
              <w:t>- nabavka radnog materijala za Osnovnu školu</w:t>
            </w:r>
          </w:p>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sufinanciranje prijevoza učenika srednjih škola</w:t>
            </w:r>
          </w:p>
        </w:tc>
        <w:tc>
          <w:tcPr>
            <w:tcW w:w="2773" w:type="dxa"/>
          </w:tcPr>
          <w:p w:rsidR="00440A6E" w:rsidRPr="00440A6E" w:rsidRDefault="00440A6E" w:rsidP="00440A6E">
            <w:pPr>
              <w:tabs>
                <w:tab w:val="left" w:pos="13920"/>
              </w:tabs>
              <w:suppressAutoHyphens/>
              <w:spacing w:after="0" w:line="240" w:lineRule="auto"/>
              <w:jc w:val="right"/>
              <w:rPr>
                <w:rFonts w:ascii="Times New Roman" w:eastAsia="Times New Roman" w:hAnsi="Times New Roman" w:cs="Times New Roman"/>
                <w:sz w:val="24"/>
                <w:szCs w:val="24"/>
                <w:lang w:eastAsia="ar-SA"/>
              </w:rPr>
            </w:pPr>
          </w:p>
          <w:p w:rsidR="00440A6E" w:rsidRPr="00440A6E" w:rsidRDefault="00440A6E" w:rsidP="00440A6E">
            <w:pPr>
              <w:tabs>
                <w:tab w:val="left" w:pos="13920"/>
              </w:tabs>
              <w:suppressAutoHyphens/>
              <w:spacing w:after="0" w:line="240" w:lineRule="auto"/>
              <w:jc w:val="right"/>
              <w:rPr>
                <w:rFonts w:ascii="Times New Roman" w:eastAsia="Times New Roman" w:hAnsi="Times New Roman" w:cs="Times New Roman"/>
                <w:sz w:val="24"/>
                <w:szCs w:val="24"/>
                <w:lang w:eastAsia="ar-SA"/>
              </w:rPr>
            </w:pPr>
          </w:p>
          <w:p w:rsidR="00440A6E" w:rsidRPr="00440A6E" w:rsidRDefault="00440A6E" w:rsidP="00440A6E">
            <w:pPr>
              <w:tabs>
                <w:tab w:val="left" w:pos="13920"/>
              </w:tabs>
              <w:suppressAutoHyphens/>
              <w:spacing w:after="0" w:line="240" w:lineRule="auto"/>
              <w:jc w:val="right"/>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lastRenderedPageBreak/>
              <w:t>12.434,20</w:t>
            </w:r>
          </w:p>
          <w:p w:rsidR="00440A6E" w:rsidRPr="00440A6E" w:rsidRDefault="00440A6E" w:rsidP="00440A6E">
            <w:pPr>
              <w:tabs>
                <w:tab w:val="left" w:pos="13920"/>
              </w:tabs>
              <w:suppressAutoHyphens/>
              <w:spacing w:after="0" w:line="240" w:lineRule="auto"/>
              <w:jc w:val="right"/>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8.600,00</w:t>
            </w:r>
          </w:p>
        </w:tc>
      </w:tr>
      <w:tr w:rsidR="00440A6E" w:rsidRPr="00440A6E" w:rsidTr="00F57898">
        <w:tc>
          <w:tcPr>
            <w:tcW w:w="932" w:type="dxa"/>
          </w:tcPr>
          <w:p w:rsidR="00440A6E" w:rsidRPr="00440A6E" w:rsidRDefault="00440A6E" w:rsidP="00440A6E">
            <w:pPr>
              <w:tabs>
                <w:tab w:val="left" w:pos="13920"/>
              </w:tabs>
              <w:suppressAutoHyphens/>
              <w:spacing w:after="0" w:line="240" w:lineRule="auto"/>
              <w:rPr>
                <w:rFonts w:ascii="Times New Roman" w:eastAsia="Times New Roman" w:hAnsi="Times New Roman" w:cs="Times New Roman"/>
                <w:sz w:val="24"/>
                <w:szCs w:val="24"/>
                <w:lang w:eastAsia="ar-SA"/>
              </w:rPr>
            </w:pPr>
          </w:p>
        </w:tc>
        <w:tc>
          <w:tcPr>
            <w:tcW w:w="5226" w:type="dxa"/>
          </w:tcPr>
          <w:p w:rsidR="00440A6E" w:rsidRPr="00440A6E" w:rsidRDefault="00440A6E" w:rsidP="00440A6E">
            <w:pPr>
              <w:tabs>
                <w:tab w:val="left" w:pos="13920"/>
              </w:tabs>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Ukupno:</w:t>
            </w:r>
          </w:p>
        </w:tc>
        <w:tc>
          <w:tcPr>
            <w:tcW w:w="2773" w:type="dxa"/>
          </w:tcPr>
          <w:p w:rsidR="00440A6E" w:rsidRPr="00440A6E" w:rsidRDefault="00440A6E" w:rsidP="00440A6E">
            <w:pPr>
              <w:tabs>
                <w:tab w:val="left" w:pos="13920"/>
              </w:tabs>
              <w:suppressAutoHyphens/>
              <w:spacing w:after="0" w:line="240" w:lineRule="auto"/>
              <w:jc w:val="right"/>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22.000,00</w:t>
            </w:r>
          </w:p>
        </w:tc>
      </w:tr>
    </w:tbl>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III. PROGRAM JAVNIH POTREBA U VISOKOM OBRAZOVANJU</w:t>
      </w: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4.</w:t>
      </w:r>
    </w:p>
    <w:p w:rsidR="00440A6E" w:rsidRPr="00440A6E" w:rsidRDefault="00440A6E" w:rsidP="00440A6E">
      <w:pPr>
        <w:tabs>
          <w:tab w:val="left" w:pos="5280"/>
        </w:tabs>
        <w:suppressAutoHyphens/>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090"/>
        <w:gridCol w:w="3096"/>
      </w:tblGrid>
      <w:tr w:rsidR="00440A6E" w:rsidRPr="00440A6E" w:rsidTr="00F57898">
        <w:tc>
          <w:tcPr>
            <w:tcW w:w="1101" w:type="dxa"/>
            <w:shd w:val="clear" w:color="auto" w:fill="CCFFFF"/>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Redni broj</w:t>
            </w:r>
          </w:p>
        </w:tc>
        <w:tc>
          <w:tcPr>
            <w:tcW w:w="5090" w:type="dxa"/>
            <w:shd w:val="clear" w:color="auto" w:fill="CCFFFF"/>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Aktivnost</w:t>
            </w:r>
          </w:p>
        </w:tc>
        <w:tc>
          <w:tcPr>
            <w:tcW w:w="3096" w:type="dxa"/>
            <w:shd w:val="clear" w:color="auto" w:fill="CCFFFF"/>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Iznos (EUR)</w:t>
            </w:r>
          </w:p>
        </w:tc>
      </w:tr>
      <w:tr w:rsidR="00440A6E" w:rsidRPr="00440A6E" w:rsidTr="00F57898">
        <w:tc>
          <w:tcPr>
            <w:tcW w:w="1101" w:type="dxa"/>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1.</w:t>
            </w:r>
          </w:p>
        </w:tc>
        <w:tc>
          <w:tcPr>
            <w:tcW w:w="5090" w:type="dxa"/>
          </w:tcPr>
          <w:p w:rsidR="00440A6E" w:rsidRPr="00440A6E" w:rsidRDefault="00440A6E" w:rsidP="00440A6E">
            <w:pPr>
              <w:tabs>
                <w:tab w:val="left" w:pos="5280"/>
              </w:tabs>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VISOKO OBRAZOVANJE</w:t>
            </w:r>
          </w:p>
          <w:p w:rsidR="00440A6E" w:rsidRPr="00440A6E" w:rsidRDefault="00440A6E" w:rsidP="00440A6E">
            <w:pPr>
              <w:tabs>
                <w:tab w:val="left" w:pos="5280"/>
              </w:tabs>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stipendije studentima</w:t>
            </w:r>
          </w:p>
        </w:tc>
        <w:tc>
          <w:tcPr>
            <w:tcW w:w="3096" w:type="dxa"/>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3.900,00</w:t>
            </w:r>
          </w:p>
        </w:tc>
      </w:tr>
      <w:tr w:rsidR="00440A6E" w:rsidRPr="00440A6E" w:rsidTr="00F57898">
        <w:tc>
          <w:tcPr>
            <w:tcW w:w="1101" w:type="dxa"/>
          </w:tcPr>
          <w:p w:rsidR="00440A6E" w:rsidRP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tc>
        <w:tc>
          <w:tcPr>
            <w:tcW w:w="5090" w:type="dxa"/>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Ukupno:</w:t>
            </w:r>
          </w:p>
        </w:tc>
        <w:tc>
          <w:tcPr>
            <w:tcW w:w="3096" w:type="dxa"/>
          </w:tcPr>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3.900,00</w:t>
            </w:r>
          </w:p>
        </w:tc>
      </w:tr>
    </w:tbl>
    <w:p w:rsidR="00440A6E" w:rsidRP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5.</w:t>
      </w:r>
    </w:p>
    <w:p w:rsidR="00440A6E" w:rsidRP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Ukupno Program javnih potreba u obrazovanju iznosi: </w:t>
      </w:r>
      <w:r w:rsidRPr="00440A6E">
        <w:rPr>
          <w:rFonts w:ascii="Times New Roman" w:eastAsia="Times New Roman" w:hAnsi="Times New Roman" w:cs="Times New Roman"/>
          <w:b/>
          <w:bCs/>
          <w:sz w:val="24"/>
          <w:szCs w:val="24"/>
          <w:lang w:eastAsia="ar-SA"/>
        </w:rPr>
        <w:t>65</w:t>
      </w:r>
      <w:r w:rsidRPr="00440A6E">
        <w:rPr>
          <w:rFonts w:ascii="Times New Roman" w:eastAsia="Times New Roman" w:hAnsi="Times New Roman" w:cs="Times New Roman"/>
          <w:b/>
          <w:bCs/>
          <w:color w:val="000000"/>
          <w:sz w:val="24"/>
          <w:szCs w:val="24"/>
          <w:lang w:eastAsia="ar-SA"/>
        </w:rPr>
        <w:t xml:space="preserve">.400,00 </w:t>
      </w:r>
      <w:r w:rsidRPr="00440A6E">
        <w:rPr>
          <w:rFonts w:ascii="Times New Roman" w:eastAsia="Times New Roman" w:hAnsi="Times New Roman" w:cs="Times New Roman"/>
          <w:sz w:val="24"/>
          <w:szCs w:val="24"/>
          <w:lang w:eastAsia="ar-SA"/>
        </w:rPr>
        <w:t>eura.. Raspored sredstava iz članaka 2.,3., i 4. ovog Programa vršit će se temeljem ugovora i odluka Općinskog načelnika.</w:t>
      </w:r>
    </w:p>
    <w:p w:rsidR="00440A6E" w:rsidRPr="00440A6E" w:rsidRDefault="00440A6E" w:rsidP="00440A6E">
      <w:pPr>
        <w:tabs>
          <w:tab w:val="left" w:pos="5280"/>
        </w:tabs>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6.</w:t>
      </w:r>
    </w:p>
    <w:p w:rsidR="00440A6E" w:rsidRPr="00440A6E" w:rsidRDefault="00440A6E" w:rsidP="00440A6E">
      <w:pPr>
        <w:tabs>
          <w:tab w:val="left" w:pos="5280"/>
        </w:tabs>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Ovaj Program stupa na snagu osmi dan od dana objave u "Službenom glasniku Općine Gornji Bogićevci“.</w:t>
      </w:r>
      <w:r w:rsidRPr="00440A6E">
        <w:rPr>
          <w:rFonts w:ascii="Times New Roman" w:eastAsia="Times New Roman" w:hAnsi="Times New Roman" w:cs="Times New Roman"/>
          <w:sz w:val="24"/>
          <w:szCs w:val="24"/>
          <w:lang w:eastAsia="ar-SA"/>
        </w:rPr>
        <w:tab/>
        <w:t>Gornji Bogi-posavske županije“, a  primjenjivat će se  od 1. siječnja  2025. godine.</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r w:rsidRPr="00440A6E">
        <w:rPr>
          <w:rFonts w:ascii="Times New Roman" w:eastAsia="Times New Roman" w:hAnsi="Times New Roman" w:cs="Times New Roman"/>
          <w:b/>
          <w:i/>
          <w:sz w:val="24"/>
          <w:szCs w:val="24"/>
          <w:lang w:eastAsia="ar-SA"/>
        </w:rPr>
        <w:t xml:space="preserve">                                  </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iCs/>
          <w:sz w:val="24"/>
          <w:szCs w:val="24"/>
          <w:lang w:eastAsia="ar-SA"/>
        </w:rPr>
      </w:pPr>
      <w:r w:rsidRPr="00440A6E">
        <w:rPr>
          <w:rFonts w:ascii="Times New Roman" w:eastAsia="Times New Roman" w:hAnsi="Times New Roman" w:cs="Times New Roman"/>
          <w:b/>
          <w:iCs/>
          <w:sz w:val="24"/>
          <w:szCs w:val="24"/>
          <w:lang w:eastAsia="ar-SA"/>
        </w:rPr>
        <w:t>OPĆINSKO VIJEĆE</w:t>
      </w:r>
      <w:r w:rsidRPr="00440A6E">
        <w:rPr>
          <w:rFonts w:ascii="Times New Roman" w:eastAsia="Times New Roman" w:hAnsi="Times New Roman" w:cs="Times New Roman"/>
          <w:b/>
          <w:i/>
          <w:sz w:val="24"/>
          <w:szCs w:val="24"/>
          <w:lang w:eastAsia="ar-SA"/>
        </w:rPr>
        <w:t xml:space="preserve">  </w:t>
      </w:r>
      <w:r w:rsidRPr="00440A6E">
        <w:rPr>
          <w:rFonts w:ascii="Times New Roman" w:eastAsia="Times New Roman" w:hAnsi="Times New Roman" w:cs="Times New Roman"/>
          <w:b/>
          <w:iCs/>
          <w:sz w:val="24"/>
          <w:szCs w:val="24"/>
          <w:lang w:eastAsia="ar-SA"/>
        </w:rPr>
        <w:t>OPĆINE GORNJI BOGIĆEVCI</w:t>
      </w:r>
    </w:p>
    <w:p w:rsidR="00440A6E" w:rsidRPr="00440A6E" w:rsidRDefault="00440A6E" w:rsidP="00440A6E">
      <w:pPr>
        <w:suppressAutoHyphens/>
        <w:spacing w:after="0" w:line="240" w:lineRule="auto"/>
        <w:jc w:val="center"/>
        <w:rPr>
          <w:rFonts w:ascii="Times New Roman" w:eastAsia="Times New Roman" w:hAnsi="Times New Roman" w:cs="Times New Roman"/>
          <w:b/>
          <w:i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KLASA: 400-05-25-01-01</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URBROJ: 2178-22-03-25-14</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Gornji Bogićevci, 22. prosinca 2025. godine</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PREDSJEDNIK OPĆINSKOG VIJEĆA</w:t>
      </w:r>
    </w:p>
    <w:p w:rsidR="00440A6E" w:rsidRPr="00440A6E" w:rsidRDefault="00440A6E" w:rsidP="00440A6E">
      <w:pPr>
        <w:suppressAutoHyphens/>
        <w:spacing w:after="0" w:line="240" w:lineRule="auto"/>
        <w:ind w:left="4956" w:firstLine="708"/>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Željko Klarić</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Dostaviti:</w:t>
      </w:r>
    </w:p>
    <w:p w:rsidR="00440A6E" w:rsidRPr="00440A6E" w:rsidRDefault="00440A6E" w:rsidP="00A66748">
      <w:pPr>
        <w:numPr>
          <w:ilvl w:val="0"/>
          <w:numId w:val="20"/>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Jedinstveni upravni odjel</w:t>
      </w:r>
    </w:p>
    <w:p w:rsidR="00440A6E" w:rsidRPr="00440A6E" w:rsidRDefault="00440A6E" w:rsidP="00A66748">
      <w:pPr>
        <w:numPr>
          <w:ilvl w:val="0"/>
          <w:numId w:val="20"/>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Službeni glasnik Općine Gornji Bogićevci</w:t>
      </w:r>
    </w:p>
    <w:p w:rsidR="00440A6E" w:rsidRPr="00440A6E" w:rsidRDefault="00440A6E" w:rsidP="00A66748">
      <w:pPr>
        <w:numPr>
          <w:ilvl w:val="0"/>
          <w:numId w:val="20"/>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Pismohrana.</w:t>
      </w:r>
    </w:p>
    <w:p w:rsidR="00440A6E" w:rsidRDefault="00440A6E" w:rsidP="00440A6E">
      <w:pPr>
        <w:rPr>
          <w:rFonts w:ascii="Times New Roman" w:hAnsi="Times New Roman" w:cs="Times New Roman"/>
          <w:color w:val="000000" w:themeColor="text1"/>
          <w:sz w:val="24"/>
          <w:szCs w:val="24"/>
        </w:rPr>
      </w:pPr>
    </w:p>
    <w:p w:rsidR="00440A6E" w:rsidRDefault="00440A6E" w:rsidP="00440A6E">
      <w:pPr>
        <w:rPr>
          <w:rFonts w:ascii="Times New Roman" w:hAnsi="Times New Roman" w:cs="Times New Roman"/>
          <w:b/>
          <w:color w:val="000000" w:themeColor="text1"/>
          <w:sz w:val="24"/>
          <w:szCs w:val="24"/>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lastRenderedPageBreak/>
        <w:t xml:space="preserve">                    </w:t>
      </w:r>
      <w:r w:rsidRPr="00440A6E">
        <w:rPr>
          <w:rFonts w:ascii="Times New Roman" w:eastAsia="Times New Roman" w:hAnsi="Times New Roman" w:cs="Times New Roman"/>
          <w:noProof/>
          <w:sz w:val="24"/>
          <w:szCs w:val="24"/>
          <w:lang w:eastAsia="hr-HR"/>
        </w:rPr>
        <w:drawing>
          <wp:inline distT="0" distB="0" distL="0" distR="0">
            <wp:extent cx="485775" cy="647700"/>
            <wp:effectExtent l="0" t="0" r="0" b="0"/>
            <wp:docPr id="1535017056"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REPUBLIKA HRVATSKA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BRODSKO-POSAVSKA ŽUPANIJA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OPĆINA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OPĆINSKO VIJEĆE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Trg hrvatskih branitelja 1, </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35429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OIB: 89414039518</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Tel: 035/375-056</w:t>
      </w:r>
    </w:p>
    <w:p w:rsidR="00440A6E" w:rsidRPr="00440A6E" w:rsidRDefault="00440A6E" w:rsidP="00440A6E">
      <w:pPr>
        <w:suppressAutoHyphens/>
        <w:spacing w:after="0" w:line="240" w:lineRule="auto"/>
        <w:ind w:firstLine="708"/>
        <w:jc w:val="both"/>
        <w:rPr>
          <w:rFonts w:ascii="Times New Roman" w:eastAsia="Times New Roman" w:hAnsi="Times New Roman" w:cs="Times New Roman"/>
          <w:color w:val="000000"/>
          <w:sz w:val="24"/>
          <w:szCs w:val="24"/>
          <w:lang w:eastAsia="ar-SA"/>
        </w:rPr>
      </w:pPr>
    </w:p>
    <w:p w:rsidR="00440A6E" w:rsidRPr="00440A6E" w:rsidRDefault="00440A6E" w:rsidP="00440A6E">
      <w:pPr>
        <w:suppressAutoHyphens/>
        <w:spacing w:after="0" w:line="240" w:lineRule="auto"/>
        <w:ind w:firstLine="708"/>
        <w:jc w:val="both"/>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color w:val="000000"/>
          <w:sz w:val="24"/>
          <w:szCs w:val="24"/>
          <w:lang w:eastAsia="ar-SA"/>
        </w:rPr>
        <w:t xml:space="preserve">Sukladno odredbama članka 289. Zakona o socijalnoj skrbi („Narodne novine“ broj 18/22, 46/22, 119/22, 71/23 i 156/23), članka 19. Zakona o lokalnoj i područnoj (regionalnoj) samoupravi („Narodne novine“ broj </w:t>
      </w:r>
      <w:r w:rsidRPr="00440A6E">
        <w:rPr>
          <w:rFonts w:ascii="Times New Roman" w:eastAsia="Times New Roman" w:hAnsi="Times New Roman" w:cs="Times New Roman"/>
          <w:szCs w:val="24"/>
          <w:lang w:eastAsia="ar-SA"/>
        </w:rPr>
        <w:t xml:space="preserve">33/01, 60/01, 129/05, 109/07, 125/08, 36/09, 150/11, 144/12, 19/13, 137/15, 123/17, 98/19 i 144/20) </w:t>
      </w:r>
      <w:r w:rsidRPr="00440A6E">
        <w:rPr>
          <w:rFonts w:ascii="Times New Roman" w:eastAsia="Times New Roman" w:hAnsi="Times New Roman" w:cs="Times New Roman"/>
          <w:color w:val="000000"/>
          <w:sz w:val="24"/>
          <w:szCs w:val="24"/>
          <w:lang w:eastAsia="ar-SA"/>
        </w:rPr>
        <w:t xml:space="preserve">i </w:t>
      </w:r>
      <w:r w:rsidRPr="00440A6E">
        <w:rPr>
          <w:rFonts w:ascii="Times New Roman" w:eastAsia="Times New Roman" w:hAnsi="Times New Roman" w:cs="Times New Roman"/>
          <w:sz w:val="24"/>
          <w:szCs w:val="24"/>
          <w:lang w:eastAsia="ar-SA"/>
        </w:rPr>
        <w:t>te članka 39. stavak 5 Statuta općine Gornji Bogićevci („Službeni glasnik Općine Gornji Bogićevci“, broj 02/21, Općinsko vijeće općine Gornji Bogićevci na svojoj 5. sjednici održanoj 22. prosinca 2025. godine, donosi</w:t>
      </w:r>
    </w:p>
    <w:p w:rsidR="00440A6E" w:rsidRPr="00440A6E" w:rsidRDefault="00440A6E" w:rsidP="00440A6E">
      <w:pPr>
        <w:suppressAutoHyphens/>
        <w:spacing w:after="0" w:line="240" w:lineRule="auto"/>
        <w:jc w:val="center"/>
        <w:rPr>
          <w:rFonts w:ascii="Times New Roman" w:eastAsia="Times New Roman" w:hAnsi="Times New Roman" w:cs="Times New Roman"/>
          <w:b/>
          <w:sz w:val="24"/>
          <w:szCs w:val="24"/>
          <w:lang w:eastAsia="hr-HR"/>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sz w:val="24"/>
          <w:szCs w:val="24"/>
          <w:lang w:eastAsia="ar-SA"/>
        </w:rPr>
        <w:t xml:space="preserve">PROGRAM </w:t>
      </w:r>
      <w:r w:rsidRPr="00440A6E">
        <w:rPr>
          <w:rFonts w:ascii="Times New Roman" w:eastAsia="Times New Roman" w:hAnsi="Times New Roman" w:cs="Times New Roman"/>
          <w:b/>
          <w:bCs/>
          <w:sz w:val="24"/>
          <w:szCs w:val="24"/>
          <w:lang w:eastAsia="ar-SA"/>
        </w:rPr>
        <w:t>JAVNIH POTREBA U SOCIJALNOJ SKRBI I ZDRAVSTVU NA PODRUČJU OPĆINE GORNJI BOGIĆEVCI  ZA 2025. GODINU</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1.</w:t>
      </w:r>
    </w:p>
    <w:p w:rsidR="00440A6E" w:rsidRPr="00440A6E" w:rsidRDefault="00440A6E" w:rsidP="00440A6E">
      <w:pPr>
        <w:suppressAutoHyphens/>
        <w:spacing w:after="0" w:line="240" w:lineRule="auto"/>
        <w:jc w:val="both"/>
        <w:rPr>
          <w:rFonts w:ascii="Times New Roman" w:eastAsia="Times New Roman" w:hAnsi="Times New Roman" w:cs="Times New Roman"/>
          <w:b/>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Programom javnih potreba u socijalnoj skrbi i zdravstvu na području općine Gornji Bogićevci za 2025. godinu (u daljnjem tekstu: Program) utvrđuju se i obuhvaćaju oblici javnih potreba u socijalnoj skrbi, mjere, obujam i način pružanja pomoći radi zaštite životnog standarda i zbrinjavanja socijalno ugroženih osoba na području općine Gornji Bogićevci. Sredstva za realizaciju Programa planirana su u Proračunu Općine Gornji Bogićevci za 2025. godinu u iznosu od </w:t>
      </w:r>
      <w:r w:rsidRPr="00440A6E">
        <w:rPr>
          <w:rFonts w:ascii="Times New Roman" w:eastAsia="Times New Roman" w:hAnsi="Times New Roman" w:cs="Times New Roman"/>
          <w:b/>
          <w:bCs/>
          <w:sz w:val="24"/>
          <w:szCs w:val="24"/>
          <w:lang w:eastAsia="ar-SA"/>
        </w:rPr>
        <w:t>51.073,46 eura</w:t>
      </w:r>
      <w:r w:rsidRPr="00440A6E">
        <w:rPr>
          <w:rFonts w:ascii="Times New Roman" w:eastAsia="Times New Roman" w:hAnsi="Times New Roman" w:cs="Times New Roman"/>
          <w:color w:val="000000"/>
          <w:sz w:val="24"/>
          <w:szCs w:val="24"/>
          <w:lang w:eastAsia="ar-SA"/>
        </w:rPr>
        <w:t>.</w:t>
      </w:r>
      <w:r w:rsidRPr="00440A6E">
        <w:rPr>
          <w:rFonts w:ascii="Times New Roman" w:eastAsia="Times New Roman" w:hAnsi="Times New Roman" w:cs="Times New Roman"/>
          <w:sz w:val="24"/>
          <w:szCs w:val="24"/>
          <w:lang w:eastAsia="ar-SA"/>
        </w:rPr>
        <w:t xml:space="preserve"> Programom se osiguravaju i ostvaruju pomoći u novcu ili naravi za podmirenje osnovnih životnih potreba socijalno ugroženih i drugih osoba koje one same ili uz pomoć članova obitelji ne mogu zadovoljiti zbog nepovoljnih osobnih, gospodarskih, socijalnih ili drugih okolnosti. </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2.</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Programom javnih potreba u socijalnoj skrbi na području općine Gornji Bogićevci za 2025. godinu (u daljnjem tekstu: Program) obuhvaćene su slijedeće aktivnosti:</w:t>
      </w:r>
    </w:p>
    <w:p w:rsidR="00440A6E" w:rsidRPr="00440A6E" w:rsidRDefault="00440A6E" w:rsidP="00440A6E">
      <w:pPr>
        <w:suppressAutoHyphens/>
        <w:spacing w:after="0" w:line="240" w:lineRule="auto"/>
        <w:jc w:val="both"/>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93"/>
        <w:gridCol w:w="5811"/>
        <w:gridCol w:w="2168"/>
      </w:tblGrid>
      <w:tr w:rsidR="00440A6E" w:rsidRPr="00440A6E" w:rsidTr="00F57898">
        <w:trPr>
          <w:trHeight w:val="571"/>
        </w:trPr>
        <w:tc>
          <w:tcPr>
            <w:tcW w:w="993" w:type="dxa"/>
          </w:tcPr>
          <w:p w:rsidR="00440A6E" w:rsidRPr="00440A6E" w:rsidRDefault="00440A6E" w:rsidP="00440A6E">
            <w:pPr>
              <w:tabs>
                <w:tab w:val="left" w:pos="19275"/>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Redni </w:t>
            </w:r>
          </w:p>
          <w:p w:rsidR="00440A6E" w:rsidRPr="00440A6E" w:rsidRDefault="00440A6E" w:rsidP="00440A6E">
            <w:pPr>
              <w:tabs>
                <w:tab w:val="left" w:pos="19275"/>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broj</w:t>
            </w:r>
          </w:p>
        </w:tc>
        <w:tc>
          <w:tcPr>
            <w:tcW w:w="5811" w:type="dxa"/>
          </w:tcPr>
          <w:p w:rsidR="00440A6E" w:rsidRPr="00440A6E" w:rsidRDefault="00440A6E" w:rsidP="00440A6E">
            <w:pPr>
              <w:tabs>
                <w:tab w:val="left" w:pos="1750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Aktivnost</w:t>
            </w:r>
          </w:p>
        </w:tc>
        <w:tc>
          <w:tcPr>
            <w:tcW w:w="2168" w:type="dxa"/>
          </w:tcPr>
          <w:p w:rsidR="00440A6E" w:rsidRPr="00440A6E" w:rsidRDefault="00440A6E" w:rsidP="00440A6E">
            <w:pPr>
              <w:tabs>
                <w:tab w:val="left" w:pos="1750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Ukupno</w:t>
            </w:r>
          </w:p>
          <w:p w:rsidR="00440A6E" w:rsidRPr="00440A6E" w:rsidRDefault="00440A6E" w:rsidP="00440A6E">
            <w:pPr>
              <w:tabs>
                <w:tab w:val="left" w:pos="1750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(EUR)</w:t>
            </w:r>
          </w:p>
        </w:tc>
      </w:tr>
      <w:tr w:rsidR="00440A6E" w:rsidRPr="00440A6E" w:rsidTr="00F57898">
        <w:trPr>
          <w:trHeight w:val="285"/>
        </w:trPr>
        <w:tc>
          <w:tcPr>
            <w:tcW w:w="993"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1.</w:t>
            </w:r>
          </w:p>
        </w:tc>
        <w:tc>
          <w:tcPr>
            <w:tcW w:w="5811" w:type="dxa"/>
          </w:tcPr>
          <w:p w:rsidR="00440A6E" w:rsidRPr="00440A6E" w:rsidRDefault="00440A6E" w:rsidP="00440A6E">
            <w:pPr>
              <w:tabs>
                <w:tab w:val="left" w:pos="17505"/>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Jednokratne novčane pomoći</w:t>
            </w:r>
          </w:p>
        </w:tc>
        <w:tc>
          <w:tcPr>
            <w:tcW w:w="2168"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5.000,00</w:t>
            </w:r>
          </w:p>
        </w:tc>
      </w:tr>
      <w:tr w:rsidR="00440A6E" w:rsidRPr="00440A6E" w:rsidTr="00F57898">
        <w:trPr>
          <w:trHeight w:val="285"/>
        </w:trPr>
        <w:tc>
          <w:tcPr>
            <w:tcW w:w="993"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2.</w:t>
            </w:r>
          </w:p>
        </w:tc>
        <w:tc>
          <w:tcPr>
            <w:tcW w:w="5811" w:type="dxa"/>
          </w:tcPr>
          <w:p w:rsidR="00440A6E" w:rsidRPr="00440A6E" w:rsidRDefault="00440A6E" w:rsidP="00440A6E">
            <w:pPr>
              <w:tabs>
                <w:tab w:val="left" w:pos="17505"/>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Javni radovi</w:t>
            </w:r>
          </w:p>
        </w:tc>
        <w:tc>
          <w:tcPr>
            <w:tcW w:w="2168"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13.892,67</w:t>
            </w:r>
          </w:p>
        </w:tc>
      </w:tr>
      <w:tr w:rsidR="00440A6E" w:rsidRPr="00440A6E" w:rsidTr="00F57898">
        <w:trPr>
          <w:trHeight w:val="285"/>
        </w:trPr>
        <w:tc>
          <w:tcPr>
            <w:tcW w:w="993"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w:t>
            </w:r>
          </w:p>
        </w:tc>
        <w:tc>
          <w:tcPr>
            <w:tcW w:w="5811" w:type="dxa"/>
          </w:tcPr>
          <w:p w:rsidR="00440A6E" w:rsidRPr="00440A6E" w:rsidRDefault="00440A6E" w:rsidP="00440A6E">
            <w:pPr>
              <w:tabs>
                <w:tab w:val="left" w:pos="19275"/>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Sufinanciranje Crvenog Križa</w:t>
            </w:r>
          </w:p>
        </w:tc>
        <w:tc>
          <w:tcPr>
            <w:tcW w:w="2168"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4.200,00 </w:t>
            </w:r>
          </w:p>
        </w:tc>
      </w:tr>
      <w:tr w:rsidR="00440A6E" w:rsidRPr="00440A6E" w:rsidTr="00F57898">
        <w:trPr>
          <w:trHeight w:val="286"/>
        </w:trPr>
        <w:tc>
          <w:tcPr>
            <w:tcW w:w="993"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4.</w:t>
            </w:r>
          </w:p>
        </w:tc>
        <w:tc>
          <w:tcPr>
            <w:tcW w:w="5811" w:type="dxa"/>
          </w:tcPr>
          <w:p w:rsidR="00440A6E" w:rsidRPr="00440A6E" w:rsidRDefault="00440A6E" w:rsidP="00440A6E">
            <w:pPr>
              <w:tabs>
                <w:tab w:val="left" w:pos="19275"/>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Pomoć za stambeno zbrinjavanje mladih obitelji</w:t>
            </w:r>
          </w:p>
        </w:tc>
        <w:tc>
          <w:tcPr>
            <w:tcW w:w="2168"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color w:val="000000"/>
                <w:sz w:val="24"/>
                <w:szCs w:val="24"/>
                <w:lang w:eastAsia="ar-SA"/>
              </w:rPr>
            </w:pPr>
            <w:r w:rsidRPr="00440A6E">
              <w:rPr>
                <w:rFonts w:ascii="Times New Roman" w:eastAsia="Times New Roman" w:hAnsi="Times New Roman" w:cs="Times New Roman"/>
                <w:color w:val="000000"/>
                <w:sz w:val="24"/>
                <w:szCs w:val="24"/>
                <w:lang w:eastAsia="ar-SA"/>
              </w:rPr>
              <w:t>17.330,00</w:t>
            </w:r>
          </w:p>
        </w:tc>
      </w:tr>
      <w:tr w:rsidR="00440A6E" w:rsidRPr="00440A6E" w:rsidTr="00F57898">
        <w:trPr>
          <w:trHeight w:val="61"/>
        </w:trPr>
        <w:tc>
          <w:tcPr>
            <w:tcW w:w="6804" w:type="dxa"/>
            <w:gridSpan w:val="2"/>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b/>
                <w:color w:val="000000"/>
                <w:sz w:val="24"/>
                <w:szCs w:val="24"/>
                <w:lang w:eastAsia="ar-SA"/>
              </w:rPr>
            </w:pPr>
            <w:r w:rsidRPr="00440A6E">
              <w:rPr>
                <w:rFonts w:ascii="Times New Roman" w:eastAsia="Times New Roman" w:hAnsi="Times New Roman" w:cs="Times New Roman"/>
                <w:b/>
                <w:color w:val="000000"/>
                <w:sz w:val="24"/>
                <w:szCs w:val="24"/>
                <w:lang w:eastAsia="ar-SA"/>
              </w:rPr>
              <w:t>Ukupno:</w:t>
            </w:r>
          </w:p>
        </w:tc>
        <w:tc>
          <w:tcPr>
            <w:tcW w:w="2168" w:type="dxa"/>
          </w:tcPr>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b/>
                <w:color w:val="000000"/>
                <w:sz w:val="24"/>
                <w:szCs w:val="24"/>
                <w:lang w:eastAsia="ar-SA"/>
              </w:rPr>
            </w:pPr>
            <w:r w:rsidRPr="00440A6E">
              <w:rPr>
                <w:rFonts w:ascii="Times New Roman" w:eastAsia="Times New Roman" w:hAnsi="Times New Roman" w:cs="Times New Roman"/>
                <w:b/>
                <w:color w:val="000000"/>
                <w:sz w:val="24"/>
                <w:szCs w:val="24"/>
                <w:lang w:eastAsia="ar-SA"/>
              </w:rPr>
              <w:t>40.422,67</w:t>
            </w:r>
          </w:p>
        </w:tc>
      </w:tr>
    </w:tbl>
    <w:p w:rsidR="00440A6E" w:rsidRPr="00440A6E" w:rsidRDefault="00440A6E" w:rsidP="00440A6E">
      <w:pPr>
        <w:tabs>
          <w:tab w:val="left" w:pos="19275"/>
        </w:tabs>
        <w:suppressAutoHyphens/>
        <w:spacing w:after="0" w:line="240" w:lineRule="auto"/>
        <w:ind w:left="1065"/>
        <w:rPr>
          <w:rFonts w:ascii="Times New Roman" w:eastAsia="Times New Roman" w:hAnsi="Times New Roman" w:cs="Times New Roman"/>
          <w:sz w:val="24"/>
          <w:szCs w:val="24"/>
          <w:lang w:eastAsia="ar-SA"/>
        </w:rPr>
      </w:pPr>
    </w:p>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b/>
          <w:bCs/>
          <w:sz w:val="24"/>
          <w:szCs w:val="24"/>
          <w:lang w:eastAsia="ar-SA"/>
        </w:rPr>
      </w:pPr>
    </w:p>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lastRenderedPageBreak/>
        <w:t>Članak 3.</w:t>
      </w:r>
    </w:p>
    <w:p w:rsidR="00440A6E" w:rsidRPr="00440A6E" w:rsidRDefault="00440A6E" w:rsidP="00440A6E">
      <w:pPr>
        <w:tabs>
          <w:tab w:val="left" w:pos="19275"/>
        </w:tabs>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Pravo na dodjelu pomoći iz ovog Programa ostvaruje se podnošenjem pismene zamolbe Jedinstvenom upravnom odjelu Općine Gornji Bogićevci. Raspored sredstava iz ovog Programa vršit će se temeljem odluke Općinskog načelnika, ugovora ili rješenja Jedinstvenog upravnog odjela o priznavanju prava iz socijalne skrbi.</w:t>
      </w: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ind w:left="1080" w:hanging="360"/>
        <w:jc w:val="both"/>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b/>
          <w:bCs/>
          <w:sz w:val="24"/>
          <w:szCs w:val="24"/>
          <w:lang w:eastAsia="ar-SA"/>
        </w:rPr>
        <w:t>Članak 4.</w:t>
      </w: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Ovaj Program stupa na snagu osmi dan od dana objave u  „Službenom glasniku Općine Gornji Bogićevci“.</w:t>
      </w: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eastAsia="ar-SA"/>
        </w:rPr>
      </w:pPr>
      <w:r w:rsidRPr="00440A6E">
        <w:rPr>
          <w:rFonts w:ascii="Times New Roman" w:eastAsia="Times New Roman" w:hAnsi="Times New Roman" w:cs="Times New Roman"/>
          <w:b/>
          <w:i/>
          <w:sz w:val="24"/>
          <w:szCs w:val="24"/>
          <w:lang w:eastAsia="ar-SA"/>
        </w:rPr>
        <w:t xml:space="preserve">                                  </w:t>
      </w:r>
      <w:r w:rsidRPr="00440A6E">
        <w:rPr>
          <w:rFonts w:ascii="Times New Roman" w:eastAsia="Times New Roman" w:hAnsi="Times New Roman" w:cs="Times New Roman"/>
          <w:b/>
          <w:iCs/>
          <w:sz w:val="24"/>
          <w:szCs w:val="24"/>
          <w:lang w:eastAsia="ar-SA"/>
        </w:rPr>
        <w:t>OPĆINSKO VIJEĆE</w:t>
      </w:r>
      <w:r w:rsidRPr="00440A6E">
        <w:rPr>
          <w:rFonts w:ascii="Times New Roman" w:eastAsia="Times New Roman" w:hAnsi="Times New Roman" w:cs="Times New Roman"/>
          <w:b/>
          <w:i/>
          <w:sz w:val="24"/>
          <w:szCs w:val="24"/>
          <w:lang w:eastAsia="ar-SA"/>
        </w:rPr>
        <w:t xml:space="preserve">  </w:t>
      </w:r>
      <w:r w:rsidRPr="00440A6E">
        <w:rPr>
          <w:rFonts w:ascii="Times New Roman" w:eastAsia="Times New Roman" w:hAnsi="Times New Roman" w:cs="Times New Roman"/>
          <w:b/>
          <w:iCs/>
          <w:sz w:val="24"/>
          <w:szCs w:val="24"/>
          <w:lang w:eastAsia="ar-SA"/>
        </w:rPr>
        <w:t>OPĆINE GORNJI BOGIĆEVCI</w:t>
      </w: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KLASA: 400-05-25-01-01</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URBROJ: 2178-22-03-25-15</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Gornji Bogićevci, 22. prosinca 2025. godine</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PREDSJEDNIK OPĆINSKOG VIJEĆA</w:t>
      </w:r>
    </w:p>
    <w:p w:rsidR="00440A6E" w:rsidRPr="00440A6E" w:rsidRDefault="00440A6E" w:rsidP="00440A6E">
      <w:pPr>
        <w:suppressAutoHyphens/>
        <w:spacing w:after="0" w:line="240" w:lineRule="auto"/>
        <w:ind w:left="4956" w:firstLine="708"/>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Željko Klarić</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Dostaviti:</w:t>
      </w:r>
    </w:p>
    <w:p w:rsidR="00440A6E" w:rsidRPr="00440A6E" w:rsidRDefault="00440A6E" w:rsidP="00A66748">
      <w:pPr>
        <w:numPr>
          <w:ilvl w:val="0"/>
          <w:numId w:val="21"/>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Jedinstveni upravni odjel</w:t>
      </w:r>
    </w:p>
    <w:p w:rsidR="00440A6E" w:rsidRPr="00440A6E" w:rsidRDefault="00440A6E" w:rsidP="00A66748">
      <w:pPr>
        <w:numPr>
          <w:ilvl w:val="0"/>
          <w:numId w:val="21"/>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Službeni glasnik Općine Gornji Bogićevci</w:t>
      </w:r>
    </w:p>
    <w:p w:rsidR="00440A6E" w:rsidRPr="00440A6E" w:rsidRDefault="00440A6E" w:rsidP="00A66748">
      <w:pPr>
        <w:numPr>
          <w:ilvl w:val="0"/>
          <w:numId w:val="21"/>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Pismohrana.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0"/>
          <w:szCs w:val="24"/>
          <w:lang w:eastAsia="ar-SA"/>
        </w:rPr>
      </w:pPr>
      <w:r w:rsidRPr="00440A6E">
        <w:rPr>
          <w:rFonts w:ascii="Times New Roman" w:eastAsia="Times New Roman" w:hAnsi="Times New Roman" w:cs="Times New Roman"/>
          <w:sz w:val="20"/>
          <w:szCs w:val="24"/>
          <w:lang w:eastAsia="ar-SA"/>
        </w:rPr>
        <w:t xml:space="preserve">                  </w:t>
      </w:r>
      <w:r w:rsidRPr="00440A6E">
        <w:rPr>
          <w:rFonts w:ascii="Times New Roman" w:eastAsia="Times New Roman" w:hAnsi="Times New Roman" w:cs="Times New Roman"/>
          <w:noProof/>
          <w:sz w:val="20"/>
          <w:szCs w:val="24"/>
          <w:lang w:eastAsia="hr-HR"/>
        </w:rPr>
        <w:drawing>
          <wp:inline distT="0" distB="0" distL="0" distR="0">
            <wp:extent cx="485775" cy="647700"/>
            <wp:effectExtent l="0" t="0" r="0" b="0"/>
            <wp:docPr id="1352631367"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0"/>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REPUBLIKA HRVATSKA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BRODSKO-POSAVSKA ŽUPANIJA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OPĆINA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OPĆINSKO VIJEĆE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 xml:space="preserve">Trg hrvatskih branitelja 1, </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35429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OIB: 89414039518</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Tel: 035/375-056</w:t>
      </w:r>
    </w:p>
    <w:p w:rsidR="00440A6E" w:rsidRPr="00440A6E" w:rsidRDefault="00440A6E" w:rsidP="00440A6E">
      <w:pPr>
        <w:suppressAutoHyphens/>
        <w:spacing w:after="0" w:line="240" w:lineRule="auto"/>
        <w:rPr>
          <w:rFonts w:ascii="Times New Roman" w:eastAsia="Times New Roman" w:hAnsi="Times New Roman" w:cs="Times New Roman"/>
          <w:sz w:val="24"/>
          <w:szCs w:val="20"/>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val="en-GB" w:eastAsia="ar-SA"/>
        </w:rPr>
        <w:tab/>
        <w:t xml:space="preserve">Na temelju članka 25.stavak 6, 7 i 8 i članka 49. stavak 4 Zakona o poljoprivrednom zemljištu („Narodne novine“ broj 20/18, 115/18, 98/19 i 57/22) i  </w:t>
      </w:r>
      <w:r w:rsidRPr="00440A6E">
        <w:rPr>
          <w:rFonts w:ascii="Times New Roman" w:eastAsia="Times New Roman" w:hAnsi="Times New Roman" w:cs="Times New Roman"/>
          <w:sz w:val="24"/>
          <w:szCs w:val="20"/>
          <w:lang w:eastAsia="ar-SA"/>
        </w:rPr>
        <w:t xml:space="preserve">te članka 39. stavak 5 Statuta </w:t>
      </w:r>
      <w:r w:rsidRPr="00440A6E">
        <w:rPr>
          <w:rFonts w:ascii="Times New Roman" w:eastAsia="Times New Roman" w:hAnsi="Times New Roman" w:cs="Times New Roman"/>
          <w:sz w:val="24"/>
          <w:szCs w:val="20"/>
          <w:lang w:eastAsia="ar-SA"/>
        </w:rPr>
        <w:lastRenderedPageBreak/>
        <w:t>općine Gornji Bogićevci („Službeni glasnik Općine Gornji Bogićevci“, broj 02/21, Općinsko vijeće općine Gornji Bogićevci na svojoj 5. sjednici održanoj 22. prosinca 2025. godine, donosi</w:t>
      </w:r>
    </w:p>
    <w:p w:rsidR="00440A6E" w:rsidRPr="00440A6E" w:rsidRDefault="00440A6E" w:rsidP="00440A6E">
      <w:pPr>
        <w:suppressAutoHyphens/>
        <w:spacing w:after="0" w:line="240" w:lineRule="auto"/>
        <w:rPr>
          <w:rFonts w:ascii="Times New Roman" w:eastAsia="Times New Roman" w:hAnsi="Times New Roman" w:cs="Times New Roman"/>
          <w:sz w:val="24"/>
          <w:szCs w:val="20"/>
          <w:lang w:val="en-GB"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color w:val="000000"/>
          <w:sz w:val="24"/>
          <w:szCs w:val="24"/>
          <w:lang w:val="en-GB" w:eastAsia="ar-SA"/>
        </w:rPr>
      </w:pPr>
      <w:r w:rsidRPr="00440A6E">
        <w:rPr>
          <w:rFonts w:ascii="Times New Roman" w:eastAsia="Times New Roman" w:hAnsi="Times New Roman" w:cs="Times New Roman"/>
          <w:b/>
          <w:bCs/>
          <w:color w:val="000000"/>
          <w:sz w:val="24"/>
          <w:szCs w:val="24"/>
          <w:lang w:val="en-GB" w:eastAsia="ar-SA"/>
        </w:rPr>
        <w:t>PROGRAM KORIŠTENJA SREDSTAVA OD RASPOLAGANJA POLJOPRIVREDNIM ZEMLJIŠTEM U VLASNIŠTVU REPUBLIKE HRVATSKE NA PODRUČJU OPĆINE GORNJI BOGIĆEVCI ZA 2025. GODINU</w:t>
      </w:r>
    </w:p>
    <w:p w:rsidR="00440A6E" w:rsidRPr="00440A6E" w:rsidRDefault="00440A6E" w:rsidP="00440A6E">
      <w:pPr>
        <w:keepNext/>
        <w:suppressAutoHyphens/>
        <w:spacing w:after="0" w:line="240" w:lineRule="auto"/>
        <w:jc w:val="both"/>
        <w:outlineLvl w:val="0"/>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b/>
          <w:bCs/>
          <w:sz w:val="24"/>
          <w:szCs w:val="20"/>
          <w:lang w:eastAsia="ar-SA"/>
        </w:rPr>
        <w:t>Članak 1</w:t>
      </w:r>
      <w:r w:rsidRPr="00440A6E">
        <w:rPr>
          <w:rFonts w:ascii="Times New Roman" w:eastAsia="Times New Roman" w:hAnsi="Times New Roman" w:cs="Times New Roman"/>
          <w:sz w:val="24"/>
          <w:szCs w:val="20"/>
          <w:lang w:eastAsia="ar-SA"/>
        </w:rPr>
        <w:t>.</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rPr>
          <w:rFonts w:ascii="Times New Roman" w:eastAsia="Times New Roman" w:hAnsi="Times New Roman" w:cs="Times New Roman"/>
          <w:color w:val="000000"/>
          <w:sz w:val="24"/>
          <w:szCs w:val="24"/>
          <w:lang w:val="en-GB" w:eastAsia="ar-SA"/>
        </w:rPr>
      </w:pPr>
      <w:r w:rsidRPr="00440A6E">
        <w:rPr>
          <w:rFonts w:ascii="Times New Roman" w:eastAsia="Times New Roman" w:hAnsi="Times New Roman" w:cs="Times New Roman"/>
          <w:sz w:val="24"/>
          <w:szCs w:val="20"/>
          <w:lang w:eastAsia="ar-SA"/>
        </w:rPr>
        <w:tab/>
        <w:t xml:space="preserve">Ovim Programom </w:t>
      </w:r>
      <w:bookmarkStart w:id="14" w:name="_Hlk59625351"/>
      <w:r w:rsidRPr="00440A6E">
        <w:rPr>
          <w:rFonts w:ascii="Times New Roman" w:eastAsia="Times New Roman" w:hAnsi="Times New Roman" w:cs="Times New Roman"/>
          <w:sz w:val="24"/>
          <w:szCs w:val="20"/>
          <w:lang w:eastAsia="ar-SA"/>
        </w:rPr>
        <w:t>korištenja sredstava ostvarenih od</w:t>
      </w:r>
      <w:bookmarkEnd w:id="14"/>
      <w:r w:rsidRPr="00440A6E">
        <w:rPr>
          <w:rFonts w:ascii="Times New Roman" w:eastAsia="Times New Roman" w:hAnsi="Times New Roman" w:cs="Times New Roman"/>
          <w:color w:val="000000"/>
          <w:sz w:val="24"/>
          <w:szCs w:val="24"/>
          <w:lang w:val="en-GB" w:eastAsia="ar-SA"/>
        </w:rPr>
        <w:t xml:space="preserve"> raspolaganja poljoprivrednim zemljištem u vlasništvu Republike Hrvatske propisuje se korištenje sredstava iz Proračuna Općine Gornji Bogićevci za 2025. godinu za financiranje troškova vezano uz provedbu Zakona o poljoprivrednom zemljištu.</w:t>
      </w:r>
    </w:p>
    <w:p w:rsidR="00440A6E" w:rsidRPr="00440A6E" w:rsidRDefault="00440A6E" w:rsidP="00440A6E">
      <w:pPr>
        <w:suppressAutoHyphens/>
        <w:spacing w:after="0" w:line="240" w:lineRule="auto"/>
        <w:rPr>
          <w:rFonts w:ascii="Times New Roman" w:eastAsia="Times New Roman" w:hAnsi="Times New Roman" w:cs="Times New Roman"/>
          <w:color w:val="000000"/>
          <w:sz w:val="24"/>
          <w:szCs w:val="24"/>
          <w:lang w:val="en-GB"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sz w:val="24"/>
          <w:szCs w:val="20"/>
          <w:lang w:eastAsia="ar-SA"/>
        </w:rPr>
        <w:t xml:space="preserve">                                                             </w:t>
      </w:r>
      <w:r w:rsidRPr="00440A6E">
        <w:rPr>
          <w:rFonts w:ascii="Times New Roman" w:eastAsia="Times New Roman" w:hAnsi="Times New Roman" w:cs="Times New Roman"/>
          <w:b/>
          <w:bCs/>
          <w:sz w:val="24"/>
          <w:szCs w:val="20"/>
          <w:lang w:eastAsia="ar-SA"/>
        </w:rPr>
        <w:t>Članak 2.</w:t>
      </w:r>
    </w:p>
    <w:p w:rsidR="00440A6E" w:rsidRPr="00440A6E" w:rsidRDefault="00440A6E" w:rsidP="00440A6E">
      <w:pPr>
        <w:suppressAutoHyphens/>
        <w:spacing w:after="0" w:line="240" w:lineRule="auto"/>
        <w:rPr>
          <w:rFonts w:ascii="Times New Roman" w:eastAsia="Times New Roman" w:hAnsi="Times New Roman" w:cs="Times New Roman"/>
          <w:color w:val="000000"/>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color w:val="000000"/>
          <w:sz w:val="24"/>
          <w:szCs w:val="24"/>
          <w:lang w:val="en-GB" w:eastAsia="ar-SA"/>
        </w:rPr>
      </w:pPr>
      <w:r w:rsidRPr="00440A6E">
        <w:rPr>
          <w:rFonts w:ascii="Times New Roman" w:eastAsia="Times New Roman" w:hAnsi="Times New Roman" w:cs="Times New Roman"/>
          <w:color w:val="000000"/>
          <w:sz w:val="24"/>
          <w:szCs w:val="24"/>
          <w:lang w:val="en-GB" w:eastAsia="ar-SA"/>
        </w:rPr>
        <w:t xml:space="preserve">     U Proračunu Općine Gornji Bogićevci u 2025. godini planirani prihod iznosi </w:t>
      </w:r>
      <w:r w:rsidRPr="00440A6E">
        <w:rPr>
          <w:rFonts w:ascii="Times New Roman" w:eastAsia="Times New Roman" w:hAnsi="Times New Roman" w:cs="Times New Roman"/>
          <w:b/>
          <w:bCs/>
          <w:color w:val="000000"/>
          <w:sz w:val="24"/>
          <w:szCs w:val="24"/>
          <w:lang w:eastAsia="ar-SA"/>
        </w:rPr>
        <w:t>2</w:t>
      </w:r>
      <w:r w:rsidRPr="00440A6E">
        <w:rPr>
          <w:rFonts w:ascii="Times New Roman" w:eastAsia="Times New Roman" w:hAnsi="Times New Roman" w:cs="Times New Roman"/>
          <w:b/>
          <w:bCs/>
          <w:sz w:val="24"/>
          <w:szCs w:val="24"/>
          <w:lang w:val="en-GB" w:eastAsia="ar-SA"/>
        </w:rPr>
        <w:t>.000,00</w:t>
      </w:r>
      <w:r w:rsidRPr="00440A6E">
        <w:rPr>
          <w:rFonts w:ascii="Times New Roman" w:eastAsia="Times New Roman" w:hAnsi="Times New Roman" w:cs="Times New Roman"/>
          <w:color w:val="000000"/>
          <w:sz w:val="24"/>
          <w:szCs w:val="24"/>
          <w:lang w:val="en-GB" w:eastAsia="ar-SA"/>
        </w:rPr>
        <w:t xml:space="preserve"> eura:</w:t>
      </w:r>
    </w:p>
    <w:p w:rsidR="00440A6E" w:rsidRPr="00440A6E" w:rsidRDefault="00440A6E" w:rsidP="00440A6E">
      <w:pPr>
        <w:suppressAutoHyphens/>
        <w:spacing w:after="0" w:line="240" w:lineRule="auto"/>
        <w:rPr>
          <w:rFonts w:ascii="Times New Roman" w:eastAsia="Times New Roman" w:hAnsi="Times New Roman" w:cs="Times New Roman"/>
          <w:color w:val="000000"/>
          <w:sz w:val="24"/>
          <w:szCs w:val="24"/>
          <w:lang w:val="en-GB" w:eastAsia="ar-SA"/>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5438"/>
        <w:gridCol w:w="2691"/>
      </w:tblGrid>
      <w:tr w:rsidR="00440A6E" w:rsidRPr="00440A6E" w:rsidTr="00F57898">
        <w:trPr>
          <w:trHeight w:val="348"/>
        </w:trPr>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VRSTA PRIHODA</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PLANIRANI PRIHOD (EUR)</w:t>
            </w:r>
          </w:p>
        </w:tc>
      </w:tr>
      <w:tr w:rsidR="00440A6E" w:rsidRPr="00440A6E" w:rsidTr="00F57898">
        <w:trPr>
          <w:trHeight w:val="348"/>
        </w:trPr>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1.</w:t>
            </w: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Prihod od zakupa  i privremenog korištenja poljoprivrednog zemljišta</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2.000,00</w:t>
            </w:r>
          </w:p>
        </w:tc>
      </w:tr>
      <w:tr w:rsidR="00440A6E" w:rsidRPr="00440A6E" w:rsidTr="00F57898">
        <w:trPr>
          <w:trHeight w:val="348"/>
        </w:trPr>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UKUPNO</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2.000,00</w:t>
            </w:r>
          </w:p>
        </w:tc>
      </w:tr>
    </w:tbl>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 xml:space="preserve">                                                             Članak 3.</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Ostvarena sredstva iz članka 2. ovog Programa namjenski će se koristiti za:</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
        <w:gridCol w:w="6706"/>
        <w:gridCol w:w="2752"/>
      </w:tblGrid>
      <w:tr w:rsidR="00440A6E" w:rsidRPr="00440A6E" w:rsidTr="00F57898">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bookmarkStart w:id="15" w:name="_Hlk58405820"/>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VRSTA RASHODA (prema namjeni)</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PLANIRANI PRIHOD (EUR)</w:t>
            </w:r>
          </w:p>
        </w:tc>
      </w:tr>
      <w:tr w:rsidR="00440A6E" w:rsidRPr="00440A6E" w:rsidTr="00F57898">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1.</w:t>
            </w: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Uređenje ruralnog prostora izgradnjom i održavanjem ruralne infrastrukture</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0,00</w:t>
            </w:r>
          </w:p>
        </w:tc>
      </w:tr>
      <w:tr w:rsidR="00440A6E" w:rsidRPr="00440A6E" w:rsidTr="00F57898">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2.</w:t>
            </w: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Sufinanciranje LAG-a „Zapadna Slavonija“</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2.000,00</w:t>
            </w:r>
          </w:p>
        </w:tc>
      </w:tr>
      <w:tr w:rsidR="00440A6E" w:rsidRPr="00440A6E" w:rsidTr="00F57898">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3.</w:t>
            </w: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Podmirenje dijela troškova u vezi s provedbom Zakona o poljoprivrednom zemljištu</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0,00</w:t>
            </w:r>
          </w:p>
        </w:tc>
      </w:tr>
      <w:tr w:rsidR="00440A6E" w:rsidRPr="00440A6E" w:rsidTr="00F57898">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4.</w:t>
            </w: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Katastarsko geodetska izmjera i sređivanje zemljišnih knjiga</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0,00</w:t>
            </w:r>
          </w:p>
        </w:tc>
      </w:tr>
      <w:tr w:rsidR="00440A6E" w:rsidRPr="00440A6E" w:rsidTr="00F57898">
        <w:tc>
          <w:tcPr>
            <w:tcW w:w="0" w:type="auto"/>
          </w:tcPr>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tc>
        <w:tc>
          <w:tcPr>
            <w:tcW w:w="0" w:type="auto"/>
          </w:tcPr>
          <w:p w:rsidR="00440A6E" w:rsidRPr="00440A6E" w:rsidRDefault="00440A6E" w:rsidP="00440A6E">
            <w:pPr>
              <w:suppressAutoHyphens/>
              <w:spacing w:after="0" w:line="240" w:lineRule="auto"/>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UKUPNO</w:t>
            </w:r>
          </w:p>
        </w:tc>
        <w:tc>
          <w:tcPr>
            <w:tcW w:w="0" w:type="auto"/>
          </w:tcPr>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2.000,00</w:t>
            </w:r>
          </w:p>
        </w:tc>
      </w:tr>
    </w:tbl>
    <w:bookmarkEnd w:id="15"/>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Članak 4.</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Ukoliko se tijekom godine ukaže potreba za izmjenom iznosa subvencioniranja po mjerama, ovlašćuje se Općinski načelnik na donošenje odluke o preraspodjeli sredstava za subvencioniranje.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Izvješće o  ostvarenju ovog Programa Općinski načelnik dostavlja Općinskom vijeću na razmatranje i usvajanje s Godišnjim izvješćem Proračuna Općine Gornji Bogićevci za 2025. godinu.</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Nakon što Općinsko vijeće Općine Gornji Bogićevci usvoji Program, Izvješće o ostvarenju ovog Programa Općinski načenik će dostaviti nadležnom Ministarstvu do 31. ožujka 2026. godine. </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0"/>
          <w:lang w:eastAsia="ar-SA"/>
        </w:rPr>
      </w:pPr>
      <w:r w:rsidRPr="00440A6E">
        <w:rPr>
          <w:rFonts w:ascii="Times New Roman" w:eastAsia="Times New Roman" w:hAnsi="Times New Roman" w:cs="Times New Roman"/>
          <w:b/>
          <w:bCs/>
          <w:sz w:val="24"/>
          <w:szCs w:val="20"/>
          <w:lang w:eastAsia="ar-SA"/>
        </w:rPr>
        <w:t>Članak 5.</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color w:val="000000"/>
          <w:sz w:val="24"/>
          <w:szCs w:val="24"/>
          <w:lang w:val="en-GB" w:eastAsia="ar-SA"/>
        </w:rPr>
        <w:t xml:space="preserve"> Ovaj Program</w:t>
      </w:r>
      <w:r w:rsidRPr="00440A6E">
        <w:rPr>
          <w:rFonts w:ascii="Times New Roman" w:eastAsia="Times New Roman" w:hAnsi="Times New Roman" w:cs="Times New Roman"/>
          <w:sz w:val="24"/>
          <w:szCs w:val="20"/>
          <w:lang w:eastAsia="ar-SA"/>
        </w:rPr>
        <w:t xml:space="preserve"> </w:t>
      </w:r>
      <w:r w:rsidRPr="00440A6E">
        <w:rPr>
          <w:rFonts w:ascii="Times New Roman" w:eastAsia="Times New Roman" w:hAnsi="Times New Roman" w:cs="Times New Roman"/>
          <w:color w:val="000000"/>
          <w:sz w:val="24"/>
          <w:szCs w:val="24"/>
          <w:lang w:val="en-GB" w:eastAsia="ar-SA"/>
        </w:rPr>
        <w:t>stupa na snagu osmi dan od dana objave u “Službenom glasniku Općine Gornji Bogićevci“.</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val="en-GB" w:eastAsia="ar-SA"/>
        </w:rPr>
      </w:pPr>
      <w:r w:rsidRPr="00440A6E">
        <w:rPr>
          <w:rFonts w:ascii="Times New Roman" w:eastAsia="Times New Roman" w:hAnsi="Times New Roman" w:cs="Times New Roman"/>
          <w:b/>
          <w:i/>
          <w:sz w:val="24"/>
          <w:szCs w:val="24"/>
          <w:lang w:val="en-GB" w:eastAsia="ar-SA"/>
        </w:rPr>
        <w:t xml:space="preserve">                            </w:t>
      </w:r>
      <w:r w:rsidRPr="00440A6E">
        <w:rPr>
          <w:rFonts w:ascii="Times New Roman" w:eastAsia="Times New Roman" w:hAnsi="Times New Roman" w:cs="Times New Roman"/>
          <w:b/>
          <w:iCs/>
          <w:sz w:val="24"/>
          <w:szCs w:val="24"/>
          <w:lang w:val="en-GB" w:eastAsia="ar-SA"/>
        </w:rPr>
        <w:t>OPĆINSKO VIJEĆE</w:t>
      </w:r>
      <w:r w:rsidRPr="00440A6E">
        <w:rPr>
          <w:rFonts w:ascii="Times New Roman" w:eastAsia="Times New Roman" w:hAnsi="Times New Roman" w:cs="Times New Roman"/>
          <w:b/>
          <w:i/>
          <w:sz w:val="24"/>
          <w:szCs w:val="24"/>
          <w:lang w:val="en-GB" w:eastAsia="ar-SA"/>
        </w:rPr>
        <w:t xml:space="preserve">  </w:t>
      </w:r>
      <w:r w:rsidRPr="00440A6E">
        <w:rPr>
          <w:rFonts w:ascii="Times New Roman" w:eastAsia="Times New Roman" w:hAnsi="Times New Roman" w:cs="Times New Roman"/>
          <w:b/>
          <w:iCs/>
          <w:sz w:val="24"/>
          <w:szCs w:val="24"/>
          <w:lang w:val="en-GB" w:eastAsia="ar-SA"/>
        </w:rPr>
        <w:t>OPĆINE GORNJI BOGIĆEVCI</w:t>
      </w: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KLASA: 400-05-25-01-01</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val="en-GB" w:eastAsia="ar-SA"/>
        </w:rPr>
        <w:t>URBROJ: 2178-22-03-25-</w:t>
      </w:r>
      <w:r w:rsidRPr="00440A6E">
        <w:rPr>
          <w:rFonts w:ascii="Times New Roman" w:eastAsia="Times New Roman" w:hAnsi="Times New Roman" w:cs="Times New Roman"/>
          <w:sz w:val="24"/>
          <w:szCs w:val="24"/>
          <w:lang w:eastAsia="ar-SA"/>
        </w:rPr>
        <w:t>16</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val="en-GB" w:eastAsia="ar-SA"/>
        </w:rPr>
      </w:pPr>
      <w:r w:rsidRPr="00440A6E">
        <w:rPr>
          <w:rFonts w:ascii="Times New Roman" w:eastAsia="Times New Roman" w:hAnsi="Times New Roman" w:cs="Times New Roman"/>
          <w:sz w:val="24"/>
          <w:szCs w:val="24"/>
          <w:lang w:val="en-GB" w:eastAsia="ar-SA"/>
        </w:rPr>
        <w:t>Gornji Bogićevci, 2</w:t>
      </w:r>
      <w:r w:rsidRPr="00440A6E">
        <w:rPr>
          <w:rFonts w:ascii="Times New Roman" w:eastAsia="Times New Roman" w:hAnsi="Times New Roman" w:cs="Times New Roman"/>
          <w:sz w:val="24"/>
          <w:szCs w:val="24"/>
          <w:lang w:eastAsia="ar-SA"/>
        </w:rPr>
        <w:t>2</w:t>
      </w:r>
      <w:r w:rsidRPr="00440A6E">
        <w:rPr>
          <w:rFonts w:ascii="Times New Roman" w:eastAsia="Times New Roman" w:hAnsi="Times New Roman" w:cs="Times New Roman"/>
          <w:sz w:val="24"/>
          <w:szCs w:val="24"/>
          <w:lang w:val="en-GB" w:eastAsia="ar-SA"/>
        </w:rPr>
        <w:t xml:space="preserve">. </w:t>
      </w:r>
      <w:r w:rsidRPr="00440A6E">
        <w:rPr>
          <w:rFonts w:ascii="Times New Roman" w:eastAsia="Times New Roman" w:hAnsi="Times New Roman" w:cs="Times New Roman"/>
          <w:sz w:val="24"/>
          <w:szCs w:val="24"/>
          <w:lang w:eastAsia="ar-SA"/>
        </w:rPr>
        <w:t>prosinca</w:t>
      </w:r>
      <w:r w:rsidRPr="00440A6E">
        <w:rPr>
          <w:rFonts w:ascii="Times New Roman" w:eastAsia="Times New Roman" w:hAnsi="Times New Roman" w:cs="Times New Roman"/>
          <w:sz w:val="24"/>
          <w:szCs w:val="24"/>
          <w:lang w:val="en-GB" w:eastAsia="ar-SA"/>
        </w:rPr>
        <w:t xml:space="preserve"> 2025. godine</w:t>
      </w: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 xml:space="preserve">        </w:t>
      </w: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PREDSJEDNIK OPĆINSKOG VIJEĆA</w:t>
      </w:r>
    </w:p>
    <w:p w:rsidR="00440A6E" w:rsidRPr="00440A6E" w:rsidRDefault="00440A6E" w:rsidP="00440A6E">
      <w:pPr>
        <w:suppressAutoHyphens/>
        <w:spacing w:after="0" w:line="240" w:lineRule="auto"/>
        <w:ind w:left="4956" w:firstLine="708"/>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Željko Klarić</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Dostaviti:</w:t>
      </w:r>
    </w:p>
    <w:p w:rsidR="00440A6E" w:rsidRPr="00440A6E" w:rsidRDefault="00440A6E" w:rsidP="00A66748">
      <w:pPr>
        <w:numPr>
          <w:ilvl w:val="0"/>
          <w:numId w:val="22"/>
        </w:numPr>
        <w:suppressAutoHyphens/>
        <w:spacing w:after="0" w:line="240" w:lineRule="auto"/>
        <w:contextualSpacing/>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Jedinstveni upravni odjel</w:t>
      </w:r>
    </w:p>
    <w:p w:rsidR="00440A6E" w:rsidRPr="00440A6E" w:rsidRDefault="00440A6E" w:rsidP="00A66748">
      <w:pPr>
        <w:numPr>
          <w:ilvl w:val="0"/>
          <w:numId w:val="22"/>
        </w:numPr>
        <w:suppressAutoHyphens/>
        <w:spacing w:after="0" w:line="240" w:lineRule="auto"/>
        <w:contextualSpacing/>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Službeni glasnik Općine Gornji Bogićevci</w:t>
      </w:r>
    </w:p>
    <w:p w:rsidR="00440A6E" w:rsidRPr="00440A6E" w:rsidRDefault="00440A6E" w:rsidP="00A66748">
      <w:pPr>
        <w:numPr>
          <w:ilvl w:val="0"/>
          <w:numId w:val="22"/>
        </w:numPr>
        <w:suppressAutoHyphens/>
        <w:spacing w:after="0" w:line="240" w:lineRule="auto"/>
        <w:contextualSpacing/>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Pismohrana.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OBRAZLOŽENJE</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Prema odredbama članaka 27. stavak 2. Zakona o poljoprivrednom zemljištu (”Narodne novine” br. 20/18, 115/18, 98/19 i 57/22) oblici raspolaganja poljoprivrednim zem1jištem u vlasništvu države su zakup, zakup za ribnjake, zakup zajedničkih pašnjaka, zamjena, prodaja, prodaja izravnom pogodbom, davanje na korištenje izravnom pogodbom, razvrgnuće suvlasničke zajednice, osnivanje prava građenja i osnivanje prava služnosti.</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Člankom 49. stavkom 1. Zakona uređen je raspored sredstava od raspolaganja poljoprivrednim zemljištem u vlasništvu države na način da su sredstva ostvarena od zakupa, zakupa za ribnjake, prodaje izravnom pogodbom i davanja na korištenje bez javnog poziva prihod državnog proračuna 25%, 10% proračuna jedinice područne (regionalne) samouprave i 65% proračuna jedinice lokalne samouprave, odnosno Grada Zagreba, na čijem se području poljoprivredno zemljište nalazi.</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Zakon detaljno definira i namjenu korištenja ostvarenih prihoda temeljem raspolaganja državnim poljoprivrednim zemljištem ( katastarsko-geodetske izmjere zemljišta, za podmirenje troškova postupaka koji se vode u svrhu sređivanja imovinskopravnih odnosa i zemljišnih knjiga, za subvencioniranje dijela troškova za sređivanje zemljišnoknjižnog stanja poljoprivrednog zemljišta u privatnom vlasništvu,  za podmirenje dijela stvarnih troškova u vezi s provedbom Zakona, program razminiranja zemljišta, program uređenja ruralnog prostora izgradnjom i održavanjem ruralne infrastrukture vezane za poljoprivredu i akvakulturu, program uređenja zemljišta u postupku komasacije i hidromelioracije, za troškove održavanja sustava za navodnjavanje, program očuvanja ugroženih područja i očuvanja biološke raznolikosti i za program sufinanciranja aktivnosti izrade programa, projekata i ostalih dokumenata neophodnih za provedbu mjera potpore iz Programa </w:t>
      </w:r>
      <w:r w:rsidRPr="00440A6E">
        <w:rPr>
          <w:rFonts w:ascii="Times New Roman" w:eastAsia="Times New Roman" w:hAnsi="Times New Roman" w:cs="Times New Roman"/>
          <w:sz w:val="24"/>
          <w:szCs w:val="20"/>
          <w:lang w:eastAsia="ar-SA"/>
        </w:rPr>
        <w:lastRenderedPageBreak/>
        <w:t>ruralnog razvoja, a čija se izrada ne sufinancira kroz mjere potpore iz toga Programa i druge poticajne mjere za unapređenje poljoprivrede i akvakulture).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Sredstva ostvarena od naknade za promjenu namjene poljoprivrednog zemljišta prihod su državnog proračuna u visini od 70%, i jedinica lokalne samouprave odnosno Grada Zagreba, na čijem se području poljoprivredno zemljište nalazi u visini od 30%. Sredstva koja su prihod jedinica lokalne samouprave namijenjena za okrupnjavanje, navodnjavanje, privođenje funkciji i povećanje vrijednosti poljoprivrednog zemljišta.</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Sredstva ostvarena od naknade za promjenu namjene poljoprivrednog zemljišta koja su prihod jedinica lokalne samouprave namijenjena su isključivo za okrupnjavanje, navodnjavanje, privođenje funkciji i povećanje vrijednosti poljoprivrednog zemljišta.</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Ovim Programom predviđeno je korištenje ostvarenih sredstava za dio navedenih aktivnosti.</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Temeljem Zakona, jedinice lokalne i područne (regionalne) samouprave i Grad Zagreb dužne su donijeti Program utroška sredstava ostvarenih od raspolaganja poljoprivrednim zemljištem u vlasništvu države kao i Program korištenja sredstava ostvarena od naknade za promjenu namjene poljoprivrednog zemljišta.</w:t>
      </w:r>
    </w:p>
    <w:p w:rsidR="00440A6E" w:rsidRPr="00440A6E" w:rsidRDefault="00440A6E" w:rsidP="00440A6E">
      <w:pPr>
        <w:suppressAutoHyphens/>
        <w:spacing w:after="0" w:line="240" w:lineRule="auto"/>
        <w:rPr>
          <w:rFonts w:ascii="Times New Roman" w:eastAsia="Times New Roman" w:hAnsi="Times New Roman" w:cs="Times New Roman"/>
          <w:sz w:val="24"/>
          <w:szCs w:val="20"/>
          <w:lang w:eastAsia="ar-SA"/>
        </w:rPr>
      </w:pPr>
      <w:r w:rsidRPr="00440A6E">
        <w:rPr>
          <w:rFonts w:ascii="Times New Roman" w:eastAsia="Times New Roman" w:hAnsi="Times New Roman" w:cs="Times New Roman"/>
          <w:sz w:val="24"/>
          <w:szCs w:val="20"/>
          <w:lang w:eastAsia="ar-SA"/>
        </w:rPr>
        <w:t xml:space="preserve">     </w:t>
      </w:r>
    </w:p>
    <w:p w:rsidR="00440A6E" w:rsidRDefault="00440A6E" w:rsidP="00440A6E">
      <w:pPr>
        <w:tabs>
          <w:tab w:val="left" w:pos="19320"/>
        </w:tabs>
        <w:suppressAutoHyphens/>
        <w:spacing w:after="0" w:line="240" w:lineRule="auto"/>
        <w:rPr>
          <w:rFonts w:ascii="Times New Roman" w:eastAsia="Times New Roman" w:hAnsi="Times New Roman" w:cs="Times New Roman"/>
          <w:szCs w:val="24"/>
          <w:lang w:eastAsia="ar-SA"/>
        </w:rPr>
      </w:pPr>
    </w:p>
    <w:p w:rsidR="00440A6E" w:rsidRDefault="00440A6E" w:rsidP="00440A6E">
      <w:pPr>
        <w:spacing w:after="0"/>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hr-HR"/>
        </w:rPr>
        <w:drawing>
          <wp:inline distT="0" distB="0" distL="0" distR="0">
            <wp:extent cx="484505" cy="642620"/>
            <wp:effectExtent l="0" t="0" r="0" b="5080"/>
            <wp:docPr id="702170345" name="Slika 70217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440A6E" w:rsidRDefault="00440A6E" w:rsidP="00440A6E">
      <w:pPr>
        <w:spacing w:after="0"/>
        <w:rPr>
          <w:rFonts w:ascii="Times New Roman" w:hAnsi="Times New Roman" w:cs="Times New Roman"/>
          <w:sz w:val="24"/>
          <w:szCs w:val="24"/>
        </w:rPr>
      </w:pP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REPUBLIKA HRVATSKA</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BRODSKO-POSAVSKA ŽUPANIJA</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OPĆINA GORNJI BOGIĆEVCI</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OPĆINSKO VIJEĆE</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440A6E" w:rsidRDefault="00440A6E" w:rsidP="00440A6E">
      <w:pPr>
        <w:spacing w:after="0"/>
        <w:jc w:val="both"/>
        <w:rPr>
          <w:rFonts w:ascii="Times New Roman" w:hAnsi="Times New Roman" w:cs="Times New Roman"/>
          <w:sz w:val="24"/>
          <w:szCs w:val="24"/>
        </w:rPr>
      </w:pPr>
      <w:r>
        <w:rPr>
          <w:rFonts w:ascii="Times New Roman" w:hAnsi="Times New Roman" w:cs="Times New Roman"/>
          <w:sz w:val="24"/>
          <w:szCs w:val="24"/>
        </w:rPr>
        <w:t>35429 Gornji Bogićevci</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OIB: 89414039518</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Tel: 035/375-056</w:t>
      </w:r>
    </w:p>
    <w:p w:rsidR="00440A6E" w:rsidRDefault="00440A6E" w:rsidP="00440A6E">
      <w:pPr>
        <w:spacing w:after="0" w:line="240" w:lineRule="auto"/>
        <w:ind w:firstLine="708"/>
        <w:jc w:val="both"/>
        <w:rPr>
          <w:rFonts w:ascii="Times New Roman" w:eastAsia="Times New Roman" w:hAnsi="Times New Roman" w:cs="Times New Roman"/>
          <w:sz w:val="24"/>
          <w:szCs w:val="24"/>
          <w:lang w:eastAsia="hr-HR"/>
        </w:rPr>
      </w:pPr>
    </w:p>
    <w:p w:rsidR="00440A6E" w:rsidRDefault="00440A6E" w:rsidP="00440A6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 temelju članka 72. stavka 1. Zakona o komunalnom gospodarstvu  („Narodne novine“, broj 68/18, 110/2018 i 32/20), a u vezi s člankom 19. Zakona o lokalnoj i područnoj (regionalnoj) samoupravi („Narodne novine“ broj 33/01, 60/01, 129/05, 109/07, 25/08, 36/09, 36/09, 150/11, 144/12, 19/13, 137/15, 123/17, 98/19, 144/20) i članka 39. stavak 5 Statuta općine Gornji Bogićevci („Službeni glasnik Općine Gornji Bogićevci“, broj 02/21, Općinsko vijeće općine Gornji Bogićevci na svojoj </w:t>
      </w:r>
      <w:r>
        <w:rPr>
          <w:rFonts w:ascii="Times New Roman" w:eastAsia="Times New Roman" w:hAnsi="Times New Roman" w:cs="Times New Roman"/>
          <w:sz w:val="24"/>
          <w:szCs w:val="24"/>
          <w:lang w:val="en-US" w:eastAsia="hr-HR"/>
        </w:rPr>
        <w:t>5</w:t>
      </w:r>
      <w:r>
        <w:rPr>
          <w:rFonts w:ascii="Times New Roman" w:eastAsia="Times New Roman" w:hAnsi="Times New Roman" w:cs="Times New Roman"/>
          <w:sz w:val="24"/>
          <w:szCs w:val="24"/>
          <w:lang w:eastAsia="hr-HR"/>
        </w:rPr>
        <w:t>. sjednici održanoj 2</w:t>
      </w:r>
      <w:r>
        <w:rPr>
          <w:rFonts w:ascii="Times New Roman" w:eastAsia="Times New Roman" w:hAnsi="Times New Roman" w:cs="Times New Roman"/>
          <w:sz w:val="24"/>
          <w:szCs w:val="24"/>
          <w:lang w:val="en-US" w:eastAsia="hr-HR"/>
        </w:rPr>
        <w:t>2</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val="en-US" w:eastAsia="hr-HR"/>
        </w:rPr>
        <w:t>prosinca</w:t>
      </w:r>
      <w:r>
        <w:rPr>
          <w:rFonts w:ascii="Times New Roman" w:eastAsia="Times New Roman" w:hAnsi="Times New Roman" w:cs="Times New Roman"/>
          <w:sz w:val="24"/>
          <w:szCs w:val="24"/>
          <w:lang w:eastAsia="hr-HR"/>
        </w:rPr>
        <w:t xml:space="preserve"> 2025. godine, donosi</w:t>
      </w:r>
    </w:p>
    <w:p w:rsidR="00440A6E" w:rsidRDefault="00440A6E" w:rsidP="00440A6E">
      <w:pPr>
        <w:spacing w:after="0" w:line="240" w:lineRule="auto"/>
        <w:ind w:firstLine="720"/>
        <w:jc w:val="both"/>
        <w:rPr>
          <w:rFonts w:ascii="Times New Roman" w:eastAsia="Times New Roman" w:hAnsi="Times New Roman" w:cs="Times New Roman"/>
          <w:sz w:val="24"/>
          <w:szCs w:val="24"/>
          <w:lang w:eastAsia="hr-HR"/>
        </w:rPr>
      </w:pPr>
    </w:p>
    <w:p w:rsidR="00440A6E" w:rsidRDefault="00440A6E" w:rsidP="00440A6E">
      <w:pPr>
        <w:keepNext/>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PROGRAM</w:t>
      </w:r>
    </w:p>
    <w:p w:rsidR="00440A6E" w:rsidRDefault="00440A6E" w:rsidP="00440A6E">
      <w:pPr>
        <w:keepNext/>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održavanja komunalne infrastrukture za 2025. godinu</w:t>
      </w:r>
    </w:p>
    <w:p w:rsidR="00440A6E" w:rsidRDefault="00440A6E" w:rsidP="00440A6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440A6E" w:rsidRDefault="00440A6E" w:rsidP="00440A6E">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Članak 1.</w:t>
      </w:r>
    </w:p>
    <w:p w:rsidR="00440A6E" w:rsidRDefault="00440A6E" w:rsidP="00440A6E">
      <w:pPr>
        <w:spacing w:after="0" w:line="240" w:lineRule="auto"/>
        <w:rPr>
          <w:rFonts w:ascii="Times New Roman" w:hAnsi="Times New Roman" w:cs="Times New Roman"/>
          <w:b/>
          <w:sz w:val="24"/>
          <w:szCs w:val="24"/>
        </w:rPr>
      </w:pPr>
    </w:p>
    <w:p w:rsidR="00440A6E" w:rsidRDefault="00440A6E" w:rsidP="00440A6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Programom održavanja komunalne infrastrukture za 2025. godinu (u daljnjem tekstu: Program) određuje se održavanje komunalne infrastrukture na području općine Gornji Bogićevci za komunalne djelatnosti:</w:t>
      </w:r>
    </w:p>
    <w:p w:rsidR="00440A6E" w:rsidRDefault="00440A6E" w:rsidP="00440A6E">
      <w:pPr>
        <w:spacing w:after="0" w:line="240" w:lineRule="auto"/>
        <w:jc w:val="both"/>
        <w:rPr>
          <w:rFonts w:ascii="Times New Roman" w:eastAsia="Times New Roman" w:hAnsi="Times New Roman" w:cs="Times New Roman"/>
          <w:sz w:val="24"/>
          <w:szCs w:val="24"/>
          <w:lang w:eastAsia="hr-HR"/>
        </w:rPr>
      </w:pP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nerazvrstanih cesta</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javnih površina na kojima nije dopušten promet vozilima</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građevina javne odvodnje oborinskih voda</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Održavanje javnih zelenih površina</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građevina, uređaja i predmeta javne namjene</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groblja</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čistoće javnih površina</w:t>
      </w:r>
    </w:p>
    <w:p w:rsidR="00440A6E" w:rsidRDefault="00440A6E"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javne rasvjete</w:t>
      </w:r>
    </w:p>
    <w:p w:rsidR="00440A6E" w:rsidRDefault="00440A6E" w:rsidP="00440A6E">
      <w:pPr>
        <w:spacing w:after="0" w:line="240" w:lineRule="auto"/>
        <w:jc w:val="both"/>
        <w:rPr>
          <w:rFonts w:ascii="Times New Roman" w:eastAsia="Times New Roman" w:hAnsi="Times New Roman" w:cs="Times New Roman"/>
          <w:sz w:val="24"/>
          <w:szCs w:val="24"/>
          <w:lang w:eastAsia="hr-HR"/>
        </w:rPr>
      </w:pPr>
    </w:p>
    <w:p w:rsidR="00440A6E" w:rsidRDefault="00440A6E" w:rsidP="00440A6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Ovim Programom utvrđuje se:</w:t>
      </w:r>
    </w:p>
    <w:p w:rsidR="00440A6E" w:rsidRDefault="00440A6E" w:rsidP="00A66748">
      <w:pPr>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opis i opseg poslova održavanja komunalne infrastrukture s procjenom pojedinih troškova po djelatnostima</w:t>
      </w:r>
    </w:p>
    <w:p w:rsidR="00440A6E" w:rsidRDefault="00440A6E" w:rsidP="00A66748">
      <w:pPr>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iskaz financijskih sredstava potrebnih za ostvarivanje programa, s naznakom izvora financiranja.</w:t>
      </w:r>
    </w:p>
    <w:p w:rsidR="00440A6E" w:rsidRDefault="00440A6E" w:rsidP="00440A6E">
      <w:pPr>
        <w:spacing w:after="0" w:line="240" w:lineRule="auto"/>
        <w:ind w:left="360"/>
        <w:jc w:val="both"/>
        <w:rPr>
          <w:rFonts w:ascii="Times New Roman" w:eastAsia="Times New Roman" w:hAnsi="Times New Roman" w:cs="Times New Roman"/>
          <w:sz w:val="24"/>
          <w:szCs w:val="24"/>
          <w:lang w:eastAsia="hr-HR"/>
        </w:rPr>
      </w:pPr>
    </w:p>
    <w:p w:rsidR="00440A6E" w:rsidRDefault="00440A6E" w:rsidP="00440A6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2.</w:t>
      </w:r>
    </w:p>
    <w:p w:rsidR="00440A6E" w:rsidRDefault="00440A6E" w:rsidP="00440A6E">
      <w:pPr>
        <w:spacing w:after="0" w:line="240" w:lineRule="auto"/>
        <w:jc w:val="center"/>
        <w:rPr>
          <w:rFonts w:ascii="Times New Roman" w:eastAsia="Times New Roman" w:hAnsi="Times New Roman" w:cs="Times New Roman"/>
          <w:b/>
          <w:sz w:val="24"/>
          <w:szCs w:val="24"/>
          <w:lang w:eastAsia="hr-HR"/>
        </w:rPr>
      </w:pPr>
    </w:p>
    <w:p w:rsidR="00440A6E" w:rsidRDefault="00440A6E" w:rsidP="00440A6E">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Program izrađuje se i donosi u skladu s predvidivim i raspoloživim sredstvima i izvorima financiranja.</w:t>
      </w:r>
    </w:p>
    <w:p w:rsidR="00440A6E" w:rsidRDefault="00440A6E" w:rsidP="00440A6E">
      <w:pPr>
        <w:spacing w:after="0" w:line="240" w:lineRule="auto"/>
        <w:ind w:firstLine="708"/>
        <w:jc w:val="both"/>
        <w:rPr>
          <w:rFonts w:ascii="Times New Roman" w:eastAsia="Times New Roman" w:hAnsi="Times New Roman" w:cs="Times New Roman"/>
          <w:sz w:val="24"/>
          <w:szCs w:val="24"/>
          <w:lang w:eastAsia="hr-HR"/>
        </w:rPr>
      </w:pPr>
    </w:p>
    <w:p w:rsidR="00440A6E" w:rsidRDefault="00440A6E" w:rsidP="00440A6E">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3.</w:t>
      </w:r>
    </w:p>
    <w:p w:rsidR="00440A6E" w:rsidRDefault="00440A6E" w:rsidP="00440A6E">
      <w:pPr>
        <w:spacing w:after="0" w:line="240" w:lineRule="auto"/>
        <w:jc w:val="center"/>
        <w:rPr>
          <w:rFonts w:ascii="Times New Roman" w:eastAsia="Times New Roman" w:hAnsi="Times New Roman" w:cs="Times New Roman"/>
          <w:b/>
          <w:sz w:val="24"/>
          <w:szCs w:val="24"/>
          <w:lang w:eastAsia="hr-HR"/>
        </w:rPr>
      </w:pPr>
    </w:p>
    <w:p w:rsidR="00440A6E" w:rsidRDefault="00440A6E" w:rsidP="00440A6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U 2025. godini održavanje komunalne infrastrukture iz članka 1. ovog Programa u općini Gornji Bogićevci obuhvaća:</w:t>
      </w:r>
    </w:p>
    <w:p w:rsidR="00440A6E" w:rsidRDefault="00440A6E" w:rsidP="00440A6E">
      <w:pPr>
        <w:spacing w:after="0" w:line="240" w:lineRule="auto"/>
        <w:jc w:val="both"/>
        <w:rPr>
          <w:rFonts w:ascii="Times New Roman" w:eastAsia="Times New Roman" w:hAnsi="Times New Roman" w:cs="Times New Roman"/>
          <w:sz w:val="24"/>
          <w:szCs w:val="24"/>
          <w:lang w:eastAsia="hr-HR"/>
        </w:rPr>
      </w:pPr>
    </w:p>
    <w:tbl>
      <w:tblPr>
        <w:tblStyle w:val="Reetkatablice"/>
        <w:tblW w:w="9635" w:type="dxa"/>
        <w:tblLook w:val="04A0"/>
      </w:tblPr>
      <w:tblGrid>
        <w:gridCol w:w="7650"/>
        <w:gridCol w:w="1985"/>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nerazvrstanih cesta</w:t>
            </w:r>
          </w:p>
          <w:p w:rsidR="00440A6E" w:rsidRDefault="00440A6E" w:rsidP="00F57898">
            <w:pPr>
              <w:spacing w:line="276" w:lineRule="auto"/>
              <w:ind w:left="-108"/>
              <w:rPr>
                <w:rFonts w:ascii="Times New Roman" w:hAnsi="Times New Roman"/>
                <w:i/>
                <w:iCs/>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spacing w:line="276" w:lineRule="auto"/>
              <w:ind w:left="-108"/>
              <w:jc w:val="center"/>
              <w:rPr>
                <w:rFonts w:ascii="Times New Roman" w:hAnsi="Times New Roman"/>
                <w:i/>
                <w:i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after="4" w:line="264" w:lineRule="auto"/>
              <w:ind w:left="-5" w:right="88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Radovi na održavanju nerazvrstanih cesta obuhvaćaju: </w:t>
            </w:r>
          </w:p>
          <w:p w:rsidR="00440A6E" w:rsidRDefault="00440A6E" w:rsidP="00A66748">
            <w:pPr>
              <w:numPr>
                <w:ilvl w:val="0"/>
                <w:numId w:val="26"/>
              </w:numPr>
              <w:spacing w:after="32" w:line="249" w:lineRule="auto"/>
              <w:ind w:right="1124" w:hanging="139"/>
              <w:jc w:val="both"/>
              <w:rPr>
                <w:rFonts w:ascii="Times New Roman" w:hAnsi="Times New Roman"/>
                <w:color w:val="FF0000"/>
                <w:sz w:val="24"/>
                <w:szCs w:val="24"/>
              </w:rPr>
            </w:pPr>
            <w:r>
              <w:rPr>
                <w:rFonts w:ascii="Times New Roman" w:hAnsi="Times New Roman"/>
                <w:bCs/>
                <w:sz w:val="24"/>
                <w:szCs w:val="24"/>
              </w:rPr>
              <w:t xml:space="preserve">saniranje tucanikom makadamskih nerazvrstanih cesta </w:t>
            </w:r>
          </w:p>
          <w:p w:rsidR="00440A6E" w:rsidRDefault="00440A6E" w:rsidP="00A66748">
            <w:pPr>
              <w:numPr>
                <w:ilvl w:val="0"/>
                <w:numId w:val="26"/>
              </w:numPr>
              <w:spacing w:after="32"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 xml:space="preserve">Košenje i tarupiranje javnih površina uz nerazvrstane ceste </w:t>
            </w:r>
          </w:p>
          <w:p w:rsidR="00440A6E" w:rsidRDefault="00440A6E" w:rsidP="00A66748">
            <w:pPr>
              <w:numPr>
                <w:ilvl w:val="0"/>
                <w:numId w:val="26"/>
              </w:numPr>
              <w:ind w:right="1124" w:hanging="139"/>
              <w:jc w:val="both"/>
              <w:rPr>
                <w:rFonts w:ascii="Times New Roman" w:hAnsi="Times New Roman"/>
                <w:color w:val="000000"/>
                <w:sz w:val="24"/>
                <w:szCs w:val="24"/>
              </w:rPr>
            </w:pPr>
            <w:r>
              <w:rPr>
                <w:rFonts w:ascii="Times New Roman" w:hAnsi="Times New Roman"/>
                <w:color w:val="000000"/>
                <w:sz w:val="24"/>
                <w:szCs w:val="24"/>
              </w:rPr>
              <w:t xml:space="preserve">sanacija manjih oštećenja na kolniku nerazvrstanih cesta </w:t>
            </w:r>
          </w:p>
          <w:p w:rsidR="00440A6E" w:rsidRDefault="00440A6E" w:rsidP="00A66748">
            <w:pPr>
              <w:numPr>
                <w:ilvl w:val="0"/>
                <w:numId w:val="26"/>
              </w:numPr>
              <w:spacing w:after="10"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 xml:space="preserve">hitne intervencije na nerazvrstanim cestama i poljskim putevima </w:t>
            </w:r>
          </w:p>
          <w:p w:rsidR="00440A6E" w:rsidRDefault="00440A6E" w:rsidP="00A66748">
            <w:pPr>
              <w:numPr>
                <w:ilvl w:val="0"/>
                <w:numId w:val="26"/>
              </w:numPr>
              <w:spacing w:after="32"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Ravnanje, košenje, krčenje i održavanje prohodnosti i funkcionalnosti poljskih puteva</w:t>
            </w:r>
          </w:p>
          <w:p w:rsidR="00440A6E" w:rsidRDefault="00440A6E" w:rsidP="00A66748">
            <w:pPr>
              <w:numPr>
                <w:ilvl w:val="0"/>
                <w:numId w:val="26"/>
              </w:numPr>
              <w:spacing w:after="32"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Sanacija i nasipanje poljskih puteva</w:t>
            </w:r>
          </w:p>
          <w:p w:rsidR="00440A6E" w:rsidRDefault="00440A6E" w:rsidP="00F57898">
            <w:pPr>
              <w:jc w:val="both"/>
              <w:rPr>
                <w:rFonts w:ascii="Times New Roman" w:hAnsi="Times New Roman"/>
                <w:b/>
                <w:bCs/>
                <w:sz w:val="24"/>
                <w:szCs w:val="24"/>
              </w:rPr>
            </w:pPr>
          </w:p>
          <w:p w:rsidR="00440A6E" w:rsidRDefault="00440A6E" w:rsidP="00F57898">
            <w:pPr>
              <w:jc w:val="both"/>
              <w:rPr>
                <w:rFonts w:ascii="Times New Roman" w:hAnsi="Times New Roman"/>
                <w:b/>
                <w:bCs/>
                <w:sz w:val="24"/>
                <w:szCs w:val="24"/>
              </w:rPr>
            </w:pPr>
            <w:r>
              <w:rPr>
                <w:rFonts w:ascii="Times New Roman" w:hAnsi="Times New Roman"/>
                <w:b/>
                <w:bCs/>
                <w:sz w:val="24"/>
                <w:szCs w:val="24"/>
              </w:rPr>
              <w:t xml:space="preserve">Nerazvrstane ceste i putevi koji se održavaju: </w:t>
            </w:r>
          </w:p>
          <w:p w:rsidR="00440A6E" w:rsidRDefault="00440A6E" w:rsidP="00F57898">
            <w:pPr>
              <w:jc w:val="both"/>
              <w:rPr>
                <w:rFonts w:ascii="Times New Roman" w:hAnsi="Times New Roman"/>
                <w:sz w:val="24"/>
                <w:szCs w:val="24"/>
              </w:rPr>
            </w:pPr>
            <w:r>
              <w:rPr>
                <w:rFonts w:ascii="Times New Roman" w:hAnsi="Times New Roman"/>
                <w:sz w:val="24"/>
                <w:szCs w:val="24"/>
              </w:rPr>
              <w:t>- Održavanje poljskih puteva (cca 5000 metara).</w:t>
            </w:r>
          </w:p>
          <w:p w:rsidR="00440A6E" w:rsidRDefault="00440A6E" w:rsidP="00F57898">
            <w:pPr>
              <w:jc w:val="both"/>
              <w:rPr>
                <w:rFonts w:ascii="Times New Roman" w:hAnsi="Times New Roman"/>
                <w:sz w:val="24"/>
                <w:szCs w:val="24"/>
              </w:rPr>
            </w:pPr>
            <w:r>
              <w:rPr>
                <w:rFonts w:ascii="Times New Roman" w:hAnsi="Times New Roman"/>
                <w:sz w:val="24"/>
                <w:szCs w:val="24"/>
              </w:rPr>
              <w:t>- ulica Podgaj s odvojcima 760</w:t>
            </w:r>
            <w:r>
              <w:rPr>
                <w:rFonts w:ascii="Times New Roman" w:hAnsi="Times New Roman"/>
                <w:color w:val="FF0000"/>
                <w:sz w:val="24"/>
                <w:szCs w:val="24"/>
              </w:rPr>
              <w:t xml:space="preserve"> </w:t>
            </w:r>
            <w:r>
              <w:rPr>
                <w:rFonts w:ascii="Times New Roman" w:hAnsi="Times New Roman"/>
                <w:sz w:val="24"/>
                <w:szCs w:val="24"/>
              </w:rPr>
              <w:t>metara</w:t>
            </w:r>
          </w:p>
          <w:p w:rsidR="00440A6E" w:rsidRDefault="00440A6E" w:rsidP="00F57898">
            <w:pPr>
              <w:jc w:val="both"/>
              <w:rPr>
                <w:rFonts w:ascii="Times New Roman" w:hAnsi="Times New Roman"/>
                <w:sz w:val="24"/>
                <w:szCs w:val="24"/>
              </w:rPr>
            </w:pPr>
            <w:r>
              <w:rPr>
                <w:rFonts w:ascii="Times New Roman" w:hAnsi="Times New Roman"/>
                <w:sz w:val="24"/>
                <w:szCs w:val="24"/>
              </w:rPr>
              <w:t>- ulica Karlovac 550 metara</w:t>
            </w:r>
          </w:p>
          <w:p w:rsidR="00440A6E" w:rsidRDefault="00440A6E" w:rsidP="00F57898">
            <w:pPr>
              <w:jc w:val="both"/>
              <w:rPr>
                <w:rFonts w:ascii="Times New Roman" w:hAnsi="Times New Roman"/>
                <w:sz w:val="24"/>
                <w:szCs w:val="24"/>
              </w:rPr>
            </w:pPr>
            <w:r>
              <w:rPr>
                <w:rFonts w:ascii="Times New Roman" w:hAnsi="Times New Roman"/>
                <w:sz w:val="24"/>
                <w:szCs w:val="24"/>
              </w:rPr>
              <w:t>- ulica Stari kraj 1.000 metara</w:t>
            </w:r>
          </w:p>
          <w:p w:rsidR="00440A6E" w:rsidRDefault="00440A6E" w:rsidP="00F57898">
            <w:pPr>
              <w:jc w:val="both"/>
              <w:rPr>
                <w:rFonts w:ascii="Times New Roman" w:hAnsi="Times New Roman"/>
                <w:sz w:val="24"/>
                <w:szCs w:val="24"/>
              </w:rPr>
            </w:pPr>
            <w:r>
              <w:rPr>
                <w:rFonts w:ascii="Times New Roman" w:hAnsi="Times New Roman"/>
                <w:sz w:val="24"/>
                <w:szCs w:val="24"/>
              </w:rPr>
              <w:t>- ulica Doljnjak 400 metara</w:t>
            </w:r>
          </w:p>
          <w:p w:rsidR="00440A6E" w:rsidRDefault="00440A6E" w:rsidP="00F57898">
            <w:pPr>
              <w:jc w:val="both"/>
              <w:rPr>
                <w:rFonts w:ascii="Times New Roman" w:hAnsi="Times New Roman"/>
                <w:sz w:val="24"/>
                <w:szCs w:val="24"/>
              </w:rPr>
            </w:pPr>
            <w:r>
              <w:rPr>
                <w:rFonts w:ascii="Times New Roman" w:hAnsi="Times New Roman"/>
                <w:sz w:val="24"/>
                <w:szCs w:val="24"/>
              </w:rPr>
              <w:t>- ulica Brezine 2.200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Ratkovac prema Kuljancima 600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Ratkovac, odvojak kod skretanja Širinci 100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Smrtić, odvojak kod društvenog doma 400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Smrtić odvojak s južne strane groblja 200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Smrtić prema groblju, sjeverna strana 250 metara</w:t>
            </w:r>
          </w:p>
          <w:p w:rsidR="00440A6E" w:rsidRDefault="00440A6E" w:rsidP="00F57898">
            <w:pPr>
              <w:jc w:val="both"/>
              <w:rPr>
                <w:rFonts w:ascii="Times New Roman" w:hAnsi="Times New Roman"/>
                <w:sz w:val="24"/>
                <w:szCs w:val="24"/>
              </w:rPr>
            </w:pPr>
            <w:r>
              <w:rPr>
                <w:rFonts w:ascii="Times New Roman" w:hAnsi="Times New Roman"/>
                <w:sz w:val="24"/>
                <w:szCs w:val="24"/>
              </w:rPr>
              <w:t>- cesta Dubovac prema izvoru 1000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Dubovac prema PPK 300 metara</w:t>
            </w:r>
          </w:p>
          <w:p w:rsidR="00440A6E" w:rsidRDefault="00440A6E" w:rsidP="00F57898">
            <w:pPr>
              <w:jc w:val="both"/>
              <w:rPr>
                <w:rFonts w:ascii="Times New Roman" w:hAnsi="Times New Roman"/>
                <w:sz w:val="24"/>
                <w:szCs w:val="24"/>
              </w:rPr>
            </w:pPr>
            <w:r>
              <w:rPr>
                <w:rFonts w:ascii="Times New Roman" w:hAnsi="Times New Roman"/>
                <w:sz w:val="24"/>
                <w:szCs w:val="24"/>
              </w:rPr>
              <w:t>- cesta Dubovac uz željezničku prugu prema Mijatovićima 150 metara</w:t>
            </w:r>
          </w:p>
          <w:p w:rsidR="00440A6E" w:rsidRDefault="00440A6E" w:rsidP="00F57898">
            <w:pPr>
              <w:jc w:val="both"/>
              <w:rPr>
                <w:rFonts w:ascii="Times New Roman" w:hAnsi="Times New Roman"/>
                <w:sz w:val="24"/>
                <w:szCs w:val="24"/>
              </w:rPr>
            </w:pPr>
            <w:r>
              <w:rPr>
                <w:rFonts w:ascii="Times New Roman" w:hAnsi="Times New Roman"/>
                <w:sz w:val="24"/>
                <w:szCs w:val="24"/>
              </w:rPr>
              <w:lastRenderedPageBreak/>
              <w:t>- parkirališta ispred zgrade općinske uprava, u Karlovcu, u Starom kraju, kod groblja (mrtvačnica) Gornji Bogićevci, te centar ispred crkve 1.000 m2</w:t>
            </w:r>
          </w:p>
          <w:p w:rsidR="00440A6E" w:rsidRDefault="00440A6E" w:rsidP="00F57898">
            <w:pPr>
              <w:jc w:val="both"/>
              <w:rPr>
                <w:rFonts w:ascii="Times New Roman" w:hAnsi="Times New Roman"/>
                <w:sz w:val="24"/>
                <w:szCs w:val="24"/>
              </w:rPr>
            </w:pPr>
            <w:r>
              <w:rPr>
                <w:rFonts w:ascii="Times New Roman" w:hAnsi="Times New Roman"/>
                <w:sz w:val="24"/>
                <w:szCs w:val="24"/>
              </w:rPr>
              <w:t>- prilaz groblju u Trnavi 300 m2</w:t>
            </w:r>
          </w:p>
          <w:p w:rsidR="00440A6E" w:rsidRDefault="00440A6E" w:rsidP="00F57898">
            <w:pPr>
              <w:jc w:val="both"/>
              <w:rPr>
                <w:rFonts w:ascii="Times New Roman" w:hAnsi="Times New Roman"/>
                <w:sz w:val="24"/>
                <w:szCs w:val="24"/>
              </w:rPr>
            </w:pPr>
            <w:r>
              <w:rPr>
                <w:rFonts w:ascii="Times New Roman" w:hAnsi="Times New Roman"/>
                <w:sz w:val="24"/>
                <w:szCs w:val="24"/>
              </w:rPr>
              <w:t>- cesta Kosovac prema groblju 400 metara</w:t>
            </w:r>
          </w:p>
          <w:p w:rsidR="00440A6E" w:rsidRDefault="00440A6E" w:rsidP="00F57898">
            <w:pPr>
              <w:jc w:val="both"/>
              <w:rPr>
                <w:rFonts w:ascii="Times New Roman" w:hAnsi="Times New Roman"/>
                <w:sz w:val="24"/>
                <w:szCs w:val="24"/>
              </w:rPr>
            </w:pPr>
            <w:r>
              <w:rPr>
                <w:rFonts w:ascii="Times New Roman" w:hAnsi="Times New Roman"/>
                <w:sz w:val="24"/>
                <w:szCs w:val="24"/>
              </w:rPr>
              <w:t>Održavanje cesta u zimskim uvjetima odvijat će se prema Planu zimske službe.</w:t>
            </w:r>
          </w:p>
          <w:p w:rsidR="00440A6E" w:rsidRDefault="00440A6E" w:rsidP="00F57898">
            <w:pPr>
              <w:jc w:val="both"/>
              <w:rPr>
                <w:rFonts w:ascii="Times New Roman" w:hAnsi="Times New Roman"/>
                <w:sz w:val="24"/>
                <w:szCs w:val="24"/>
              </w:rPr>
            </w:pPr>
          </w:p>
          <w:p w:rsidR="00440A6E" w:rsidRDefault="00440A6E" w:rsidP="00F57898">
            <w:pPr>
              <w:jc w:val="both"/>
              <w:rPr>
                <w:rFonts w:ascii="Times New Roman" w:hAnsi="Times New Roman"/>
                <w:i/>
                <w:i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p w:rsidR="00440A6E" w:rsidRDefault="00440A6E" w:rsidP="00F57898">
            <w:pPr>
              <w:jc w:val="right"/>
              <w:rPr>
                <w:rFonts w:ascii="Times New Roman" w:hAnsi="Times New Roman"/>
                <w:b/>
                <w:bCs/>
                <w:sz w:val="24"/>
                <w:szCs w:val="24"/>
              </w:rPr>
            </w:pPr>
            <w:r>
              <w:rPr>
                <w:rFonts w:ascii="Times New Roman" w:hAnsi="Times New Roman"/>
                <w:b/>
                <w:bCs/>
                <w:sz w:val="24"/>
                <w:szCs w:val="24"/>
                <w:lang w:val="hr-HR"/>
              </w:rPr>
              <w:t>57</w:t>
            </w:r>
            <w:r>
              <w:rPr>
                <w:rFonts w:ascii="Times New Roman" w:hAnsi="Times New Roman"/>
                <w:b/>
                <w:bCs/>
                <w:sz w:val="24"/>
                <w:szCs w:val="24"/>
              </w:rPr>
              <w:t>.</w:t>
            </w:r>
            <w:r>
              <w:rPr>
                <w:rFonts w:ascii="Times New Roman" w:hAnsi="Times New Roman"/>
                <w:b/>
                <w:bCs/>
                <w:sz w:val="24"/>
                <w:szCs w:val="24"/>
                <w:lang w:val="hr-HR"/>
              </w:rPr>
              <w:t>692</w:t>
            </w:r>
            <w:r>
              <w:rPr>
                <w:rFonts w:ascii="Times New Roman" w:hAnsi="Times New Roman"/>
                <w:b/>
                <w:bCs/>
                <w:sz w:val="24"/>
                <w:szCs w:val="24"/>
              </w:rPr>
              <w:t>,</w:t>
            </w:r>
            <w:r>
              <w:rPr>
                <w:rFonts w:ascii="Times New Roman" w:hAnsi="Times New Roman"/>
                <w:b/>
                <w:bCs/>
                <w:sz w:val="24"/>
                <w:szCs w:val="24"/>
                <w:lang w:val="hr-HR"/>
              </w:rPr>
              <w:t>1</w:t>
            </w:r>
            <w:r>
              <w:rPr>
                <w:rFonts w:ascii="Times New Roman" w:hAnsi="Times New Roman"/>
                <w:b/>
                <w:bCs/>
                <w:sz w:val="24"/>
                <w:szCs w:val="24"/>
              </w:rPr>
              <w:t>0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440A6E" w:rsidRDefault="00440A6E" w:rsidP="00F57898">
            <w:pPr>
              <w:jc w:val="both"/>
              <w:rPr>
                <w:rFonts w:ascii="Times New Roman" w:hAnsi="Times New Roman"/>
                <w:b/>
                <w:bCs/>
                <w:sz w:val="24"/>
                <w:szCs w:val="24"/>
              </w:rPr>
            </w:pPr>
            <w:r>
              <w:rPr>
                <w:rFonts w:ascii="Times New Roman" w:hAnsi="Times New Roman"/>
                <w:b/>
                <w:bCs/>
                <w:sz w:val="24"/>
                <w:szCs w:val="24"/>
              </w:rPr>
              <w:lastRenderedPageBreak/>
              <w:t>UKUPNO:</w:t>
            </w: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440A6E" w:rsidRDefault="00440A6E" w:rsidP="00F57898">
            <w:pPr>
              <w:jc w:val="right"/>
              <w:rPr>
                <w:rFonts w:ascii="Times New Roman" w:hAnsi="Times New Roman"/>
                <w:b/>
                <w:bCs/>
                <w:sz w:val="24"/>
                <w:szCs w:val="24"/>
              </w:rPr>
            </w:pPr>
            <w:r>
              <w:rPr>
                <w:rFonts w:ascii="Times New Roman" w:hAnsi="Times New Roman"/>
                <w:b/>
                <w:bCs/>
                <w:sz w:val="24"/>
                <w:szCs w:val="24"/>
                <w:lang w:val="hr-HR"/>
              </w:rPr>
              <w:t>57.692,10</w:t>
            </w:r>
            <w:r>
              <w:rPr>
                <w:rFonts w:ascii="Times New Roman" w:hAnsi="Times New Roman"/>
                <w:b/>
                <w:bCs/>
                <w:sz w:val="24"/>
                <w:szCs w:val="24"/>
              </w:rPr>
              <w:t xml:space="preserve">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jc w:val="both"/>
              <w:rPr>
                <w:rFonts w:ascii="Times New Roman" w:hAnsi="Times New Roman"/>
                <w:b/>
                <w:bCs/>
                <w:sz w:val="24"/>
                <w:szCs w:val="24"/>
              </w:rPr>
            </w:pPr>
            <w:r>
              <w:rPr>
                <w:rFonts w:ascii="Times New Roman" w:hAnsi="Times New Roman"/>
                <w:b/>
                <w:bCs/>
                <w:sz w:val="24"/>
                <w:szCs w:val="24"/>
              </w:rPr>
              <w:t>Izvori financiranja</w:t>
            </w:r>
          </w:p>
          <w:p w:rsidR="00440A6E" w:rsidRDefault="00440A6E" w:rsidP="00F57898">
            <w:pPr>
              <w:spacing w:line="276" w:lineRule="auto"/>
              <w:rPr>
                <w:rFonts w:ascii="Times New Roman" w:hAnsi="Times New Roman"/>
                <w:sz w:val="24"/>
                <w:szCs w:val="24"/>
              </w:rPr>
            </w:pPr>
            <w:r>
              <w:rPr>
                <w:rFonts w:ascii="Times New Roman" w:hAnsi="Times New Roman"/>
                <w:sz w:val="24"/>
                <w:szCs w:val="24"/>
              </w:rPr>
              <w:t xml:space="preserve">11 opći prihodi i primici: </w:t>
            </w:r>
            <w:r>
              <w:rPr>
                <w:rFonts w:ascii="Times New Roman" w:hAnsi="Times New Roman"/>
                <w:sz w:val="24"/>
                <w:szCs w:val="24"/>
                <w:lang w:val="hr-HR"/>
              </w:rPr>
              <w:t>11</w:t>
            </w:r>
            <w:r>
              <w:rPr>
                <w:rFonts w:ascii="Times New Roman" w:hAnsi="Times New Roman"/>
                <w:sz w:val="24"/>
                <w:szCs w:val="24"/>
              </w:rPr>
              <w:t>.</w:t>
            </w:r>
            <w:r>
              <w:rPr>
                <w:rFonts w:ascii="Times New Roman" w:hAnsi="Times New Roman"/>
                <w:sz w:val="24"/>
                <w:szCs w:val="24"/>
                <w:lang w:val="hr-HR"/>
              </w:rPr>
              <w:t>675</w:t>
            </w:r>
            <w:r>
              <w:rPr>
                <w:rFonts w:ascii="Times New Roman" w:hAnsi="Times New Roman"/>
                <w:sz w:val="24"/>
                <w:szCs w:val="24"/>
              </w:rPr>
              <w:t>,00 EUR</w:t>
            </w:r>
          </w:p>
          <w:p w:rsidR="00440A6E" w:rsidRDefault="00440A6E" w:rsidP="00F57898">
            <w:pPr>
              <w:spacing w:line="276" w:lineRule="auto"/>
              <w:rPr>
                <w:rFonts w:ascii="Times New Roman" w:hAnsi="Times New Roman"/>
                <w:sz w:val="24"/>
                <w:szCs w:val="24"/>
              </w:rPr>
            </w:pPr>
            <w:r>
              <w:rPr>
                <w:rFonts w:ascii="Times New Roman" w:hAnsi="Times New Roman"/>
                <w:sz w:val="24"/>
                <w:szCs w:val="24"/>
                <w:lang w:val="hr-HR"/>
              </w:rPr>
              <w:t>41 Prihodi za posebne namjene: 45.700,00 EUR</w:t>
            </w:r>
          </w:p>
          <w:p w:rsidR="00440A6E" w:rsidRDefault="00440A6E" w:rsidP="00F57898">
            <w:pPr>
              <w:spacing w:line="276" w:lineRule="auto"/>
              <w:rPr>
                <w:rFonts w:ascii="Times New Roman" w:hAnsi="Times New Roman"/>
                <w:sz w:val="24"/>
                <w:szCs w:val="24"/>
              </w:rPr>
            </w:pPr>
            <w:r>
              <w:rPr>
                <w:rFonts w:ascii="Times New Roman" w:hAnsi="Times New Roman"/>
                <w:sz w:val="24"/>
                <w:szCs w:val="24"/>
                <w:lang w:val="hr-HR"/>
              </w:rPr>
              <w:t>43 Prihodi od komunalne naknade: 317,10</w:t>
            </w:r>
          </w:p>
        </w:tc>
        <w:tc>
          <w:tcPr>
            <w:tcW w:w="1985" w:type="dxa"/>
            <w:tcBorders>
              <w:top w:val="single" w:sz="4" w:space="0" w:color="auto"/>
              <w:left w:val="single" w:sz="4" w:space="0" w:color="auto"/>
              <w:bottom w:val="single" w:sz="4" w:space="0" w:color="auto"/>
              <w:right w:val="single" w:sz="4" w:space="0" w:color="auto"/>
            </w:tcBorders>
          </w:tcPr>
          <w:p w:rsidR="00440A6E" w:rsidRDefault="00440A6E" w:rsidP="00F57898">
            <w:pPr>
              <w:jc w:val="both"/>
              <w:rPr>
                <w:rFonts w:ascii="Times New Roman" w:hAnsi="Times New Roman"/>
                <w:i/>
                <w:iCs/>
                <w:sz w:val="24"/>
                <w:szCs w:val="24"/>
              </w:rPr>
            </w:pPr>
          </w:p>
          <w:p w:rsidR="00440A6E" w:rsidRDefault="00440A6E" w:rsidP="00F57898">
            <w:pPr>
              <w:jc w:val="right"/>
              <w:rPr>
                <w:rFonts w:ascii="Times New Roman" w:hAnsi="Times New Roman"/>
                <w:sz w:val="24"/>
                <w:szCs w:val="24"/>
              </w:rPr>
            </w:pPr>
          </w:p>
        </w:tc>
      </w:tr>
    </w:tbl>
    <w:p w:rsidR="00440A6E" w:rsidRDefault="00440A6E" w:rsidP="00440A6E">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shd w:val="clear" w:color="auto" w:fill="D9E2F3" w:themeFill="accent1" w:themeFillTint="33"/>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javnih površina na kojima nije dopušten promet vozilima</w:t>
            </w: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b/>
                <w:b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ind w:left="-5" w:right="1124"/>
              <w:rPr>
                <w:rFonts w:ascii="Times New Roman" w:hAnsi="Times New Roman"/>
                <w:sz w:val="24"/>
                <w:szCs w:val="24"/>
              </w:rPr>
            </w:pPr>
            <w:r>
              <w:rPr>
                <w:rFonts w:ascii="Times New Roman" w:hAnsi="Times New Roman"/>
                <w:sz w:val="24"/>
                <w:szCs w:val="24"/>
              </w:rPr>
              <w:t xml:space="preserve">Pod održavanjem javnih površina podrazumijeva se: </w:t>
            </w:r>
          </w:p>
          <w:p w:rsidR="00440A6E" w:rsidRDefault="00440A6E" w:rsidP="00F57898">
            <w:pPr>
              <w:ind w:left="-5" w:right="1124"/>
              <w:rPr>
                <w:rFonts w:ascii="Times New Roman" w:hAnsi="Times New Roman"/>
                <w:bCs/>
                <w:color w:val="000000"/>
                <w:sz w:val="24"/>
                <w:szCs w:val="24"/>
              </w:rPr>
            </w:pPr>
            <w:r>
              <w:rPr>
                <w:rFonts w:ascii="Times New Roman" w:hAnsi="Times New Roman"/>
                <w:color w:val="000000"/>
                <w:sz w:val="24"/>
                <w:szCs w:val="24"/>
              </w:rPr>
              <w:t>-</w:t>
            </w:r>
            <w:r>
              <w:rPr>
                <w:rFonts w:ascii="Times New Roman" w:hAnsi="Times New Roman"/>
                <w:bCs/>
                <w:color w:val="000000"/>
                <w:sz w:val="24"/>
                <w:szCs w:val="24"/>
              </w:rPr>
              <w:t xml:space="preserve"> održavanje makadamskih i pješačkih staza                                                            </w:t>
            </w:r>
          </w:p>
          <w:p w:rsidR="00440A6E" w:rsidRDefault="00440A6E" w:rsidP="00F57898">
            <w:pPr>
              <w:rPr>
                <w:rFonts w:ascii="Times New Roman" w:hAnsi="Times New Roman"/>
                <w:bCs/>
                <w:color w:val="000000"/>
                <w:sz w:val="24"/>
                <w:szCs w:val="24"/>
              </w:rPr>
            </w:pPr>
            <w:r>
              <w:rPr>
                <w:rFonts w:ascii="Times New Roman" w:hAnsi="Times New Roman"/>
                <w:bCs/>
                <w:color w:val="000000"/>
                <w:sz w:val="24"/>
                <w:szCs w:val="24"/>
              </w:rPr>
              <w:t xml:space="preserve">- sadnja cvijeća i ukrasnog bilja, okopavanje od korova i nasipanje zemljom te prihrana tijekom godine na parkovnim površinama i u centru općine Gornji Bogićevci                                                                      </w:t>
            </w:r>
          </w:p>
          <w:p w:rsidR="00440A6E" w:rsidRDefault="00440A6E" w:rsidP="00F57898">
            <w:pPr>
              <w:pStyle w:val="Tijeloteksta"/>
              <w:rPr>
                <w:bCs/>
                <w:color w:val="000000"/>
              </w:rPr>
            </w:pPr>
            <w:r>
              <w:rPr>
                <w:bCs/>
                <w:color w:val="000000"/>
              </w:rPr>
              <w:t xml:space="preserve">- održavanje komunalnih objekata i uređaja u općoj upotrebi (autobusna stajališta, fontana, kino dvorana, čišćenje zgrade Općine)                        </w:t>
            </w:r>
          </w:p>
          <w:p w:rsidR="00440A6E" w:rsidRDefault="00440A6E" w:rsidP="00F57898">
            <w:pPr>
              <w:spacing w:after="89"/>
              <w:rPr>
                <w:rFonts w:ascii="Times New Roman" w:eastAsia="Calibri" w:hAnsi="Times New Roman"/>
                <w:color w:val="000000"/>
                <w:sz w:val="24"/>
                <w:szCs w:val="24"/>
              </w:rPr>
            </w:pPr>
            <w:r>
              <w:rPr>
                <w:rFonts w:ascii="Times New Roman" w:hAnsi="Times New Roman"/>
                <w:bCs/>
                <w:color w:val="000000"/>
                <w:sz w:val="24"/>
                <w:szCs w:val="24"/>
              </w:rPr>
              <w:t xml:space="preserve">- uklanjanje protupravno  postavljenih objekata                                                                                                                                            </w:t>
            </w:r>
            <w:r>
              <w:rPr>
                <w:rFonts w:ascii="Times New Roman" w:eastAsia="Calibri" w:hAnsi="Times New Roman"/>
                <w:color w:val="000000"/>
                <w:sz w:val="24"/>
                <w:szCs w:val="24"/>
              </w:rPr>
              <w:t xml:space="preserve"> </w:t>
            </w:r>
          </w:p>
          <w:p w:rsidR="00440A6E" w:rsidRDefault="00440A6E" w:rsidP="00F57898">
            <w:pPr>
              <w:jc w:val="both"/>
              <w:rPr>
                <w:rFonts w:ascii="Times New Roman" w:hAnsi="Times New Roman"/>
                <w:sz w:val="24"/>
                <w:szCs w:val="24"/>
              </w:rPr>
            </w:pPr>
            <w:r>
              <w:rPr>
                <w:rFonts w:ascii="Times New Roman" w:hAnsi="Times New Roman"/>
                <w:sz w:val="24"/>
                <w:szCs w:val="24"/>
              </w:rPr>
              <w:t>Radovi će se izvoditi prema potrebama i tijekom cijele godine.</w:t>
            </w:r>
          </w:p>
          <w:p w:rsidR="00440A6E" w:rsidRDefault="00440A6E" w:rsidP="00F57898">
            <w:pPr>
              <w:jc w:val="both"/>
              <w:rPr>
                <w:rFonts w:ascii="Times New Roman" w:hAnsi="Times New Roman"/>
                <w:sz w:val="24"/>
                <w:szCs w:val="24"/>
              </w:rPr>
            </w:pPr>
          </w:p>
          <w:p w:rsidR="00440A6E" w:rsidRDefault="00440A6E" w:rsidP="00F57898">
            <w:pPr>
              <w:jc w:val="both"/>
              <w:rPr>
                <w:rFonts w:ascii="Times New Roman" w:hAnsi="Times New Roman"/>
                <w:sz w:val="24"/>
                <w:szCs w:val="24"/>
              </w:rPr>
            </w:pPr>
            <w:r>
              <w:rPr>
                <w:rFonts w:ascii="Times New Roman" w:hAnsi="Times New Roman"/>
                <w:sz w:val="24"/>
                <w:szCs w:val="24"/>
              </w:rPr>
              <w:t xml:space="preserve">- parkovi cca 15.000 m² </w:t>
            </w:r>
          </w:p>
          <w:p w:rsidR="00440A6E" w:rsidRDefault="00440A6E" w:rsidP="00F57898">
            <w:pPr>
              <w:jc w:val="both"/>
              <w:rPr>
                <w:rFonts w:ascii="Times New Roman" w:hAnsi="Times New Roman"/>
                <w:sz w:val="24"/>
                <w:szCs w:val="24"/>
              </w:rPr>
            </w:pPr>
            <w:r>
              <w:rPr>
                <w:rFonts w:ascii="Times New Roman" w:hAnsi="Times New Roman"/>
                <w:sz w:val="24"/>
                <w:szCs w:val="24"/>
              </w:rPr>
              <w:t>- groblja cca 50.000 m2</w:t>
            </w:r>
          </w:p>
          <w:p w:rsidR="00440A6E" w:rsidRDefault="00440A6E" w:rsidP="00F57898">
            <w:pPr>
              <w:jc w:val="both"/>
              <w:rPr>
                <w:rFonts w:ascii="Times New Roman" w:hAnsi="Times New Roman"/>
                <w:sz w:val="24"/>
                <w:szCs w:val="24"/>
              </w:rPr>
            </w:pPr>
            <w:r>
              <w:rPr>
                <w:rFonts w:ascii="Times New Roman" w:hAnsi="Times New Roman"/>
                <w:sz w:val="24"/>
                <w:szCs w:val="24"/>
              </w:rPr>
              <w:t>- nogostup Gornji Bogićevci 3000 m</w:t>
            </w:r>
          </w:p>
          <w:p w:rsidR="00440A6E" w:rsidRDefault="00440A6E" w:rsidP="00F57898">
            <w:pPr>
              <w:jc w:val="both"/>
              <w:rPr>
                <w:rFonts w:ascii="Times New Roman" w:hAnsi="Times New Roman"/>
                <w:sz w:val="24"/>
                <w:szCs w:val="24"/>
              </w:rPr>
            </w:pPr>
            <w:r>
              <w:rPr>
                <w:rFonts w:ascii="Times New Roman" w:hAnsi="Times New Roman"/>
                <w:sz w:val="24"/>
                <w:szCs w:val="24"/>
              </w:rPr>
              <w:t>- nogostup Smrtić 1800 metara</w:t>
            </w:r>
          </w:p>
          <w:p w:rsidR="00440A6E" w:rsidRDefault="00440A6E" w:rsidP="00F57898">
            <w:pPr>
              <w:jc w:val="both"/>
              <w:rPr>
                <w:rFonts w:ascii="Times New Roman" w:hAnsi="Times New Roman"/>
                <w:sz w:val="24"/>
                <w:szCs w:val="24"/>
              </w:rPr>
            </w:pPr>
            <w:r>
              <w:rPr>
                <w:rFonts w:ascii="Times New Roman" w:hAnsi="Times New Roman"/>
                <w:sz w:val="24"/>
                <w:szCs w:val="24"/>
              </w:rPr>
              <w:t xml:space="preserve">- nogostup Kosovac - glavna 750 metara </w:t>
            </w:r>
          </w:p>
          <w:p w:rsidR="00440A6E" w:rsidRDefault="00440A6E" w:rsidP="00F57898">
            <w:pPr>
              <w:jc w:val="both"/>
              <w:rPr>
                <w:rFonts w:ascii="Times New Roman" w:hAnsi="Times New Roman"/>
                <w:sz w:val="24"/>
                <w:szCs w:val="24"/>
              </w:rPr>
            </w:pPr>
            <w:r>
              <w:rPr>
                <w:rFonts w:ascii="Times New Roman" w:hAnsi="Times New Roman"/>
                <w:sz w:val="24"/>
                <w:szCs w:val="24"/>
              </w:rPr>
              <w:t>- nogostupa kroz naselje Kosovac-ulica Vukovarska 1.147 m</w:t>
            </w:r>
          </w:p>
          <w:p w:rsidR="00440A6E" w:rsidRDefault="00440A6E" w:rsidP="00F57898">
            <w:pPr>
              <w:jc w:val="both"/>
              <w:rPr>
                <w:rFonts w:ascii="Times New Roman" w:hAnsi="Times New Roman"/>
                <w:sz w:val="24"/>
                <w:szCs w:val="24"/>
              </w:rPr>
            </w:pPr>
            <w:r>
              <w:rPr>
                <w:rFonts w:ascii="Times New Roman" w:hAnsi="Times New Roman"/>
                <w:sz w:val="24"/>
                <w:szCs w:val="24"/>
              </w:rPr>
              <w:t>- nogostupa kroz naselje Dubovac 521 m</w:t>
            </w:r>
          </w:p>
          <w:p w:rsidR="00440A6E" w:rsidRDefault="00440A6E" w:rsidP="00F57898">
            <w:pPr>
              <w:jc w:val="both"/>
              <w:rPr>
                <w:rFonts w:ascii="Times New Roman" w:hAnsi="Times New Roman"/>
                <w:sz w:val="24"/>
                <w:szCs w:val="24"/>
              </w:rPr>
            </w:pPr>
            <w:r>
              <w:rPr>
                <w:rFonts w:ascii="Times New Roman" w:hAnsi="Times New Roman"/>
                <w:sz w:val="24"/>
                <w:szCs w:val="24"/>
              </w:rPr>
              <w:t>- oko dječjih zabavnih parkova u naseljima Gornji Bogićevci, Dubovac, Smrtić - Ratkovac i Trnava</w:t>
            </w: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rPr>
              <w:t>22.000,00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rPr>
              <w:t>22.000,00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rPr>
                <w:rFonts w:ascii="Times New Roman" w:hAnsi="Times New Roman"/>
                <w:b/>
                <w:sz w:val="24"/>
                <w:szCs w:val="24"/>
              </w:rPr>
            </w:pPr>
            <w:r>
              <w:rPr>
                <w:rFonts w:ascii="Times New Roman" w:hAnsi="Times New Roman"/>
                <w:b/>
                <w:sz w:val="24"/>
                <w:szCs w:val="24"/>
              </w:rPr>
              <w:t>Izvori financiranja:</w:t>
            </w:r>
          </w:p>
          <w:p w:rsidR="00440A6E" w:rsidRDefault="00440A6E" w:rsidP="00A66748">
            <w:pPr>
              <w:pStyle w:val="Odlomakpopisa"/>
              <w:numPr>
                <w:ilvl w:val="0"/>
                <w:numId w:val="27"/>
              </w:numPr>
              <w:rPr>
                <w:rFonts w:ascii="Times New Roman" w:hAnsi="Times New Roman"/>
                <w:sz w:val="24"/>
                <w:szCs w:val="24"/>
              </w:rPr>
            </w:pPr>
            <w:r>
              <w:rPr>
                <w:rFonts w:ascii="Times New Roman" w:hAnsi="Times New Roman"/>
                <w:sz w:val="24"/>
                <w:szCs w:val="24"/>
              </w:rPr>
              <w:t>opći prihodi i primici: 22.000,00 EUR</w:t>
            </w:r>
          </w:p>
          <w:p w:rsidR="00440A6E" w:rsidRDefault="00440A6E" w:rsidP="00F57898">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tc>
      </w:tr>
    </w:tbl>
    <w:p w:rsidR="00440A6E" w:rsidRDefault="00440A6E" w:rsidP="00440A6E">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građevina javne odvodnje oborinskih voda</w:t>
            </w:r>
          </w:p>
          <w:p w:rsidR="00440A6E" w:rsidRDefault="00440A6E" w:rsidP="00F57898">
            <w:pPr>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jc w:val="both"/>
              <w:rPr>
                <w:rFonts w:ascii="Times New Roman" w:hAnsi="Times New Roman"/>
                <w:bCs/>
                <w:sz w:val="24"/>
                <w:szCs w:val="24"/>
              </w:rPr>
            </w:pPr>
            <w:r>
              <w:rPr>
                <w:rFonts w:ascii="Times New Roman" w:hAnsi="Times New Roman"/>
                <w:bCs/>
                <w:sz w:val="24"/>
                <w:szCs w:val="24"/>
              </w:rPr>
              <w:t xml:space="preserve">Pod održavanjem građevina javne odvodnje podrazumijevaju se: </w:t>
            </w:r>
          </w:p>
          <w:p w:rsidR="00440A6E" w:rsidRDefault="00440A6E" w:rsidP="00F57898">
            <w:pPr>
              <w:jc w:val="both"/>
              <w:rPr>
                <w:rFonts w:ascii="Times New Roman" w:hAnsi="Times New Roman"/>
                <w:bCs/>
                <w:sz w:val="24"/>
                <w:szCs w:val="24"/>
              </w:rPr>
            </w:pPr>
            <w:r>
              <w:rPr>
                <w:rFonts w:ascii="Times New Roman" w:hAnsi="Times New Roman"/>
                <w:bCs/>
                <w:sz w:val="24"/>
                <w:szCs w:val="24"/>
              </w:rPr>
              <w:t xml:space="preserve">- Održavanje, čišćenje slivnika, izmuljenje jaraka i kanalizacija, održavanje čistoće i održavanje  svih ostalih objekata  za odvodnju atmosferskih voda i odvodnih otvora na području Općine Gornji Bogićevci       </w:t>
            </w:r>
          </w:p>
          <w:p w:rsidR="00440A6E" w:rsidRDefault="00440A6E" w:rsidP="00F57898">
            <w:pPr>
              <w:jc w:val="both"/>
              <w:rPr>
                <w:rFonts w:ascii="Times New Roman" w:hAnsi="Times New Roman"/>
                <w:bCs/>
                <w:sz w:val="24"/>
                <w:szCs w:val="24"/>
              </w:rPr>
            </w:pPr>
            <w:r>
              <w:rPr>
                <w:rFonts w:ascii="Times New Roman" w:hAnsi="Times New Roman"/>
                <w:bCs/>
                <w:sz w:val="24"/>
                <w:szCs w:val="24"/>
              </w:rPr>
              <w:t xml:space="preserve">- Čišćenje kanala                                                     </w:t>
            </w:r>
          </w:p>
          <w:p w:rsidR="00440A6E" w:rsidRDefault="00440A6E" w:rsidP="00F57898">
            <w:pPr>
              <w:ind w:left="360"/>
              <w:jc w:val="both"/>
              <w:rPr>
                <w:rFonts w:ascii="Times New Roman" w:hAnsi="Times New Roman"/>
                <w:bCs/>
                <w:sz w:val="24"/>
                <w:szCs w:val="24"/>
              </w:rPr>
            </w:pPr>
          </w:p>
          <w:p w:rsidR="00440A6E" w:rsidRDefault="00440A6E" w:rsidP="00F57898">
            <w:pPr>
              <w:jc w:val="both"/>
              <w:rPr>
                <w:rFonts w:ascii="Times New Roman" w:hAnsi="Times New Roman"/>
                <w:b/>
                <w:sz w:val="24"/>
                <w:szCs w:val="24"/>
              </w:rPr>
            </w:pPr>
            <w:r>
              <w:rPr>
                <w:rFonts w:ascii="Times New Roman" w:hAnsi="Times New Roman"/>
                <w:bCs/>
                <w:sz w:val="24"/>
                <w:szCs w:val="24"/>
              </w:rPr>
              <w:t>Radovi će se izvoditi prema potrebama i tijekom cijele godine</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rPr>
              <w:lastRenderedPageBreak/>
              <w:t>10.000,00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contextualSpacing/>
              <w:rPr>
                <w:rFonts w:ascii="Times New Roman" w:hAnsi="Times New Roman"/>
                <w:b/>
                <w:bCs/>
                <w:sz w:val="24"/>
                <w:szCs w:val="24"/>
                <w:highlight w:val="yellow"/>
              </w:rPr>
            </w:pPr>
            <w:r>
              <w:rPr>
                <w:rFonts w:ascii="Times New Roman" w:hAnsi="Times New Roman"/>
                <w:b/>
                <w:bCs/>
                <w:sz w:val="24"/>
                <w:szCs w:val="24"/>
              </w:rPr>
              <w:lastRenderedPageBreak/>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rPr>
              <w:t>10.000,00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line="276" w:lineRule="auto"/>
              <w:rPr>
                <w:rFonts w:ascii="Times New Roman" w:hAnsi="Times New Roman"/>
                <w:b/>
                <w:sz w:val="24"/>
                <w:szCs w:val="24"/>
              </w:rPr>
            </w:pPr>
            <w:r>
              <w:rPr>
                <w:rFonts w:ascii="Times New Roman" w:hAnsi="Times New Roman"/>
                <w:b/>
                <w:sz w:val="24"/>
                <w:szCs w:val="24"/>
              </w:rPr>
              <w:t>Izvori financiranja:</w:t>
            </w:r>
          </w:p>
          <w:p w:rsidR="00440A6E" w:rsidRDefault="00440A6E" w:rsidP="00F57898">
            <w:pPr>
              <w:spacing w:line="276" w:lineRule="auto"/>
              <w:rPr>
                <w:rFonts w:ascii="Times New Roman" w:hAnsi="Times New Roman"/>
                <w:sz w:val="24"/>
                <w:szCs w:val="24"/>
              </w:rPr>
            </w:pPr>
            <w:r>
              <w:rPr>
                <w:rFonts w:ascii="Times New Roman" w:hAnsi="Times New Roman"/>
                <w:sz w:val="24"/>
                <w:szCs w:val="24"/>
              </w:rPr>
              <w:t>11 opći prihodi i primici: 10.000,00 EUR</w:t>
            </w:r>
          </w:p>
          <w:p w:rsidR="00440A6E" w:rsidRDefault="00440A6E" w:rsidP="00F57898">
            <w:pPr>
              <w:spacing w:line="276" w:lineRule="auto"/>
              <w:rPr>
                <w:rFonts w:ascii="Times New Roman" w:hAnsi="Times New Roman"/>
                <w:sz w:val="24"/>
                <w:szCs w:val="24"/>
              </w:rPr>
            </w:pPr>
            <w:r>
              <w:rPr>
                <w:rFonts w:ascii="Times New Roman" w:hAnsi="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center"/>
              <w:rPr>
                <w:rFonts w:ascii="Times New Roman" w:hAnsi="Times New Roman"/>
                <w:sz w:val="24"/>
                <w:szCs w:val="24"/>
              </w:rPr>
            </w:pPr>
          </w:p>
        </w:tc>
      </w:tr>
    </w:tbl>
    <w:p w:rsidR="00440A6E" w:rsidRDefault="00440A6E" w:rsidP="00440A6E">
      <w:pPr>
        <w:spacing w:after="0" w:line="240" w:lineRule="auto"/>
        <w:ind w:left="360"/>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javnih zelenih površina</w:t>
            </w: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b/>
                <w:b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ind w:left="-5" w:right="1124"/>
              <w:rPr>
                <w:rFonts w:ascii="Times New Roman" w:hAnsi="Times New Roman"/>
                <w:bCs/>
                <w:sz w:val="24"/>
                <w:szCs w:val="24"/>
              </w:rPr>
            </w:pPr>
            <w:r>
              <w:rPr>
                <w:rFonts w:ascii="Times New Roman" w:hAnsi="Times New Roman"/>
                <w:bCs/>
                <w:sz w:val="24"/>
                <w:szCs w:val="24"/>
              </w:rPr>
              <w:t xml:space="preserve">Pod održavanjem javnih zelenih površina podrazumijeva se:  </w:t>
            </w:r>
          </w:p>
          <w:p w:rsidR="00440A6E" w:rsidRDefault="00440A6E" w:rsidP="00F57898">
            <w:pPr>
              <w:ind w:left="-5" w:right="1124"/>
              <w:rPr>
                <w:rFonts w:ascii="Times New Roman" w:hAnsi="Times New Roman"/>
                <w:bCs/>
                <w:sz w:val="24"/>
                <w:szCs w:val="24"/>
              </w:rPr>
            </w:pPr>
            <w:r>
              <w:rPr>
                <w:rFonts w:ascii="Times New Roman" w:hAnsi="Times New Roman"/>
                <w:bCs/>
                <w:sz w:val="24"/>
                <w:szCs w:val="24"/>
              </w:rPr>
              <w:t xml:space="preserve">- redovno košenje i malčiranje javnih zelenih površina, parkova, dječjih igrališta   </w:t>
            </w:r>
          </w:p>
          <w:p w:rsidR="00440A6E" w:rsidRDefault="00440A6E" w:rsidP="00F57898">
            <w:pPr>
              <w:ind w:left="-5" w:right="1124"/>
              <w:rPr>
                <w:rFonts w:ascii="Times New Roman" w:hAnsi="Times New Roman"/>
                <w:bCs/>
                <w:sz w:val="24"/>
                <w:szCs w:val="24"/>
              </w:rPr>
            </w:pPr>
            <w:r>
              <w:rPr>
                <w:rFonts w:ascii="Times New Roman" w:hAnsi="Times New Roman"/>
                <w:bCs/>
                <w:sz w:val="24"/>
                <w:szCs w:val="24"/>
              </w:rPr>
              <w:t xml:space="preserve">- njegovanje, zaštita postojećih stabala, ukrasnog grmlja, uklanjanje bolesnih grana, sječa suhih stabala, sakupljanje suhog lišća i granja u parkovima i ostalim javnim površinama </w:t>
            </w:r>
          </w:p>
          <w:p w:rsidR="00440A6E" w:rsidRDefault="00440A6E" w:rsidP="00F57898">
            <w:pPr>
              <w:pStyle w:val="Tijeloteksta"/>
              <w:rPr>
                <w:bCs/>
                <w:color w:val="000000"/>
              </w:rPr>
            </w:pPr>
            <w:r>
              <w:rPr>
                <w:bCs/>
                <w:color w:val="000000"/>
              </w:rPr>
              <w:t xml:space="preserve">- razni drugi radovi na javnim površinama (odvoz glomaznog otpada i sl.)        </w:t>
            </w:r>
          </w:p>
          <w:p w:rsidR="00440A6E" w:rsidRDefault="00440A6E" w:rsidP="00F57898">
            <w:pPr>
              <w:ind w:left="-5" w:right="1124"/>
              <w:rPr>
                <w:rFonts w:ascii="Times New Roman" w:hAnsi="Times New Roman"/>
                <w:bCs/>
                <w:sz w:val="24"/>
                <w:szCs w:val="24"/>
              </w:rPr>
            </w:pPr>
          </w:p>
          <w:p w:rsidR="00440A6E" w:rsidRDefault="00440A6E" w:rsidP="00F57898">
            <w:pPr>
              <w:spacing w:line="276" w:lineRule="auto"/>
              <w:jc w:val="both"/>
              <w:rPr>
                <w:rFonts w:ascii="Times New Roman" w:hAnsi="Times New Roman"/>
                <w:b/>
                <w:bCs/>
                <w:sz w:val="24"/>
                <w:szCs w:val="24"/>
              </w:rPr>
            </w:pPr>
            <w:r>
              <w:rPr>
                <w:rFonts w:ascii="Times New Roman" w:hAnsi="Times New Roman"/>
                <w:bCs/>
                <w:sz w:val="24"/>
                <w:szCs w:val="24"/>
              </w:rPr>
              <w:t>Radovi se izvode tijekom cijele godine.</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center"/>
              <w:rPr>
                <w:rFonts w:ascii="Times New Roman" w:hAnsi="Times New Roman"/>
                <w:b/>
                <w:bCs/>
                <w:sz w:val="24"/>
                <w:szCs w:val="24"/>
              </w:rPr>
            </w:pPr>
          </w:p>
          <w:p w:rsidR="00440A6E" w:rsidRDefault="00440A6E" w:rsidP="00F57898">
            <w:pPr>
              <w:jc w:val="right"/>
              <w:rPr>
                <w:rFonts w:ascii="Times New Roman" w:hAnsi="Times New Roman"/>
                <w:sz w:val="24"/>
                <w:szCs w:val="24"/>
              </w:rPr>
            </w:pPr>
            <w:r>
              <w:rPr>
                <w:rFonts w:ascii="Times New Roman" w:hAnsi="Times New Roman"/>
                <w:b/>
                <w:bCs/>
                <w:sz w:val="24"/>
                <w:szCs w:val="24"/>
                <w:lang w:val="hr-HR"/>
              </w:rPr>
              <w:t>6.746,66</w:t>
            </w:r>
            <w:r>
              <w:rPr>
                <w:rFonts w:ascii="Times New Roman" w:hAnsi="Times New Roman"/>
                <w:sz w:val="24"/>
                <w:szCs w:val="24"/>
              </w:rPr>
              <w:t xml:space="preserve">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lang w:val="hr-HR"/>
              </w:rPr>
              <w:t>6.746,66</w:t>
            </w:r>
            <w:r>
              <w:rPr>
                <w:rFonts w:ascii="Times New Roman" w:hAnsi="Times New Roman"/>
                <w:b/>
                <w:bCs/>
                <w:sz w:val="24"/>
                <w:szCs w:val="24"/>
              </w:rPr>
              <w:t xml:space="preserve">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line="276" w:lineRule="auto"/>
              <w:jc w:val="both"/>
              <w:rPr>
                <w:rFonts w:ascii="Times New Roman" w:hAnsi="Times New Roman"/>
                <w:b/>
                <w:sz w:val="24"/>
                <w:szCs w:val="24"/>
              </w:rPr>
            </w:pPr>
            <w:r>
              <w:rPr>
                <w:rFonts w:ascii="Times New Roman" w:hAnsi="Times New Roman"/>
                <w:b/>
                <w:sz w:val="24"/>
                <w:szCs w:val="24"/>
              </w:rPr>
              <w:t>Izvor financiranja:</w:t>
            </w:r>
          </w:p>
          <w:p w:rsidR="00440A6E" w:rsidRDefault="00440A6E" w:rsidP="00F57898">
            <w:pPr>
              <w:spacing w:line="276" w:lineRule="auto"/>
              <w:rPr>
                <w:rFonts w:ascii="Times New Roman" w:hAnsi="Times New Roman"/>
                <w:sz w:val="24"/>
                <w:szCs w:val="24"/>
              </w:rPr>
            </w:pPr>
            <w:r>
              <w:rPr>
                <w:rFonts w:ascii="Times New Roman" w:hAnsi="Times New Roman"/>
                <w:sz w:val="24"/>
                <w:szCs w:val="24"/>
              </w:rPr>
              <w:t xml:space="preserve">11 opći prihodi i primici: </w:t>
            </w:r>
            <w:r>
              <w:rPr>
                <w:rFonts w:ascii="Times New Roman" w:hAnsi="Times New Roman"/>
                <w:sz w:val="24"/>
                <w:szCs w:val="24"/>
                <w:lang w:val="hr-HR"/>
              </w:rPr>
              <w:t>6.746,66</w:t>
            </w:r>
            <w:r>
              <w:rPr>
                <w:rFonts w:ascii="Times New Roman" w:hAnsi="Times New Roman"/>
                <w:sz w:val="24"/>
                <w:szCs w:val="24"/>
              </w:rPr>
              <w:t xml:space="preserve"> EUR</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tc>
      </w:tr>
    </w:tbl>
    <w:p w:rsidR="00440A6E" w:rsidRDefault="00440A6E" w:rsidP="00440A6E">
      <w:pPr>
        <w:spacing w:after="0" w:line="240" w:lineRule="auto"/>
        <w:ind w:left="360"/>
        <w:jc w:val="both"/>
        <w:rPr>
          <w:rFonts w:ascii="Times New Roman" w:eastAsia="Times New Roman" w:hAnsi="Times New Roman" w:cs="Times New Roman"/>
          <w:sz w:val="24"/>
          <w:szCs w:val="24"/>
          <w:lang w:eastAsia="hr-HR"/>
        </w:rPr>
      </w:pPr>
    </w:p>
    <w:p w:rsidR="00440A6E" w:rsidRDefault="00440A6E" w:rsidP="00440A6E">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tbl>
      <w:tblPr>
        <w:tblStyle w:val="Reetkatablice"/>
        <w:tblW w:w="9634" w:type="dxa"/>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građevina, uređaja i predmeta javne namjene</w:t>
            </w: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b/>
                <w:b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ind w:left="-5" w:right="1124"/>
              <w:rPr>
                <w:rFonts w:ascii="Times New Roman" w:hAnsi="Times New Roman"/>
                <w:bCs/>
                <w:sz w:val="24"/>
                <w:szCs w:val="24"/>
              </w:rPr>
            </w:pPr>
            <w:r>
              <w:rPr>
                <w:rFonts w:ascii="Times New Roman" w:hAnsi="Times New Roman"/>
                <w:bCs/>
                <w:sz w:val="24"/>
                <w:szCs w:val="24"/>
              </w:rPr>
              <w:t>Pod održavanjem građevina i uređaja javne namjene podrazumijeva se održavanje, popravci i čišćenje tih građevina, uređaja i predmeta.</w:t>
            </w:r>
          </w:p>
          <w:p w:rsidR="00440A6E" w:rsidRDefault="00440A6E" w:rsidP="00F57898">
            <w:pPr>
              <w:ind w:left="-5" w:right="1124"/>
              <w:rPr>
                <w:rFonts w:ascii="Times New Roman" w:hAnsi="Times New Roman"/>
                <w:bCs/>
                <w:sz w:val="24"/>
                <w:szCs w:val="24"/>
              </w:rPr>
            </w:pPr>
          </w:p>
          <w:p w:rsidR="00440A6E" w:rsidRDefault="00440A6E" w:rsidP="00A66748">
            <w:pPr>
              <w:pStyle w:val="Tijeloteksta"/>
              <w:numPr>
                <w:ilvl w:val="0"/>
                <w:numId w:val="28"/>
              </w:numPr>
              <w:suppressAutoHyphens/>
              <w:rPr>
                <w:bCs/>
              </w:rPr>
            </w:pPr>
            <w:r>
              <w:rPr>
                <w:bCs/>
              </w:rPr>
              <w:t xml:space="preserve">Održavanje spomen obilježja       </w:t>
            </w:r>
          </w:p>
          <w:p w:rsidR="00440A6E" w:rsidRDefault="00440A6E" w:rsidP="00A66748">
            <w:pPr>
              <w:pStyle w:val="Tijeloteksta"/>
              <w:numPr>
                <w:ilvl w:val="0"/>
                <w:numId w:val="28"/>
              </w:numPr>
              <w:suppressAutoHyphens/>
              <w:rPr>
                <w:bCs/>
              </w:rPr>
            </w:pPr>
            <w:r>
              <w:rPr>
                <w:bCs/>
              </w:rPr>
              <w:t xml:space="preserve">Usluge bojanja i popravaka uličnih klupa i koševa za otpad          </w:t>
            </w:r>
          </w:p>
          <w:p w:rsidR="00440A6E" w:rsidRDefault="00440A6E" w:rsidP="00F57898">
            <w:pPr>
              <w:ind w:left="-5" w:right="1124"/>
              <w:rPr>
                <w:rFonts w:ascii="Times New Roman" w:hAnsi="Times New Roman"/>
                <w:bCs/>
                <w:sz w:val="24"/>
                <w:szCs w:val="24"/>
              </w:rPr>
            </w:pPr>
          </w:p>
          <w:p w:rsidR="00440A6E" w:rsidRDefault="00440A6E" w:rsidP="00F57898">
            <w:pPr>
              <w:spacing w:line="276" w:lineRule="auto"/>
              <w:jc w:val="both"/>
              <w:rPr>
                <w:rFonts w:ascii="Times New Roman" w:hAnsi="Times New Roman"/>
                <w:b/>
                <w:bCs/>
                <w:sz w:val="24"/>
                <w:szCs w:val="24"/>
              </w:rPr>
            </w:pPr>
            <w:r>
              <w:rPr>
                <w:rFonts w:ascii="Times New Roman" w:hAnsi="Times New Roman"/>
                <w:bCs/>
                <w:sz w:val="24"/>
                <w:szCs w:val="24"/>
              </w:rPr>
              <w:t>Radovi se izvode tijekom cijele godine.</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lang w:val="hr-HR"/>
              </w:rPr>
              <w:t>11</w:t>
            </w:r>
            <w:r>
              <w:rPr>
                <w:rFonts w:ascii="Times New Roman" w:hAnsi="Times New Roman"/>
                <w:sz w:val="24"/>
                <w:szCs w:val="24"/>
              </w:rPr>
              <w:t>.</w:t>
            </w:r>
            <w:r>
              <w:rPr>
                <w:rFonts w:ascii="Times New Roman" w:hAnsi="Times New Roman"/>
                <w:sz w:val="24"/>
                <w:szCs w:val="24"/>
                <w:lang w:val="hr-HR"/>
              </w:rPr>
              <w:t>4</w:t>
            </w:r>
            <w:r>
              <w:rPr>
                <w:rFonts w:ascii="Times New Roman" w:hAnsi="Times New Roman"/>
                <w:sz w:val="24"/>
                <w:szCs w:val="24"/>
              </w:rPr>
              <w:t>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lang w:val="hr-HR"/>
              </w:rPr>
              <w:t>11.400,</w:t>
            </w:r>
            <w:r>
              <w:rPr>
                <w:rFonts w:ascii="Times New Roman" w:hAnsi="Times New Roman"/>
                <w:b/>
                <w:bCs/>
                <w:sz w:val="24"/>
                <w:szCs w:val="24"/>
              </w:rPr>
              <w:t>00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440A6E" w:rsidRDefault="00440A6E" w:rsidP="00F57898">
            <w:pPr>
              <w:pStyle w:val="Odlomakpopisa"/>
              <w:spacing w:line="276" w:lineRule="auto"/>
              <w:ind w:left="360"/>
              <w:jc w:val="both"/>
              <w:rPr>
                <w:rFonts w:ascii="Times New Roman" w:hAnsi="Times New Roman"/>
                <w:sz w:val="24"/>
                <w:szCs w:val="24"/>
              </w:rPr>
            </w:pPr>
            <w:r>
              <w:rPr>
                <w:rFonts w:ascii="Times New Roman" w:hAnsi="Times New Roman"/>
                <w:sz w:val="24"/>
                <w:szCs w:val="24"/>
                <w:lang w:val="hr-HR"/>
              </w:rPr>
              <w:t>43 Prihodi od komunalne naknade</w:t>
            </w:r>
            <w:r>
              <w:rPr>
                <w:rFonts w:ascii="Times New Roman" w:hAnsi="Times New Roman"/>
                <w:sz w:val="24"/>
                <w:szCs w:val="24"/>
              </w:rPr>
              <w:t xml:space="preserve">: </w:t>
            </w:r>
            <w:r>
              <w:rPr>
                <w:rFonts w:ascii="Times New Roman" w:hAnsi="Times New Roman"/>
                <w:sz w:val="24"/>
                <w:szCs w:val="24"/>
                <w:lang w:val="hr-HR"/>
              </w:rPr>
              <w:t>602,22</w:t>
            </w:r>
            <w:r>
              <w:rPr>
                <w:rFonts w:ascii="Times New Roman" w:hAnsi="Times New Roman"/>
                <w:sz w:val="24"/>
                <w:szCs w:val="24"/>
              </w:rPr>
              <w:t xml:space="preserve"> EUR</w:t>
            </w:r>
          </w:p>
          <w:p w:rsidR="00440A6E" w:rsidRDefault="00440A6E" w:rsidP="00F57898">
            <w:pPr>
              <w:pStyle w:val="Odlomakpopisa"/>
              <w:spacing w:line="276" w:lineRule="auto"/>
              <w:ind w:left="360"/>
              <w:jc w:val="both"/>
              <w:rPr>
                <w:rFonts w:ascii="Times New Roman" w:hAnsi="Times New Roman"/>
                <w:sz w:val="24"/>
                <w:szCs w:val="24"/>
              </w:rPr>
            </w:pPr>
            <w:r>
              <w:rPr>
                <w:rFonts w:ascii="Times New Roman" w:hAnsi="Times New Roman"/>
                <w:sz w:val="24"/>
                <w:szCs w:val="24"/>
                <w:lang w:val="hr-HR"/>
              </w:rPr>
              <w:t>44 Prihod od grobne naknade: 6.400,00</w:t>
            </w:r>
          </w:p>
          <w:p w:rsidR="00440A6E" w:rsidRDefault="00440A6E" w:rsidP="00F57898">
            <w:pPr>
              <w:pStyle w:val="Odlomakpopisa"/>
              <w:spacing w:line="276" w:lineRule="auto"/>
              <w:ind w:left="360"/>
              <w:jc w:val="both"/>
              <w:rPr>
                <w:rFonts w:ascii="Times New Roman" w:hAnsi="Times New Roman"/>
                <w:sz w:val="24"/>
                <w:szCs w:val="24"/>
              </w:rPr>
            </w:pPr>
            <w:r>
              <w:rPr>
                <w:rFonts w:ascii="Times New Roman" w:hAnsi="Times New Roman"/>
                <w:sz w:val="24"/>
                <w:szCs w:val="24"/>
                <w:lang w:val="hr-HR"/>
              </w:rPr>
              <w:t>45 Prihod od šumskog doprinosa: 4.397,78</w:t>
            </w:r>
          </w:p>
          <w:p w:rsidR="00440A6E" w:rsidRDefault="00440A6E"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tc>
      </w:tr>
    </w:tbl>
    <w:p w:rsidR="00440A6E" w:rsidRDefault="00440A6E" w:rsidP="00440A6E">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groblja</w:t>
            </w:r>
          </w:p>
          <w:p w:rsidR="00440A6E" w:rsidRDefault="00440A6E" w:rsidP="00F57898">
            <w:pPr>
              <w:ind w:left="360"/>
              <w:jc w:val="both"/>
              <w:rPr>
                <w:rFonts w:ascii="Times New Roman" w:hAnsi="Times New Roman"/>
                <w:b/>
                <w:bCs/>
                <w:sz w:val="24"/>
                <w:szCs w:val="24"/>
                <w:lang w:eastAsia="hr-HR"/>
              </w:rPr>
            </w:pP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b/>
                <w:b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ind w:right="1124"/>
              <w:rPr>
                <w:rFonts w:ascii="Times New Roman" w:hAnsi="Times New Roman"/>
                <w:sz w:val="24"/>
                <w:szCs w:val="24"/>
              </w:rPr>
            </w:pPr>
            <w:r>
              <w:rPr>
                <w:rFonts w:ascii="Times New Roman" w:hAnsi="Times New Roman"/>
                <w:sz w:val="24"/>
                <w:szCs w:val="24"/>
              </w:rPr>
              <w:t xml:space="preserve">Radovi na održavanju groblja obuhvaćaju slijedeće: </w:t>
            </w:r>
            <w:r>
              <w:rPr>
                <w:rFonts w:ascii="Times New Roman" w:hAnsi="Times New Roman"/>
                <w:bCs/>
                <w:sz w:val="24"/>
                <w:szCs w:val="24"/>
              </w:rPr>
              <w:t xml:space="preserve">održavanje prilaza grobljima, održavanje zgrade mrtvačnice                                 </w:t>
            </w:r>
          </w:p>
          <w:p w:rsidR="00440A6E" w:rsidRDefault="00440A6E" w:rsidP="00A66748">
            <w:pPr>
              <w:numPr>
                <w:ilvl w:val="0"/>
                <w:numId w:val="29"/>
              </w:numPr>
              <w:spacing w:after="32" w:line="249" w:lineRule="auto"/>
              <w:ind w:left="-5" w:right="1124" w:hanging="139"/>
              <w:jc w:val="both"/>
              <w:rPr>
                <w:rFonts w:ascii="Times New Roman" w:hAnsi="Times New Roman"/>
                <w:sz w:val="24"/>
                <w:szCs w:val="24"/>
              </w:rPr>
            </w:pPr>
            <w:r>
              <w:rPr>
                <w:rFonts w:ascii="Times New Roman" w:hAnsi="Times New Roman"/>
                <w:sz w:val="24"/>
                <w:szCs w:val="24"/>
              </w:rPr>
              <w:t xml:space="preserve">Redovito košenje trave, traktorskom kosilicom i ručnom mehaničkom kosilicom, u svim grobljima na području Općine </w:t>
            </w:r>
            <w:r>
              <w:rPr>
                <w:rFonts w:ascii="Times New Roman" w:hAnsi="Times New Roman"/>
                <w:sz w:val="24"/>
                <w:szCs w:val="24"/>
              </w:rPr>
              <w:lastRenderedPageBreak/>
              <w:t xml:space="preserve">Gornji Bogićevci  1-2 puta mjesečno ili po potrebi u vremenskom razdoblju od 1. travnja do 1. studenog. </w:t>
            </w:r>
          </w:p>
          <w:p w:rsidR="00440A6E" w:rsidRDefault="00440A6E" w:rsidP="00F57898">
            <w:pPr>
              <w:spacing w:line="276" w:lineRule="auto"/>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lang w:val="hr-HR"/>
              </w:rPr>
              <w:lastRenderedPageBreak/>
              <w:t>1</w:t>
            </w:r>
            <w:r>
              <w:rPr>
                <w:rFonts w:ascii="Times New Roman" w:hAnsi="Times New Roman"/>
                <w:sz w:val="24"/>
                <w:szCs w:val="24"/>
              </w:rPr>
              <w:t>7.</w:t>
            </w:r>
            <w:r>
              <w:rPr>
                <w:rFonts w:ascii="Times New Roman" w:hAnsi="Times New Roman"/>
                <w:sz w:val="24"/>
                <w:szCs w:val="24"/>
                <w:lang w:val="hr-HR"/>
              </w:rPr>
              <w:t>846</w:t>
            </w:r>
            <w:r>
              <w:rPr>
                <w:rFonts w:ascii="Times New Roman" w:hAnsi="Times New Roman"/>
                <w:sz w:val="24"/>
                <w:szCs w:val="24"/>
              </w:rPr>
              <w:t>,</w:t>
            </w:r>
            <w:r>
              <w:rPr>
                <w:rFonts w:ascii="Times New Roman" w:hAnsi="Times New Roman"/>
                <w:sz w:val="24"/>
                <w:szCs w:val="24"/>
                <w:lang w:val="hr-HR"/>
              </w:rPr>
              <w:t>66</w:t>
            </w:r>
            <w:r>
              <w:rPr>
                <w:rFonts w:ascii="Times New Roman" w:hAnsi="Times New Roman"/>
                <w:sz w:val="24"/>
                <w:szCs w:val="24"/>
              </w:rPr>
              <w:t xml:space="preserve">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jc w:val="both"/>
              <w:rPr>
                <w:rFonts w:ascii="Times New Roman" w:hAnsi="Times New Roman"/>
                <w:b/>
                <w:bCs/>
                <w:sz w:val="24"/>
                <w:szCs w:val="24"/>
              </w:rPr>
            </w:pPr>
            <w:r>
              <w:rPr>
                <w:rFonts w:ascii="Times New Roman" w:hAnsi="Times New Roman"/>
                <w:b/>
                <w:bCs/>
                <w:sz w:val="24"/>
                <w:szCs w:val="24"/>
              </w:rPr>
              <w:lastRenderedPageBreak/>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lang w:val="hr-HR"/>
              </w:rPr>
              <w:t>1</w:t>
            </w:r>
            <w:r>
              <w:rPr>
                <w:rFonts w:ascii="Times New Roman" w:hAnsi="Times New Roman"/>
                <w:b/>
                <w:bCs/>
                <w:sz w:val="24"/>
                <w:szCs w:val="24"/>
              </w:rPr>
              <w:t>7.</w:t>
            </w:r>
            <w:r>
              <w:rPr>
                <w:rFonts w:ascii="Times New Roman" w:hAnsi="Times New Roman"/>
                <w:b/>
                <w:bCs/>
                <w:sz w:val="24"/>
                <w:szCs w:val="24"/>
                <w:lang w:val="hr-HR"/>
              </w:rPr>
              <w:t>846</w:t>
            </w:r>
            <w:r>
              <w:rPr>
                <w:rFonts w:ascii="Times New Roman" w:hAnsi="Times New Roman"/>
                <w:b/>
                <w:bCs/>
                <w:sz w:val="24"/>
                <w:szCs w:val="24"/>
              </w:rPr>
              <w:t>,</w:t>
            </w:r>
            <w:r>
              <w:rPr>
                <w:rFonts w:ascii="Times New Roman" w:hAnsi="Times New Roman"/>
                <w:b/>
                <w:bCs/>
                <w:sz w:val="24"/>
                <w:szCs w:val="24"/>
                <w:lang w:val="hr-HR"/>
              </w:rPr>
              <w:t>66</w:t>
            </w:r>
            <w:r>
              <w:rPr>
                <w:rFonts w:ascii="Times New Roman" w:hAnsi="Times New Roman"/>
                <w:b/>
                <w:bCs/>
                <w:sz w:val="24"/>
                <w:szCs w:val="24"/>
              </w:rPr>
              <w:t xml:space="preserve">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 xml:space="preserve">11 Opći prihodi i primici: </w:t>
            </w:r>
            <w:r>
              <w:rPr>
                <w:rFonts w:ascii="Times New Roman" w:hAnsi="Times New Roman"/>
                <w:sz w:val="24"/>
                <w:szCs w:val="24"/>
                <w:lang w:val="hr-HR"/>
              </w:rPr>
              <w:t>6.746,66</w:t>
            </w:r>
            <w:r>
              <w:rPr>
                <w:rFonts w:ascii="Times New Roman" w:hAnsi="Times New Roman"/>
                <w:sz w:val="24"/>
                <w:szCs w:val="24"/>
              </w:rPr>
              <w:t xml:space="preserve"> EUR</w:t>
            </w:r>
          </w:p>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lang w:val="hr-HR"/>
              </w:rPr>
              <w:t>41 Prihodi za posebne namjene: 11.100,00</w:t>
            </w:r>
          </w:p>
          <w:p w:rsidR="00440A6E" w:rsidRDefault="00440A6E"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tc>
      </w:tr>
    </w:tbl>
    <w:p w:rsidR="00440A6E" w:rsidRDefault="00440A6E" w:rsidP="00440A6E">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čistoće javnih površina</w:t>
            </w:r>
          </w:p>
          <w:p w:rsidR="00440A6E" w:rsidRDefault="00440A6E" w:rsidP="00F57898">
            <w:pPr>
              <w:ind w:left="360"/>
              <w:jc w:val="both"/>
              <w:rPr>
                <w:rFonts w:ascii="Times New Roman" w:hAnsi="Times New Roman"/>
                <w:b/>
                <w:bCs/>
                <w:sz w:val="24"/>
                <w:szCs w:val="24"/>
                <w:lang w:eastAsia="hr-HR"/>
              </w:rPr>
            </w:pP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b/>
                <w:b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tabs>
                <w:tab w:val="right" w:pos="9072"/>
              </w:tabs>
              <w:rPr>
                <w:rFonts w:ascii="Times New Roman" w:hAnsi="Times New Roman"/>
                <w:bCs/>
                <w:sz w:val="24"/>
                <w:szCs w:val="24"/>
              </w:rPr>
            </w:pPr>
            <w:r>
              <w:rPr>
                <w:rFonts w:ascii="Times New Roman" w:hAnsi="Times New Roman"/>
                <w:bCs/>
                <w:sz w:val="24"/>
                <w:szCs w:val="24"/>
              </w:rPr>
              <w:t xml:space="preserve">Pod čišćenjem javnih površina podrazumijeva se: </w:t>
            </w:r>
          </w:p>
          <w:p w:rsidR="00440A6E" w:rsidRDefault="00440A6E" w:rsidP="00F57898">
            <w:pPr>
              <w:tabs>
                <w:tab w:val="right" w:pos="9072"/>
              </w:tabs>
              <w:rPr>
                <w:rFonts w:ascii="Times New Roman" w:hAnsi="Times New Roman"/>
                <w:b/>
                <w:bCs/>
                <w:sz w:val="24"/>
                <w:szCs w:val="24"/>
              </w:rPr>
            </w:pPr>
            <w:r>
              <w:rPr>
                <w:rFonts w:ascii="Times New Roman" w:hAnsi="Times New Roman"/>
                <w:bCs/>
                <w:sz w:val="24"/>
                <w:szCs w:val="24"/>
              </w:rPr>
              <w:t>- metenje javnih površina, sakupljanje lišća, uklanjanje uličnog otpada na području Gornjih Bogićevaca. Radovi se izvode tijekom cijele godine i po potrebi.</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lang w:val="hr-HR"/>
              </w:rPr>
              <w:t>3</w:t>
            </w:r>
            <w:r>
              <w:rPr>
                <w:rFonts w:ascii="Times New Roman" w:hAnsi="Times New Roman"/>
                <w:sz w:val="24"/>
                <w:szCs w:val="24"/>
              </w:rPr>
              <w:t>.</w:t>
            </w:r>
            <w:r>
              <w:rPr>
                <w:rFonts w:ascii="Times New Roman" w:hAnsi="Times New Roman"/>
                <w:sz w:val="24"/>
                <w:szCs w:val="24"/>
                <w:lang w:val="hr-HR"/>
              </w:rPr>
              <w:t>9</w:t>
            </w:r>
            <w:r>
              <w:rPr>
                <w:rFonts w:ascii="Times New Roman" w:hAnsi="Times New Roman"/>
                <w:sz w:val="24"/>
                <w:szCs w:val="24"/>
              </w:rPr>
              <w:t>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lang w:val="hr-HR"/>
              </w:rPr>
              <w:t>3</w:t>
            </w:r>
            <w:r>
              <w:rPr>
                <w:rFonts w:ascii="Times New Roman" w:hAnsi="Times New Roman"/>
                <w:b/>
                <w:bCs/>
                <w:sz w:val="24"/>
                <w:szCs w:val="24"/>
              </w:rPr>
              <w:t>.</w:t>
            </w:r>
            <w:r>
              <w:rPr>
                <w:rFonts w:ascii="Times New Roman" w:hAnsi="Times New Roman"/>
                <w:b/>
                <w:bCs/>
                <w:sz w:val="24"/>
                <w:szCs w:val="24"/>
                <w:lang w:val="hr-HR"/>
              </w:rPr>
              <w:t>9</w:t>
            </w:r>
            <w:r>
              <w:rPr>
                <w:rFonts w:ascii="Times New Roman" w:hAnsi="Times New Roman"/>
                <w:b/>
                <w:bCs/>
                <w:sz w:val="24"/>
                <w:szCs w:val="24"/>
              </w:rPr>
              <w:t>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 xml:space="preserve">11 Opći prihodi i primici: </w:t>
            </w:r>
            <w:r>
              <w:rPr>
                <w:rFonts w:ascii="Times New Roman" w:hAnsi="Times New Roman"/>
                <w:sz w:val="24"/>
                <w:szCs w:val="24"/>
                <w:lang w:val="hr-HR"/>
              </w:rPr>
              <w:t>3</w:t>
            </w:r>
            <w:r>
              <w:rPr>
                <w:rFonts w:ascii="Times New Roman" w:hAnsi="Times New Roman"/>
                <w:sz w:val="24"/>
                <w:szCs w:val="24"/>
              </w:rPr>
              <w:t>.</w:t>
            </w:r>
            <w:r>
              <w:rPr>
                <w:rFonts w:ascii="Times New Roman" w:hAnsi="Times New Roman"/>
                <w:sz w:val="24"/>
                <w:szCs w:val="24"/>
                <w:lang w:val="hr-HR"/>
              </w:rPr>
              <w:t>9</w:t>
            </w:r>
            <w:r>
              <w:rPr>
                <w:rFonts w:ascii="Times New Roman" w:hAnsi="Times New Roman"/>
                <w:sz w:val="24"/>
                <w:szCs w:val="24"/>
              </w:rPr>
              <w:t>00,00 EUR</w:t>
            </w:r>
          </w:p>
          <w:p w:rsidR="00440A6E" w:rsidRDefault="00440A6E"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tc>
      </w:tr>
    </w:tbl>
    <w:p w:rsidR="00440A6E" w:rsidRDefault="00440A6E" w:rsidP="00440A6E">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javne rasvjete</w:t>
            </w:r>
          </w:p>
          <w:p w:rsidR="00440A6E" w:rsidRDefault="00440A6E" w:rsidP="00F57898">
            <w:pPr>
              <w:ind w:left="360"/>
              <w:jc w:val="both"/>
              <w:rPr>
                <w:rFonts w:ascii="Times New Roman" w:hAnsi="Times New Roman"/>
                <w:b/>
                <w:bCs/>
                <w:sz w:val="24"/>
                <w:szCs w:val="24"/>
                <w:lang w:eastAsia="hr-HR"/>
              </w:rPr>
            </w:pPr>
          </w:p>
          <w:p w:rsidR="00440A6E" w:rsidRDefault="00440A6E"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440A6E" w:rsidRDefault="00440A6E" w:rsidP="00F57898">
            <w:pPr>
              <w:jc w:val="center"/>
              <w:rPr>
                <w:rFonts w:ascii="Times New Roman" w:hAnsi="Times New Roman"/>
                <w:b/>
                <w:bCs/>
                <w:sz w:val="24"/>
                <w:szCs w:val="24"/>
              </w:rPr>
            </w:pPr>
            <w:r>
              <w:rPr>
                <w:rFonts w:ascii="Times New Roman" w:hAnsi="Times New Roman"/>
                <w:b/>
                <w:sz w:val="24"/>
                <w:szCs w:val="24"/>
              </w:rPr>
              <w:t>2025.</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tabs>
                <w:tab w:val="right" w:pos="9072"/>
              </w:tabs>
              <w:rPr>
                <w:rFonts w:ascii="Times New Roman" w:hAnsi="Times New Roman"/>
                <w:bCs/>
                <w:sz w:val="24"/>
                <w:szCs w:val="24"/>
              </w:rPr>
            </w:pPr>
            <w:r>
              <w:rPr>
                <w:rFonts w:ascii="Times New Roman" w:hAnsi="Times New Roman"/>
                <w:bCs/>
                <w:sz w:val="24"/>
                <w:szCs w:val="24"/>
              </w:rPr>
              <w:t xml:space="preserve">Održavanje javne rasvjete odnosi se na: </w:t>
            </w:r>
          </w:p>
          <w:p w:rsidR="00440A6E" w:rsidRDefault="00440A6E" w:rsidP="00F57898">
            <w:pPr>
              <w:tabs>
                <w:tab w:val="right" w:pos="9072"/>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plaćanje utrošene električne energije za korištenje javne rasvjete u svim naseljima na području Općine Gornji Bogićevci tijekom cijele godine  </w:t>
            </w:r>
          </w:p>
          <w:p w:rsidR="00440A6E" w:rsidRDefault="00440A6E" w:rsidP="00F57898">
            <w:pPr>
              <w:tabs>
                <w:tab w:val="right" w:pos="9072"/>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Održavanje javne rasvjete što podrazumijeva sve potrebne radove na javnoj rasvjeti u naseljima na području Općine Gornji Bogićevci, kao što je zamjena žarulja, odnosno rasvjetnih tijela, prigušnica, rasvjetnih stupova  i dr. (radovi će se izvoditi tijekom cijele godine) </w:t>
            </w: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hr-HR"/>
              </w:rPr>
              <w:t>2</w:t>
            </w:r>
            <w:r>
              <w:rPr>
                <w:rFonts w:ascii="Times New Roman" w:hAnsi="Times New Roman"/>
                <w:sz w:val="24"/>
                <w:szCs w:val="24"/>
              </w:rPr>
              <w:t>.000,00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440A6E" w:rsidRDefault="00440A6E" w:rsidP="00F57898">
            <w:pPr>
              <w:jc w:val="right"/>
              <w:rPr>
                <w:rFonts w:ascii="Times New Roman" w:hAnsi="Times New Roman"/>
                <w:b/>
                <w:bCs/>
                <w:sz w:val="24"/>
                <w:szCs w:val="24"/>
              </w:rPr>
            </w:pPr>
            <w:r>
              <w:rPr>
                <w:rFonts w:ascii="Times New Roman" w:hAnsi="Times New Roman"/>
                <w:b/>
                <w:bCs/>
                <w:sz w:val="24"/>
                <w:szCs w:val="24"/>
              </w:rPr>
              <w:t>1</w:t>
            </w:r>
            <w:r>
              <w:rPr>
                <w:rFonts w:ascii="Times New Roman" w:hAnsi="Times New Roman"/>
                <w:b/>
                <w:bCs/>
                <w:sz w:val="24"/>
                <w:szCs w:val="24"/>
                <w:lang w:val="hr-HR"/>
              </w:rPr>
              <w:t>2</w:t>
            </w:r>
            <w:r>
              <w:rPr>
                <w:rFonts w:ascii="Times New Roman" w:hAnsi="Times New Roman"/>
                <w:b/>
                <w:bCs/>
                <w:sz w:val="24"/>
                <w:szCs w:val="24"/>
              </w:rPr>
              <w:t>.000,00 EUR</w:t>
            </w:r>
          </w:p>
        </w:tc>
      </w:tr>
      <w:tr w:rsidR="00440A6E" w:rsidTr="00F57898">
        <w:tc>
          <w:tcPr>
            <w:tcW w:w="7650" w:type="dxa"/>
            <w:tcBorders>
              <w:top w:val="single" w:sz="4" w:space="0" w:color="auto"/>
              <w:left w:val="single" w:sz="4" w:space="0" w:color="auto"/>
              <w:bottom w:val="single" w:sz="4" w:space="0" w:color="auto"/>
              <w:right w:val="single" w:sz="4" w:space="0" w:color="auto"/>
            </w:tcBorders>
          </w:tcPr>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rPr>
              <w:t>11 opći prihodi i primici: 1.000,00 EUR</w:t>
            </w:r>
          </w:p>
          <w:p w:rsidR="00440A6E" w:rsidRDefault="00440A6E" w:rsidP="00F57898">
            <w:pPr>
              <w:spacing w:line="276" w:lineRule="auto"/>
              <w:jc w:val="both"/>
              <w:rPr>
                <w:rFonts w:ascii="Times New Roman" w:hAnsi="Times New Roman"/>
                <w:sz w:val="24"/>
                <w:szCs w:val="24"/>
              </w:rPr>
            </w:pPr>
            <w:r>
              <w:rPr>
                <w:rFonts w:ascii="Times New Roman" w:hAnsi="Times New Roman"/>
                <w:sz w:val="24"/>
                <w:szCs w:val="24"/>
                <w:lang w:val="hr-HR"/>
              </w:rPr>
              <w:t>44 prihod od groben naknade: 11.000</w:t>
            </w:r>
          </w:p>
          <w:p w:rsidR="00440A6E" w:rsidRDefault="00440A6E"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440A6E" w:rsidRDefault="00440A6E" w:rsidP="00F57898">
            <w:pPr>
              <w:jc w:val="right"/>
              <w:rPr>
                <w:rFonts w:ascii="Times New Roman" w:hAnsi="Times New Roman"/>
                <w:b/>
                <w:bCs/>
                <w:sz w:val="24"/>
                <w:szCs w:val="24"/>
              </w:rPr>
            </w:pPr>
          </w:p>
        </w:tc>
      </w:tr>
    </w:tbl>
    <w:p w:rsidR="00440A6E" w:rsidRDefault="00440A6E" w:rsidP="00440A6E">
      <w:pPr>
        <w:spacing w:after="0" w:line="240" w:lineRule="auto"/>
        <w:jc w:val="both"/>
        <w:rPr>
          <w:rFonts w:ascii="Times New Roman" w:eastAsia="Times New Roman" w:hAnsi="Times New Roman" w:cs="Times New Roman"/>
          <w:sz w:val="24"/>
          <w:szCs w:val="24"/>
          <w:lang w:eastAsia="hr-HR"/>
        </w:rPr>
      </w:pPr>
    </w:p>
    <w:p w:rsidR="00440A6E" w:rsidRDefault="00440A6E" w:rsidP="00440A6E">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sz w:val="24"/>
          <w:szCs w:val="24"/>
          <w:lang w:eastAsia="hr-HR"/>
        </w:rPr>
        <w:t>Članak 4.</w:t>
      </w:r>
    </w:p>
    <w:p w:rsidR="00440A6E" w:rsidRDefault="00440A6E" w:rsidP="00440A6E">
      <w:pPr>
        <w:spacing w:after="0" w:line="240" w:lineRule="auto"/>
        <w:rPr>
          <w:rFonts w:ascii="Times New Roman" w:eastAsia="Times New Roman" w:hAnsi="Times New Roman" w:cs="Times New Roman"/>
          <w:b/>
          <w:sz w:val="24"/>
          <w:szCs w:val="24"/>
          <w:lang w:eastAsia="hr-HR"/>
        </w:rPr>
      </w:pPr>
    </w:p>
    <w:p w:rsidR="00440A6E" w:rsidRDefault="00440A6E" w:rsidP="00440A6E">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Ovaj Program stupa na snagu osmi dan od dana objave u Službenom Glasniku Općine Gornji Bogićevci</w:t>
      </w:r>
    </w:p>
    <w:p w:rsidR="00440A6E" w:rsidRDefault="00440A6E" w:rsidP="00440A6E">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 </w:t>
      </w:r>
    </w:p>
    <w:p w:rsidR="00440A6E" w:rsidRDefault="00440A6E" w:rsidP="00440A6E">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Cs/>
          <w:sz w:val="24"/>
          <w:szCs w:val="24"/>
        </w:rPr>
        <w:t xml:space="preserve">OPĆINA GORNJI BOGIĆEVCI OPĆINSKO VIJEĆE </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KLASA: 400-05-25-01-01</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URBROJ: 2178-22-03-25-17</w:t>
      </w:r>
    </w:p>
    <w:p w:rsidR="00440A6E" w:rsidRDefault="00440A6E" w:rsidP="00440A6E">
      <w:pPr>
        <w:spacing w:after="0"/>
        <w:rPr>
          <w:rFonts w:ascii="Times New Roman" w:hAnsi="Times New Roman" w:cs="Times New Roman"/>
          <w:sz w:val="24"/>
          <w:szCs w:val="24"/>
        </w:rPr>
      </w:pPr>
      <w:r>
        <w:rPr>
          <w:rFonts w:ascii="Times New Roman" w:hAnsi="Times New Roman" w:cs="Times New Roman"/>
          <w:sz w:val="24"/>
          <w:szCs w:val="24"/>
        </w:rPr>
        <w:t xml:space="preserve">Gornji Bogićevci, 22. prosinca 2025. godine                                                               </w:t>
      </w:r>
    </w:p>
    <w:p w:rsidR="00440A6E" w:rsidRDefault="00440A6E" w:rsidP="00440A6E">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                                                                                </w:t>
      </w:r>
    </w:p>
    <w:p w:rsidR="00440A6E" w:rsidRDefault="00440A6E" w:rsidP="00440A6E">
      <w:pPr>
        <w:spacing w:after="0" w:line="240" w:lineRule="auto"/>
        <w:rPr>
          <w:rFonts w:ascii="Times New Roman" w:eastAsia="Times New Roman" w:hAnsi="Times New Roman" w:cs="Times New Roman"/>
          <w:bCs/>
          <w:sz w:val="24"/>
          <w:szCs w:val="24"/>
          <w:lang w:eastAsia="hr-HR"/>
        </w:rPr>
      </w:pPr>
    </w:p>
    <w:p w:rsidR="00440A6E" w:rsidRDefault="00440A6E" w:rsidP="00440A6E">
      <w:pPr>
        <w:spacing w:after="0" w:line="240" w:lineRule="auto"/>
        <w:rPr>
          <w:rFonts w:ascii="Times New Roman" w:eastAsia="Times New Roman" w:hAnsi="Times New Roman" w:cs="Times New Roman"/>
          <w:bCs/>
          <w:sz w:val="24"/>
          <w:szCs w:val="24"/>
          <w:lang w:eastAsia="hr-HR"/>
        </w:rPr>
      </w:pPr>
    </w:p>
    <w:p w:rsidR="00440A6E" w:rsidRDefault="00440A6E" w:rsidP="00440A6E">
      <w:pPr>
        <w:spacing w:after="0" w:line="240" w:lineRule="auto"/>
        <w:rPr>
          <w:rFonts w:ascii="Times New Roman" w:eastAsia="Times New Roman" w:hAnsi="Times New Roman" w:cs="Times New Roman"/>
          <w:bCs/>
          <w:sz w:val="24"/>
          <w:szCs w:val="24"/>
          <w:lang w:eastAsia="hr-HR"/>
        </w:rPr>
      </w:pPr>
    </w:p>
    <w:p w:rsidR="00440A6E" w:rsidRDefault="00440A6E" w:rsidP="00440A6E">
      <w:pPr>
        <w:spacing w:after="0" w:line="240" w:lineRule="auto"/>
        <w:ind w:left="4248" w:firstLine="708"/>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OPĆINSKOG  VIJEĆA</w:t>
      </w:r>
    </w:p>
    <w:p w:rsidR="00440A6E" w:rsidRDefault="00440A6E" w:rsidP="00440A6E">
      <w:pPr>
        <w:spacing w:after="0" w:line="240" w:lineRule="auto"/>
        <w:ind w:left="5664" w:firstLine="708"/>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Željko Klarić</w:t>
      </w:r>
    </w:p>
    <w:p w:rsidR="00440A6E" w:rsidRDefault="00440A6E" w:rsidP="00440A6E">
      <w:pPr>
        <w:rPr>
          <w:rFonts w:ascii="Times New Roman" w:hAnsi="Times New Roman" w:cs="Times New Roman"/>
          <w:sz w:val="24"/>
          <w:szCs w:val="24"/>
        </w:rPr>
      </w:pPr>
    </w:p>
    <w:p w:rsidR="00440A6E" w:rsidRDefault="00440A6E" w:rsidP="00440A6E">
      <w:pPr>
        <w:rPr>
          <w:rFonts w:ascii="Times New Roman" w:hAnsi="Times New Roman" w:cs="Times New Roman"/>
          <w:sz w:val="24"/>
          <w:szCs w:val="24"/>
        </w:rPr>
      </w:pPr>
    </w:p>
    <w:p w:rsidR="00440A6E" w:rsidRDefault="00440A6E" w:rsidP="00440A6E">
      <w:pPr>
        <w:rPr>
          <w:rFonts w:ascii="Times New Roman" w:hAnsi="Times New Roman" w:cs="Times New Roman"/>
          <w:sz w:val="24"/>
          <w:szCs w:val="24"/>
        </w:rPr>
      </w:pPr>
    </w:p>
    <w:p w:rsidR="00440A6E" w:rsidRDefault="00440A6E" w:rsidP="00440A6E">
      <w:pPr>
        <w:rPr>
          <w:rFonts w:ascii="Times New Roman" w:hAnsi="Times New Roman" w:cs="Times New Roman"/>
          <w:sz w:val="24"/>
          <w:szCs w:val="24"/>
        </w:rPr>
      </w:pPr>
      <w:r>
        <w:rPr>
          <w:rFonts w:ascii="Times New Roman" w:hAnsi="Times New Roman" w:cs="Times New Roman"/>
          <w:sz w:val="24"/>
          <w:szCs w:val="24"/>
        </w:rPr>
        <w:t>DOSTAVITI:</w:t>
      </w:r>
    </w:p>
    <w:p w:rsidR="00440A6E" w:rsidRDefault="00440A6E" w:rsidP="00A66748">
      <w:pPr>
        <w:numPr>
          <w:ilvl w:val="0"/>
          <w:numId w:val="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Jedinstveni upravni odjel</w:t>
      </w:r>
    </w:p>
    <w:p w:rsidR="00440A6E" w:rsidRDefault="00440A6E" w:rsidP="00A66748">
      <w:pPr>
        <w:numPr>
          <w:ilvl w:val="0"/>
          <w:numId w:val="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Službeni Glasnik Općine Gornji Bogićevci</w:t>
      </w:r>
    </w:p>
    <w:p w:rsidR="00440A6E" w:rsidRDefault="00440A6E" w:rsidP="00A66748">
      <w:pPr>
        <w:numPr>
          <w:ilvl w:val="0"/>
          <w:numId w:val="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Ministarstvo prostornog uređenja, graditeljstva i državne imovine</w:t>
      </w:r>
    </w:p>
    <w:p w:rsidR="00440A6E" w:rsidRDefault="00440A6E" w:rsidP="00A66748">
      <w:pPr>
        <w:numPr>
          <w:ilvl w:val="0"/>
          <w:numId w:val="15"/>
        </w:numPr>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Pismohrana.</w:t>
      </w: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Cs w:val="24"/>
          <w:lang w:eastAsia="ar-SA"/>
        </w:rPr>
      </w:pPr>
    </w:p>
    <w:p w:rsidR="00440A6E" w:rsidRDefault="00440A6E" w:rsidP="00440A6E">
      <w:pPr>
        <w:rPr>
          <w:rFonts w:ascii="Times New Roman" w:hAnsi="Times New Roman" w:cs="Times New Roman"/>
          <w:color w:val="000000" w:themeColor="text1"/>
          <w:sz w:val="24"/>
          <w:szCs w:val="24"/>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noProof/>
          <w:sz w:val="24"/>
          <w:szCs w:val="24"/>
          <w:lang w:eastAsia="hr-HR"/>
        </w:rPr>
        <w:drawing>
          <wp:inline distT="0" distB="0" distL="0" distR="0">
            <wp:extent cx="485775" cy="647700"/>
            <wp:effectExtent l="0" t="0" r="0" b="0"/>
            <wp:docPr id="846984880"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REPUBLIKA HRVATSKA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BRODSKO-POSAVSKA ŽUPANIJA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OPĆINA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OPĆINSKO VIJEĆE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 xml:space="preserve">Trg hrvatskih branitelja 1, </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35429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OIB: 89414039518</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Tel: 035/375-056</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bCs/>
          <w:sz w:val="24"/>
          <w:szCs w:val="24"/>
          <w:lang w:eastAsia="ar-SA"/>
        </w:rPr>
      </w:pPr>
      <w:r w:rsidRPr="00440A6E">
        <w:rPr>
          <w:rFonts w:ascii="Times New Roman" w:eastAsia="Times New Roman" w:hAnsi="Times New Roman" w:cs="Times New Roman"/>
          <w:b/>
          <w:bCs/>
          <w:sz w:val="24"/>
          <w:szCs w:val="24"/>
          <w:lang w:eastAsia="ar-SA"/>
        </w:rPr>
        <w:tab/>
      </w:r>
      <w:r w:rsidRPr="00440A6E">
        <w:rPr>
          <w:rFonts w:ascii="Times New Roman" w:eastAsia="Times New Roman" w:hAnsi="Times New Roman" w:cs="Times New Roman"/>
          <w:bCs/>
          <w:sz w:val="24"/>
          <w:szCs w:val="24"/>
          <w:lang w:eastAsia="ar-SA"/>
        </w:rPr>
        <w:t xml:space="preserve">Na temelju Zakona o vatrogastvu („Narodne novine“ broj 125/19), članka 16. Zakona o sustavu civilne zaštite („Narodne novine“ broj 82/15, 118/18, 31/20, 20/21 i 114/22), članka 16. Zakona o Hrvatskoj gorskoj službi spašavanja („Narodne novine“ broj 76/06 i 110/15) te </w:t>
      </w:r>
      <w:r w:rsidRPr="00440A6E">
        <w:rPr>
          <w:rFonts w:ascii="Times New Roman" w:eastAsia="Times New Roman" w:hAnsi="Times New Roman" w:cs="Times New Roman"/>
          <w:sz w:val="24"/>
          <w:szCs w:val="24"/>
          <w:lang w:eastAsia="ar-SA"/>
        </w:rPr>
        <w:t xml:space="preserve">članka 39. stavak 5 Statuta općine Gornji Bogićevci („Službeni glasnik Općine Gornji Bogićevci“, broj 02/21, Općinsko vijeće općine Gornji Bogićevci na svojoj 5. sjednici održanoj 22. prosinca 2025. godine, </w:t>
      </w:r>
    </w:p>
    <w:p w:rsidR="00440A6E" w:rsidRPr="00440A6E" w:rsidRDefault="00440A6E" w:rsidP="00440A6E">
      <w:pPr>
        <w:suppressAutoHyphens/>
        <w:spacing w:after="0" w:line="240" w:lineRule="auto"/>
        <w:jc w:val="center"/>
        <w:rPr>
          <w:rFonts w:ascii="Times New Roman" w:eastAsia="Times New Roman" w:hAnsi="Times New Roman" w:cs="Times New Roman"/>
          <w:bCs/>
          <w:sz w:val="24"/>
          <w:szCs w:val="24"/>
          <w:lang w:val="en-GB"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 xml:space="preserve">P  R  O  G  R  A  M  </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ORGANIZIRANJA I PROVOĐENJA ZAŠTITE I SPAŠAVANJA</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NA PODRUČJU OPĆINE GORNJI BOGIĆEVCI ZA  2025. GODINU</w:t>
      </w:r>
    </w:p>
    <w:p w:rsidR="00440A6E" w:rsidRPr="00440A6E" w:rsidRDefault="00440A6E" w:rsidP="00440A6E">
      <w:pPr>
        <w:suppressAutoHyphens/>
        <w:spacing w:after="0" w:line="240" w:lineRule="auto"/>
        <w:jc w:val="center"/>
        <w:rPr>
          <w:rFonts w:ascii="Times New Roman" w:eastAsia="Times New Roman" w:hAnsi="Times New Roman" w:cs="Times New Roman"/>
          <w:bCs/>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Članak 1.</w:t>
      </w: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bCs/>
          <w:sz w:val="24"/>
          <w:szCs w:val="24"/>
          <w:lang w:eastAsia="ar-SA"/>
        </w:rPr>
      </w:pPr>
      <w:r w:rsidRPr="00440A6E">
        <w:rPr>
          <w:rFonts w:ascii="Times New Roman" w:eastAsia="Times New Roman" w:hAnsi="Times New Roman" w:cs="Times New Roman"/>
          <w:bCs/>
          <w:sz w:val="24"/>
          <w:szCs w:val="24"/>
          <w:lang w:eastAsia="ar-SA"/>
        </w:rPr>
        <w:t xml:space="preserve">U Proračunu Općine Gornji Bogićevci za 2025. godinu osiguravaju se sredstva za   provođenje Programa organiziranja i provođenja zaštite i spašavanja na području općine </w:t>
      </w:r>
      <w:r w:rsidRPr="00440A6E">
        <w:rPr>
          <w:rFonts w:ascii="Times New Roman" w:eastAsia="Times New Roman" w:hAnsi="Times New Roman" w:cs="Times New Roman"/>
          <w:bCs/>
          <w:sz w:val="24"/>
          <w:szCs w:val="24"/>
          <w:lang w:eastAsia="ar-SA"/>
        </w:rPr>
        <w:tab/>
        <w:t xml:space="preserve">Gornji Bogićevci za 2025. godinu. Novčana sredstva u iznosu od </w:t>
      </w:r>
      <w:r w:rsidRPr="00440A6E">
        <w:rPr>
          <w:rFonts w:ascii="Times New Roman" w:eastAsia="Times New Roman" w:hAnsi="Times New Roman" w:cs="Times New Roman"/>
          <w:b/>
          <w:sz w:val="24"/>
          <w:szCs w:val="24"/>
          <w:lang w:eastAsia="ar-SA"/>
        </w:rPr>
        <w:t>22.963,61</w:t>
      </w:r>
      <w:r w:rsidRPr="00440A6E">
        <w:rPr>
          <w:rFonts w:ascii="Times New Roman" w:eastAsia="Times New Roman" w:hAnsi="Times New Roman" w:cs="Times New Roman"/>
          <w:bCs/>
          <w:sz w:val="24"/>
          <w:szCs w:val="24"/>
          <w:lang w:eastAsia="ar-SA"/>
        </w:rPr>
        <w:t xml:space="preserve"> EUR namijenjena su za slijedeće aktivnosti:</w:t>
      </w:r>
    </w:p>
    <w:p w:rsidR="00440A6E" w:rsidRPr="00440A6E" w:rsidRDefault="00440A6E" w:rsidP="00440A6E">
      <w:pPr>
        <w:suppressAutoHyphens/>
        <w:spacing w:after="0" w:line="240" w:lineRule="auto"/>
        <w:rPr>
          <w:rFonts w:ascii="Times New Roman" w:eastAsia="Times New Roman" w:hAnsi="Times New Roman" w:cs="Times New Roman"/>
          <w:b/>
          <w:b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638"/>
        <w:gridCol w:w="1570"/>
      </w:tblGrid>
      <w:tr w:rsidR="00440A6E" w:rsidRPr="00440A6E" w:rsidTr="00F57898">
        <w:trPr>
          <w:trHeight w:val="276"/>
        </w:trPr>
        <w:tc>
          <w:tcPr>
            <w:tcW w:w="1101" w:type="dxa"/>
            <w:shd w:val="clear" w:color="auto" w:fill="A3DBFF"/>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REDNI BROJ</w:t>
            </w:r>
          </w:p>
        </w:tc>
        <w:tc>
          <w:tcPr>
            <w:tcW w:w="5638" w:type="dxa"/>
            <w:shd w:val="clear" w:color="auto" w:fill="A3DBFF"/>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AKTIVNOST</w:t>
            </w:r>
          </w:p>
        </w:tc>
        <w:tc>
          <w:tcPr>
            <w:tcW w:w="1570" w:type="dxa"/>
            <w:shd w:val="clear" w:color="auto" w:fill="A3DBFF"/>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IZNOS (EUR)</w:t>
            </w:r>
          </w:p>
        </w:tc>
      </w:tr>
      <w:tr w:rsidR="00440A6E" w:rsidRPr="00440A6E" w:rsidTr="00F57898">
        <w:trPr>
          <w:trHeight w:val="276"/>
        </w:trPr>
        <w:tc>
          <w:tcPr>
            <w:tcW w:w="1101" w:type="dxa"/>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lastRenderedPageBreak/>
              <w:t>1</w:t>
            </w:r>
          </w:p>
        </w:tc>
        <w:tc>
          <w:tcPr>
            <w:tcW w:w="5638" w:type="dxa"/>
          </w:tcPr>
          <w:p w:rsidR="00440A6E" w:rsidRPr="00440A6E" w:rsidRDefault="00440A6E" w:rsidP="00440A6E">
            <w:pPr>
              <w:suppressLineNumbers/>
              <w:suppressAutoHyphens/>
              <w:snapToGrid w:val="0"/>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DVD GORNJI BOGIĆEVCI</w:t>
            </w:r>
          </w:p>
        </w:tc>
        <w:tc>
          <w:tcPr>
            <w:tcW w:w="1570" w:type="dxa"/>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eastAsia="ar-SA"/>
              </w:rPr>
              <w:t>30</w:t>
            </w:r>
            <w:r w:rsidRPr="00440A6E">
              <w:rPr>
                <w:rFonts w:ascii="Times New Roman" w:eastAsia="Times New Roman" w:hAnsi="Times New Roman" w:cs="Times New Roman"/>
                <w:sz w:val="24"/>
                <w:szCs w:val="24"/>
                <w:lang w:val="en-GB" w:eastAsia="ar-SA"/>
              </w:rPr>
              <w:t>.000,00</w:t>
            </w:r>
          </w:p>
        </w:tc>
      </w:tr>
      <w:tr w:rsidR="00440A6E" w:rsidRPr="00440A6E" w:rsidTr="00F57898">
        <w:trPr>
          <w:trHeight w:val="276"/>
        </w:trPr>
        <w:tc>
          <w:tcPr>
            <w:tcW w:w="1101" w:type="dxa"/>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2</w:t>
            </w:r>
          </w:p>
        </w:tc>
        <w:tc>
          <w:tcPr>
            <w:tcW w:w="5638" w:type="dxa"/>
          </w:tcPr>
          <w:p w:rsidR="00440A6E" w:rsidRPr="00440A6E" w:rsidRDefault="00440A6E" w:rsidP="00440A6E">
            <w:pPr>
              <w:suppressLineNumbers/>
              <w:suppressAutoHyphens/>
              <w:snapToGrid w:val="0"/>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CIVILNA ZAŠTITA</w:t>
            </w:r>
          </w:p>
        </w:tc>
        <w:tc>
          <w:tcPr>
            <w:tcW w:w="1570" w:type="dxa"/>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3.963,61</w:t>
            </w:r>
          </w:p>
        </w:tc>
      </w:tr>
      <w:tr w:rsidR="00440A6E" w:rsidRPr="00440A6E" w:rsidTr="00F57898">
        <w:trPr>
          <w:trHeight w:val="276"/>
        </w:trPr>
        <w:tc>
          <w:tcPr>
            <w:tcW w:w="1101" w:type="dxa"/>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3</w:t>
            </w:r>
          </w:p>
        </w:tc>
        <w:tc>
          <w:tcPr>
            <w:tcW w:w="5638" w:type="dxa"/>
          </w:tcPr>
          <w:p w:rsidR="00440A6E" w:rsidRPr="00440A6E" w:rsidRDefault="00440A6E" w:rsidP="00440A6E">
            <w:pPr>
              <w:suppressLineNumbers/>
              <w:suppressAutoHyphens/>
              <w:snapToGrid w:val="0"/>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SUFINANCIRANJE GORSKE SLUŽBE SPAŠAVANJA</w:t>
            </w:r>
          </w:p>
        </w:tc>
        <w:tc>
          <w:tcPr>
            <w:tcW w:w="1570" w:type="dxa"/>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650,00</w:t>
            </w:r>
          </w:p>
        </w:tc>
      </w:tr>
      <w:tr w:rsidR="00440A6E" w:rsidRPr="00440A6E" w:rsidTr="00F57898">
        <w:trPr>
          <w:trHeight w:val="276"/>
        </w:trPr>
        <w:tc>
          <w:tcPr>
            <w:tcW w:w="1101" w:type="dxa"/>
            <w:shd w:val="clear" w:color="auto" w:fill="A3DBFF"/>
          </w:tcPr>
          <w:p w:rsidR="00440A6E" w:rsidRPr="00440A6E" w:rsidRDefault="00440A6E" w:rsidP="00440A6E">
            <w:pPr>
              <w:suppressLineNumbers/>
              <w:suppressAutoHyphens/>
              <w:snapToGrid w:val="0"/>
              <w:spacing w:after="0" w:line="240" w:lineRule="auto"/>
              <w:rPr>
                <w:rFonts w:ascii="Times New Roman" w:eastAsia="Times New Roman" w:hAnsi="Times New Roman" w:cs="Times New Roman"/>
                <w:sz w:val="24"/>
                <w:szCs w:val="24"/>
                <w:lang w:val="en-GB" w:eastAsia="ar-SA"/>
              </w:rPr>
            </w:pPr>
          </w:p>
        </w:tc>
        <w:tc>
          <w:tcPr>
            <w:tcW w:w="5638" w:type="dxa"/>
            <w:shd w:val="clear" w:color="auto" w:fill="A3DBFF"/>
          </w:tcPr>
          <w:p w:rsidR="00440A6E" w:rsidRPr="00440A6E" w:rsidRDefault="00440A6E" w:rsidP="00440A6E">
            <w:pPr>
              <w:suppressLineNumbers/>
              <w:suppressAutoHyphens/>
              <w:snapToGrid w:val="0"/>
              <w:spacing w:after="0" w:line="240" w:lineRule="auto"/>
              <w:rPr>
                <w:rFonts w:ascii="Times New Roman" w:eastAsia="Times New Roman" w:hAnsi="Times New Roman" w:cs="Times New Roman"/>
                <w:b/>
                <w:sz w:val="24"/>
                <w:szCs w:val="24"/>
                <w:lang w:val="en-GB" w:eastAsia="ar-SA"/>
              </w:rPr>
            </w:pPr>
            <w:r w:rsidRPr="00440A6E">
              <w:rPr>
                <w:rFonts w:ascii="Times New Roman" w:eastAsia="Times New Roman" w:hAnsi="Times New Roman" w:cs="Times New Roman"/>
                <w:b/>
                <w:sz w:val="24"/>
                <w:szCs w:val="24"/>
                <w:lang w:val="en-GB" w:eastAsia="ar-SA"/>
              </w:rPr>
              <w:t>UKUPNO:</w:t>
            </w:r>
          </w:p>
        </w:tc>
        <w:tc>
          <w:tcPr>
            <w:tcW w:w="1570" w:type="dxa"/>
            <w:shd w:val="clear" w:color="auto" w:fill="A3DBFF"/>
          </w:tcPr>
          <w:p w:rsidR="00440A6E" w:rsidRPr="00440A6E" w:rsidRDefault="00440A6E" w:rsidP="00440A6E">
            <w:pPr>
              <w:suppressLineNumbers/>
              <w:suppressAutoHyphens/>
              <w:snapToGrid w:val="0"/>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34.613,61</w:t>
            </w:r>
          </w:p>
        </w:tc>
      </w:tr>
    </w:tbl>
    <w:p w:rsidR="00440A6E" w:rsidRPr="00440A6E" w:rsidRDefault="00440A6E" w:rsidP="00440A6E">
      <w:pPr>
        <w:suppressAutoHyphens/>
        <w:spacing w:after="0" w:line="240" w:lineRule="auto"/>
        <w:rPr>
          <w:rFonts w:ascii="Times New Roman" w:eastAsia="Times New Roman" w:hAnsi="Times New Roman" w:cs="Times New Roman"/>
          <w:b/>
          <w:bCs/>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Članak 2.</w:t>
      </w:r>
    </w:p>
    <w:p w:rsidR="00440A6E" w:rsidRPr="00440A6E" w:rsidRDefault="00440A6E" w:rsidP="00440A6E">
      <w:pPr>
        <w:suppressAutoHyphens/>
        <w:spacing w:after="0" w:line="240" w:lineRule="auto"/>
        <w:jc w:val="center"/>
        <w:rPr>
          <w:rFonts w:ascii="Times New Roman" w:eastAsia="Times New Roman" w:hAnsi="Times New Roman" w:cs="Times New Roman"/>
          <w:b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bCs/>
          <w:sz w:val="24"/>
          <w:szCs w:val="24"/>
          <w:lang w:eastAsia="ar-SA"/>
        </w:rPr>
      </w:pPr>
      <w:r w:rsidRPr="00440A6E">
        <w:rPr>
          <w:rFonts w:ascii="Times New Roman" w:eastAsia="Times New Roman" w:hAnsi="Times New Roman" w:cs="Times New Roman"/>
          <w:bCs/>
          <w:sz w:val="24"/>
          <w:szCs w:val="24"/>
          <w:lang w:eastAsia="ar-SA"/>
        </w:rPr>
        <w:t>Ovaj Program stupa na snagu osmi dan od dana objave u “Službenom glasniku Općine Gornji Bogićevci“.</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val="en-GB" w:eastAsia="ar-SA"/>
        </w:rPr>
      </w:pPr>
      <w:r w:rsidRPr="00440A6E">
        <w:rPr>
          <w:rFonts w:ascii="Times New Roman" w:eastAsia="Times New Roman" w:hAnsi="Times New Roman" w:cs="Times New Roman"/>
          <w:bCs/>
          <w:sz w:val="20"/>
          <w:szCs w:val="24"/>
          <w:lang w:val="en-GB" w:eastAsia="ar-SA"/>
        </w:rPr>
        <w:tab/>
      </w:r>
      <w:r w:rsidRPr="00440A6E">
        <w:rPr>
          <w:rFonts w:ascii="Times New Roman" w:eastAsia="Times New Roman" w:hAnsi="Times New Roman" w:cs="Times New Roman"/>
          <w:b/>
          <w:i/>
          <w:sz w:val="24"/>
          <w:szCs w:val="24"/>
          <w:lang w:val="en-GB" w:eastAsia="ar-SA"/>
        </w:rPr>
        <w:t xml:space="preserve">                    </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val="en-GB"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iCs/>
          <w:sz w:val="24"/>
          <w:szCs w:val="24"/>
          <w:lang w:val="en-GB" w:eastAsia="ar-SA"/>
        </w:rPr>
      </w:pPr>
      <w:r w:rsidRPr="00440A6E">
        <w:rPr>
          <w:rFonts w:ascii="Times New Roman" w:eastAsia="Times New Roman" w:hAnsi="Times New Roman" w:cs="Times New Roman"/>
          <w:b/>
          <w:iCs/>
          <w:sz w:val="24"/>
          <w:szCs w:val="24"/>
          <w:lang w:val="en-GB" w:eastAsia="ar-SA"/>
        </w:rPr>
        <w:t>OPĆINSKO VIJEĆE</w:t>
      </w:r>
      <w:r w:rsidRPr="00440A6E">
        <w:rPr>
          <w:rFonts w:ascii="Times New Roman" w:eastAsia="Times New Roman" w:hAnsi="Times New Roman" w:cs="Times New Roman"/>
          <w:b/>
          <w:i/>
          <w:sz w:val="24"/>
          <w:szCs w:val="24"/>
          <w:lang w:val="en-GB" w:eastAsia="ar-SA"/>
        </w:rPr>
        <w:t xml:space="preserve">  </w:t>
      </w:r>
      <w:r w:rsidRPr="00440A6E">
        <w:rPr>
          <w:rFonts w:ascii="Times New Roman" w:eastAsia="Times New Roman" w:hAnsi="Times New Roman" w:cs="Times New Roman"/>
          <w:b/>
          <w:iCs/>
          <w:sz w:val="24"/>
          <w:szCs w:val="24"/>
          <w:lang w:val="en-GB" w:eastAsia="ar-SA"/>
        </w:rPr>
        <w:t>OPĆINE GORNJI BOGIĆEVCI</w:t>
      </w: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bCs/>
          <w:sz w:val="24"/>
          <w:szCs w:val="24"/>
          <w:lang w:eastAsia="ar-SA"/>
        </w:rPr>
      </w:pPr>
      <w:r w:rsidRPr="00440A6E">
        <w:rPr>
          <w:rFonts w:ascii="Times New Roman" w:eastAsia="Times New Roman" w:hAnsi="Times New Roman" w:cs="Times New Roman"/>
          <w:bCs/>
          <w:sz w:val="24"/>
          <w:szCs w:val="24"/>
          <w:lang w:eastAsia="ar-SA"/>
        </w:rPr>
        <w:t>KLASA: 400-05-25-01-01</w:t>
      </w:r>
    </w:p>
    <w:p w:rsidR="00440A6E" w:rsidRPr="00440A6E" w:rsidRDefault="00440A6E" w:rsidP="00440A6E">
      <w:pPr>
        <w:suppressAutoHyphens/>
        <w:spacing w:after="0" w:line="240" w:lineRule="auto"/>
        <w:rPr>
          <w:rFonts w:ascii="Times New Roman" w:eastAsia="Times New Roman" w:hAnsi="Times New Roman" w:cs="Times New Roman"/>
          <w:bCs/>
          <w:sz w:val="24"/>
          <w:szCs w:val="24"/>
          <w:lang w:eastAsia="ar-SA"/>
        </w:rPr>
      </w:pPr>
      <w:r w:rsidRPr="00440A6E">
        <w:rPr>
          <w:rFonts w:ascii="Times New Roman" w:eastAsia="Times New Roman" w:hAnsi="Times New Roman" w:cs="Times New Roman"/>
          <w:bCs/>
          <w:sz w:val="24"/>
          <w:szCs w:val="24"/>
          <w:lang w:eastAsia="ar-SA"/>
        </w:rPr>
        <w:t>URBROJ: 2178-22-03-25-1</w:t>
      </w:r>
      <w:r w:rsidRPr="00440A6E">
        <w:rPr>
          <w:rFonts w:ascii="Times New Roman" w:eastAsia="Times New Roman" w:hAnsi="Times New Roman" w:cs="Times New Roman"/>
          <w:bCs/>
          <w:sz w:val="24"/>
          <w:szCs w:val="20"/>
          <w:lang w:eastAsia="ar-SA"/>
        </w:rPr>
        <w:t>8</w:t>
      </w:r>
    </w:p>
    <w:p w:rsidR="00440A6E" w:rsidRPr="00440A6E" w:rsidRDefault="00440A6E" w:rsidP="00440A6E">
      <w:pPr>
        <w:keepNext/>
        <w:suppressAutoHyphens/>
        <w:spacing w:after="0" w:line="240" w:lineRule="auto"/>
        <w:ind w:left="576" w:hanging="576"/>
        <w:jc w:val="both"/>
        <w:outlineLvl w:val="1"/>
        <w:rPr>
          <w:rFonts w:ascii="Times New Roman" w:eastAsia="Times New Roman" w:hAnsi="Times New Roman" w:cs="Times New Roman"/>
          <w:bCs/>
          <w:color w:val="000000"/>
          <w:sz w:val="24"/>
          <w:szCs w:val="24"/>
          <w:lang w:eastAsia="ar-SA"/>
        </w:rPr>
      </w:pPr>
      <w:r w:rsidRPr="00440A6E">
        <w:rPr>
          <w:rFonts w:ascii="Times New Roman" w:eastAsia="Times New Roman" w:hAnsi="Times New Roman" w:cs="Times New Roman"/>
          <w:bCs/>
          <w:color w:val="000000"/>
          <w:sz w:val="24"/>
          <w:szCs w:val="24"/>
          <w:lang w:eastAsia="ar-SA"/>
        </w:rPr>
        <w:t>Gornji Bogićevci, 22. prosinca 2025. godine</w:t>
      </w:r>
    </w:p>
    <w:p w:rsidR="00440A6E" w:rsidRPr="00440A6E" w:rsidRDefault="00440A6E" w:rsidP="00440A6E">
      <w:pPr>
        <w:suppressAutoHyphens/>
        <w:spacing w:after="0" w:line="240" w:lineRule="auto"/>
        <w:jc w:val="center"/>
        <w:rPr>
          <w:rFonts w:ascii="Times New Roman" w:eastAsia="Times New Roman" w:hAnsi="Times New Roman" w:cs="Times New Roman"/>
          <w:b/>
          <w:i/>
          <w:sz w:val="24"/>
          <w:szCs w:val="24"/>
          <w:lang w:val="en-GB" w:eastAsia="ar-SA"/>
        </w:rPr>
      </w:pP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 xml:space="preserve">         </w:t>
      </w: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ind w:firstLine="720"/>
        <w:jc w:val="right"/>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 xml:space="preserve">  </w:t>
      </w:r>
      <w:r w:rsidRPr="00440A6E">
        <w:rPr>
          <w:rFonts w:ascii="Times New Roman" w:eastAsia="Times New Roman" w:hAnsi="Times New Roman" w:cs="Times New Roman"/>
          <w:sz w:val="24"/>
          <w:szCs w:val="24"/>
          <w:lang w:val="en-GB" w:eastAsia="ar-SA"/>
        </w:rPr>
        <w:tab/>
      </w:r>
      <w:r w:rsidRPr="00440A6E">
        <w:rPr>
          <w:rFonts w:ascii="Times New Roman" w:eastAsia="Times New Roman" w:hAnsi="Times New Roman" w:cs="Times New Roman"/>
          <w:sz w:val="24"/>
          <w:szCs w:val="24"/>
          <w:lang w:val="en-GB" w:eastAsia="ar-SA"/>
        </w:rPr>
        <w:tab/>
      </w:r>
      <w:r w:rsidRPr="00440A6E">
        <w:rPr>
          <w:rFonts w:ascii="Times New Roman" w:eastAsia="Times New Roman" w:hAnsi="Times New Roman" w:cs="Times New Roman"/>
          <w:sz w:val="24"/>
          <w:szCs w:val="24"/>
          <w:lang w:val="en-GB" w:eastAsia="ar-SA"/>
        </w:rPr>
        <w:tab/>
      </w:r>
      <w:r w:rsidRPr="00440A6E">
        <w:rPr>
          <w:rFonts w:ascii="Times New Roman" w:eastAsia="Times New Roman" w:hAnsi="Times New Roman" w:cs="Times New Roman"/>
          <w:sz w:val="24"/>
          <w:szCs w:val="24"/>
          <w:lang w:val="en-GB" w:eastAsia="ar-SA"/>
        </w:rPr>
        <w:tab/>
        <w:t>PREDSJEDNIK OPĆINSKOG VIJEĆA</w:t>
      </w:r>
    </w:p>
    <w:p w:rsidR="00440A6E" w:rsidRPr="00440A6E" w:rsidRDefault="00440A6E" w:rsidP="00440A6E">
      <w:pPr>
        <w:suppressAutoHyphens/>
        <w:spacing w:after="0" w:line="240" w:lineRule="auto"/>
        <w:ind w:left="4956" w:firstLine="708"/>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Željko Klarić</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Dostaviti:</w:t>
      </w:r>
    </w:p>
    <w:p w:rsidR="00440A6E" w:rsidRPr="00440A6E" w:rsidRDefault="00440A6E" w:rsidP="00A66748">
      <w:pPr>
        <w:numPr>
          <w:ilvl w:val="0"/>
          <w:numId w:val="30"/>
        </w:numPr>
        <w:suppressAutoHyphens/>
        <w:spacing w:after="0" w:line="240" w:lineRule="auto"/>
        <w:contextualSpacing/>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Jedinstveni upravni odjel</w:t>
      </w:r>
    </w:p>
    <w:p w:rsidR="00440A6E" w:rsidRPr="00440A6E" w:rsidRDefault="00440A6E" w:rsidP="00A66748">
      <w:pPr>
        <w:numPr>
          <w:ilvl w:val="0"/>
          <w:numId w:val="30"/>
        </w:numPr>
        <w:suppressAutoHyphens/>
        <w:spacing w:after="0" w:line="240" w:lineRule="auto"/>
        <w:contextualSpacing/>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Službeni glasnik Općine Gornji Bogićevci</w:t>
      </w:r>
    </w:p>
    <w:p w:rsidR="00440A6E" w:rsidRPr="00440A6E" w:rsidRDefault="00440A6E" w:rsidP="00A66748">
      <w:pPr>
        <w:numPr>
          <w:ilvl w:val="0"/>
          <w:numId w:val="30"/>
        </w:numPr>
        <w:suppressAutoHyphens/>
        <w:spacing w:after="0" w:line="240" w:lineRule="auto"/>
        <w:contextualSpacing/>
        <w:rPr>
          <w:rFonts w:ascii="Times New Roman" w:eastAsia="Times New Roman" w:hAnsi="Times New Roman" w:cs="Times New Roman"/>
          <w:sz w:val="24"/>
          <w:szCs w:val="24"/>
          <w:lang w:val="en-GB" w:eastAsia="ar-SA"/>
        </w:rPr>
      </w:pPr>
      <w:r w:rsidRPr="00440A6E">
        <w:rPr>
          <w:rFonts w:ascii="Times New Roman" w:eastAsia="Times New Roman" w:hAnsi="Times New Roman" w:cs="Times New Roman"/>
          <w:sz w:val="24"/>
          <w:szCs w:val="24"/>
          <w:lang w:val="en-GB" w:eastAsia="ar-SA"/>
        </w:rPr>
        <w:t>Pismohrana.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val="en-GB" w:eastAsia="ar-SA"/>
        </w:rPr>
      </w:pPr>
    </w:p>
    <w:p w:rsidR="00440A6E" w:rsidRPr="00440A6E" w:rsidRDefault="00440A6E" w:rsidP="00440A6E">
      <w:pPr>
        <w:suppressAutoHyphens/>
        <w:spacing w:after="0" w:line="240" w:lineRule="auto"/>
        <w:rPr>
          <w:rFonts w:ascii="Times New Roman" w:eastAsia="Times New Roman" w:hAnsi="Times New Roman" w:cs="Times New Roman"/>
          <w:b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bCs/>
          <w:sz w:val="24"/>
          <w:szCs w:val="24"/>
          <w:lang w:eastAsia="ar-SA"/>
        </w:rPr>
      </w:pPr>
    </w:p>
    <w:p w:rsidR="00440A6E" w:rsidRPr="00440A6E" w:rsidRDefault="00440A6E" w:rsidP="00440A6E">
      <w:pPr>
        <w:suppressAutoHyphens/>
        <w:spacing w:after="12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noProof/>
          <w:sz w:val="24"/>
          <w:szCs w:val="24"/>
          <w:lang w:eastAsia="hr-HR"/>
        </w:rPr>
        <w:drawing>
          <wp:inline distT="0" distB="0" distL="0" distR="0">
            <wp:extent cx="485775" cy="647700"/>
            <wp:effectExtent l="0" t="0" r="0" b="0"/>
            <wp:docPr id="8723823"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40A6E" w:rsidRPr="00440A6E" w:rsidRDefault="00440A6E" w:rsidP="00440A6E">
      <w:pPr>
        <w:suppressAutoHyphens/>
        <w:spacing w:after="120" w:line="240" w:lineRule="auto"/>
        <w:ind w:firstLine="720"/>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REPUBLIKA HRVATSKA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BRODSKO-POSAVSKA ŽUPANIJA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OPĆINA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OPĆINSKO VIJEĆE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Trg hrvatskih branitelja 1, </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35429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OIB: 89414039518</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Tel: 035/375-056</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ab/>
        <w:t>Na temelju članka 21. Zakona o postupanju s nezakonito izgrađenim zgradama („Narodne novine“ broj 86/12, 143/13, 65/17 i 14/19) i članka 39. stavak 5 Statuta općine Gornji Bogićevci („Službeni glasnik Općine Gornji Bogićevci“, broj 02/21, Općinsko vijeće općine Gornji Bogićevci na svojoj 5. sjednici održanoj 22. prosinca 2025. godine, donosi</w:t>
      </w:r>
    </w:p>
    <w:p w:rsidR="00440A6E" w:rsidRPr="00440A6E" w:rsidRDefault="00440A6E" w:rsidP="00440A6E">
      <w:pPr>
        <w:suppressAutoHyphens/>
        <w:spacing w:after="0" w:line="240" w:lineRule="auto"/>
        <w:jc w:val="both"/>
        <w:rPr>
          <w:rFonts w:ascii="Times New Roman" w:eastAsia="Times New Roman" w:hAnsi="Times New Roman" w:cs="Times New Roman"/>
          <w:b/>
          <w:bCs/>
          <w:sz w:val="28"/>
          <w:szCs w:val="28"/>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b/>
          <w:bCs/>
          <w:sz w:val="28"/>
          <w:szCs w:val="28"/>
          <w:lang w:eastAsia="ar-SA"/>
        </w:rPr>
        <w:t>PROGRAM UTROŠKA NAKNADE ZA ZADRŽAVANJE NEZAKONITO IZGRAĐENIH ZGRADA U PROSTORU NA PODRUČJU OPĆINE GORNJI BOGIĆEVCI ZA 2025.</w:t>
      </w:r>
      <w:r w:rsidRPr="00440A6E">
        <w:rPr>
          <w:rFonts w:ascii="Times New Roman" w:eastAsia="Times New Roman" w:hAnsi="Times New Roman" w:cs="Times New Roman"/>
          <w:b/>
          <w:bCs/>
          <w:sz w:val="24"/>
          <w:szCs w:val="24"/>
          <w:lang w:eastAsia="ar-SA"/>
        </w:rPr>
        <w:t xml:space="preserve"> GODINU</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1.</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ind w:firstLine="708"/>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Programom utroška sredstava naknade za zadržavanje nezakonito izgrađenih zgrada u prostoru Općine Gornji Bogićevci u 2025. godini utvrđuje se namjena korištenja naknade za zadržavanje nezakonito izgrađene zgrade u prostoru koja je prihod Općine Gornji Bogićevci za 2025. godinu. </w:t>
      </w:r>
    </w:p>
    <w:p w:rsidR="00440A6E" w:rsidRPr="00440A6E" w:rsidRDefault="00440A6E" w:rsidP="00440A6E">
      <w:pPr>
        <w:suppressAutoHyphens/>
        <w:spacing w:after="0" w:line="240" w:lineRule="auto"/>
        <w:ind w:firstLine="708"/>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Trideset posto ukupnih sredstava naknade za zadržavanje nezakonito izgrađenih zgrada u prostoru prihod su jedinice lokalne samouprave na čijem se području nalazi nezakonito izgrađena zgrada, odnosno prihod su Proračuna Općine Gornji Bogićevci.  </w:t>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Sredstva se koriste namjenski sukladno članku 31. stavak 3.</w:t>
      </w:r>
      <w:r w:rsidRPr="00440A6E">
        <w:rPr>
          <w:rFonts w:ascii="Times New Roman" w:eastAsia="Times New Roman" w:hAnsi="Times New Roman" w:cs="Times New Roman"/>
          <w:color w:val="000000"/>
          <w:sz w:val="24"/>
          <w:szCs w:val="24"/>
          <w:lang w:eastAsia="ar-SA"/>
        </w:rPr>
        <w:t xml:space="preserve"> Zakona o postupanju s nezakonito izgrađenim zgradama </w:t>
      </w:r>
      <w:r w:rsidRPr="00440A6E">
        <w:rPr>
          <w:rFonts w:ascii="Times New Roman" w:eastAsia="Times New Roman" w:hAnsi="Times New Roman" w:cs="Times New Roman"/>
          <w:sz w:val="24"/>
          <w:szCs w:val="24"/>
          <w:lang w:eastAsia="ar-SA"/>
        </w:rPr>
        <w:t>(„Narodne novine“ broj 86/12, 143/13, 65/17 i 14/19).</w:t>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2.</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ind w:firstLine="708"/>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U Proračunu Općine Gornji Bogićevci za 2025. godinu planiran je prihod od naknade za zadržavanje nezakonito izgrađene zgrade u prostoru u iznosu od </w:t>
      </w:r>
      <w:r w:rsidRPr="00440A6E">
        <w:rPr>
          <w:rFonts w:ascii="Times New Roman" w:eastAsia="Times New Roman" w:hAnsi="Times New Roman" w:cs="Times New Roman"/>
          <w:b/>
          <w:sz w:val="24"/>
          <w:szCs w:val="24"/>
          <w:lang w:eastAsia="ar-SA"/>
        </w:rPr>
        <w:t>100,00 eura.</w:t>
      </w:r>
    </w:p>
    <w:p w:rsidR="00440A6E" w:rsidRPr="00440A6E" w:rsidRDefault="00440A6E" w:rsidP="00440A6E">
      <w:pPr>
        <w:suppressAutoHyphens/>
        <w:spacing w:after="0" w:line="240" w:lineRule="auto"/>
        <w:ind w:firstLine="708"/>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Sredstva iz prethodnog stavka utrošit će se za izradu dokumenta prostornog uređenja, i to za: </w:t>
      </w:r>
    </w:p>
    <w:p w:rsidR="00440A6E" w:rsidRPr="00440A6E" w:rsidRDefault="00440A6E" w:rsidP="00440A6E">
      <w:pPr>
        <w:suppressAutoHyphens/>
        <w:spacing w:after="0" w:line="240" w:lineRule="auto"/>
        <w:ind w:firstLine="720"/>
        <w:jc w:val="both"/>
        <w:rPr>
          <w:rFonts w:ascii="Times New Roman" w:eastAsia="Times New Roman" w:hAnsi="Times New Roman" w:cs="Times New Roman"/>
          <w:b/>
          <w:sz w:val="24"/>
          <w:szCs w:val="24"/>
          <w:lang w:eastAsia="ar-SA"/>
        </w:rPr>
      </w:pPr>
      <w:r w:rsidRPr="00440A6E">
        <w:rPr>
          <w:rFonts w:ascii="Times New Roman" w:eastAsia="Times New Roman" w:hAnsi="Times New Roman" w:cs="Times New Roman"/>
          <w:b/>
          <w:sz w:val="24"/>
          <w:szCs w:val="24"/>
          <w:lang w:eastAsia="ar-SA"/>
        </w:rPr>
        <w:t>- Izmjene i dopune prostornog plana Gornji Bogićevci u 2025. godini.</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 xml:space="preserve">Članak 3. </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Ovaj Program stupa na snagu osmi dan od dana objave u "Službenom  glasniku Općine Gornji Bogićevci".</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r w:rsidRPr="00440A6E">
        <w:rPr>
          <w:rFonts w:ascii="Times New Roman" w:eastAsia="Times New Roman" w:hAnsi="Times New Roman" w:cs="Times New Roman"/>
          <w:b/>
          <w:i/>
          <w:sz w:val="24"/>
          <w:szCs w:val="24"/>
          <w:lang w:eastAsia="ar-SA"/>
        </w:rPr>
        <w:t xml:space="preserve">                                </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iCs/>
          <w:sz w:val="24"/>
          <w:szCs w:val="24"/>
          <w:lang w:eastAsia="ar-SA"/>
        </w:rPr>
      </w:pPr>
      <w:r w:rsidRPr="00440A6E">
        <w:rPr>
          <w:rFonts w:ascii="Times New Roman" w:eastAsia="Times New Roman" w:hAnsi="Times New Roman" w:cs="Times New Roman"/>
          <w:b/>
          <w:iCs/>
          <w:sz w:val="24"/>
          <w:szCs w:val="24"/>
          <w:lang w:eastAsia="ar-SA"/>
        </w:rPr>
        <w:t>OPĆINSKO VIJEĆE</w:t>
      </w:r>
      <w:r w:rsidRPr="00440A6E">
        <w:rPr>
          <w:rFonts w:ascii="Times New Roman" w:eastAsia="Times New Roman" w:hAnsi="Times New Roman" w:cs="Times New Roman"/>
          <w:b/>
          <w:i/>
          <w:sz w:val="24"/>
          <w:szCs w:val="24"/>
          <w:lang w:eastAsia="ar-SA"/>
        </w:rPr>
        <w:t xml:space="preserve">  </w:t>
      </w:r>
      <w:r w:rsidRPr="00440A6E">
        <w:rPr>
          <w:rFonts w:ascii="Times New Roman" w:eastAsia="Times New Roman" w:hAnsi="Times New Roman" w:cs="Times New Roman"/>
          <w:b/>
          <w:iCs/>
          <w:sz w:val="24"/>
          <w:szCs w:val="24"/>
          <w:lang w:eastAsia="ar-SA"/>
        </w:rPr>
        <w:t>OPĆINE GORNJI BOGIĆEVCI</w:t>
      </w: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KLASA: 400-05-25-01-01</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URBROJ: 2178-22-03-25-19</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r w:rsidRPr="00440A6E">
        <w:rPr>
          <w:rFonts w:ascii="Times New Roman" w:eastAsia="Times New Roman" w:hAnsi="Times New Roman" w:cs="Times New Roman"/>
          <w:sz w:val="24"/>
          <w:szCs w:val="24"/>
          <w:lang w:eastAsia="ar-SA"/>
        </w:rPr>
        <w:t>Gornji Bogićevci, 22. prosinca 2025. godine</w:t>
      </w: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PREDSJEDNIK OPĆINSKOG VIJEĆA</w:t>
      </w:r>
    </w:p>
    <w:p w:rsidR="00440A6E" w:rsidRPr="00440A6E" w:rsidRDefault="00440A6E" w:rsidP="00440A6E">
      <w:pPr>
        <w:suppressAutoHyphens/>
        <w:spacing w:after="0" w:line="240" w:lineRule="auto"/>
        <w:ind w:left="4956" w:firstLine="708"/>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Željko Klarić</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Dostaviti:</w:t>
      </w:r>
    </w:p>
    <w:p w:rsidR="00440A6E" w:rsidRPr="00440A6E" w:rsidRDefault="00440A6E" w:rsidP="00A66748">
      <w:pPr>
        <w:numPr>
          <w:ilvl w:val="0"/>
          <w:numId w:val="31"/>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Jedinstveni upravni odjel</w:t>
      </w:r>
    </w:p>
    <w:p w:rsidR="00440A6E" w:rsidRPr="00440A6E" w:rsidRDefault="00440A6E" w:rsidP="00A66748">
      <w:pPr>
        <w:numPr>
          <w:ilvl w:val="0"/>
          <w:numId w:val="31"/>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lastRenderedPageBreak/>
        <w:t>Službeni glasnik Općine Gornji Bogićevci</w:t>
      </w:r>
    </w:p>
    <w:p w:rsidR="00440A6E" w:rsidRPr="00440A6E" w:rsidRDefault="00440A6E" w:rsidP="00A66748">
      <w:pPr>
        <w:numPr>
          <w:ilvl w:val="0"/>
          <w:numId w:val="31"/>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Pismohrana.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noProof/>
          <w:sz w:val="24"/>
          <w:szCs w:val="24"/>
          <w:lang w:eastAsia="hr-HR"/>
        </w:rPr>
        <w:drawing>
          <wp:inline distT="0" distB="0" distL="0" distR="0">
            <wp:extent cx="485775" cy="647700"/>
            <wp:effectExtent l="0" t="0" r="0" b="0"/>
            <wp:docPr id="91318147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440A6E" w:rsidRPr="00440A6E" w:rsidRDefault="00440A6E" w:rsidP="00440A6E">
      <w:pPr>
        <w:suppressAutoHyphens/>
        <w:spacing w:after="0" w:line="240" w:lineRule="auto"/>
        <w:ind w:firstLine="720"/>
        <w:jc w:val="both"/>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REPUBLIKA HRVATSKA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BRODSKO-POSAVSKA ŽUPANIJA</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OPĆINA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OPĆINSKO VIJEĆE</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Trg hrvatskih branitelja 1, </w:t>
      </w:r>
    </w:p>
    <w:p w:rsidR="00440A6E" w:rsidRPr="00440A6E" w:rsidRDefault="00440A6E" w:rsidP="00440A6E">
      <w:pPr>
        <w:suppressAutoHyphens/>
        <w:spacing w:after="0" w:line="240" w:lineRule="auto"/>
        <w:jc w:val="both"/>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35429 Gornji Bogićevci</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OIB: 89414039518</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Tel: 035/375-056</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Na temelju članka 69. Zakona o šumama ("Narodne novine" broj 68/18, 115/18, 98/19, 32/20, 145/20 i 101/23) i članka 39. stavak 5 Statuta općine Gornji Bogićevci („Službeni glasnik Općine Gornji Bogićevci“, broj 02/21, Općinsko vijeće općine Gornji Bogićevci na svojoj 5. sjednici održanoj 22. prosinca 2025. godine, donosi</w:t>
      </w:r>
    </w:p>
    <w:p w:rsidR="00440A6E" w:rsidRPr="00440A6E" w:rsidRDefault="00440A6E" w:rsidP="00440A6E">
      <w:pPr>
        <w:suppressAutoHyphens/>
        <w:spacing w:after="0" w:line="240" w:lineRule="auto"/>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sz w:val="24"/>
          <w:szCs w:val="24"/>
          <w:lang w:eastAsia="ar-SA"/>
        </w:rPr>
        <w:t xml:space="preserve">                                                              </w:t>
      </w:r>
      <w:r w:rsidRPr="00440A6E">
        <w:rPr>
          <w:rFonts w:ascii="Times New Roman" w:eastAsia="Times New Roman" w:hAnsi="Times New Roman" w:cs="Times New Roman"/>
          <w:b/>
          <w:bCs/>
          <w:sz w:val="24"/>
          <w:szCs w:val="24"/>
          <w:lang w:eastAsia="ar-SA"/>
        </w:rPr>
        <w:t xml:space="preserve"> </w:t>
      </w:r>
    </w:p>
    <w:p w:rsidR="00440A6E" w:rsidRPr="00440A6E" w:rsidRDefault="00440A6E" w:rsidP="00440A6E">
      <w:pPr>
        <w:suppressAutoHyphens/>
        <w:spacing w:after="0" w:line="240" w:lineRule="auto"/>
        <w:jc w:val="center"/>
        <w:rPr>
          <w:rFonts w:ascii="Times New Roman" w:eastAsia="Times New Roman" w:hAnsi="Times New Roman" w:cs="Times New Roman"/>
          <w:b/>
          <w:sz w:val="28"/>
          <w:szCs w:val="28"/>
          <w:lang w:eastAsia="ar-SA"/>
        </w:rPr>
      </w:pPr>
      <w:r w:rsidRPr="00440A6E">
        <w:rPr>
          <w:rFonts w:ascii="Times New Roman" w:eastAsia="Times New Roman" w:hAnsi="Times New Roman" w:cs="Times New Roman"/>
          <w:b/>
          <w:sz w:val="28"/>
          <w:szCs w:val="28"/>
          <w:lang w:eastAsia="ar-SA"/>
        </w:rPr>
        <w:t>PROGRAM</w:t>
      </w:r>
    </w:p>
    <w:p w:rsidR="00440A6E" w:rsidRPr="00440A6E" w:rsidRDefault="00440A6E" w:rsidP="00440A6E">
      <w:pPr>
        <w:suppressAutoHyphens/>
        <w:spacing w:after="0" w:line="240" w:lineRule="auto"/>
        <w:jc w:val="center"/>
        <w:rPr>
          <w:rFonts w:ascii="Times New Roman" w:eastAsia="Times New Roman" w:hAnsi="Times New Roman" w:cs="Times New Roman"/>
          <w:b/>
          <w:sz w:val="28"/>
          <w:szCs w:val="28"/>
          <w:lang w:eastAsia="ar-SA"/>
        </w:rPr>
      </w:pPr>
      <w:r w:rsidRPr="00440A6E">
        <w:rPr>
          <w:rFonts w:ascii="Times New Roman" w:eastAsia="Times New Roman" w:hAnsi="Times New Roman" w:cs="Times New Roman"/>
          <w:b/>
          <w:sz w:val="28"/>
          <w:szCs w:val="28"/>
          <w:lang w:eastAsia="ar-SA"/>
        </w:rPr>
        <w:t>UTROŠKA SREDSTAVA ŠUMSKOG DOPRINOSA ZA 2025. GODINU</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b/>
          <w:bCs/>
          <w:sz w:val="24"/>
          <w:szCs w:val="24"/>
          <w:lang w:eastAsia="ar-SA"/>
        </w:rPr>
        <w:t>Članak 1</w:t>
      </w:r>
      <w:r w:rsidRPr="00440A6E">
        <w:rPr>
          <w:rFonts w:ascii="Times New Roman" w:eastAsia="Times New Roman" w:hAnsi="Times New Roman" w:cs="Times New Roman"/>
          <w:sz w:val="24"/>
          <w:szCs w:val="24"/>
          <w:lang w:eastAsia="ar-SA"/>
        </w:rPr>
        <w:t>.</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Ovim Programom utvrđuje se visina prihoda i utrošak sredstava ostvarenih temeljem uplate šumskog doprinosa u proračun Općine Gornji Bogićevci za 2025. godinu, a kojeg Odredbom članka 69. stavka 1. Zakona o šumama („Narodne novine“ broj 68/18, 115/18, 98/19, 32/20, 145/20 i 101/23) pravne i fizičke osobe, osim malih šumoposjednika, koje obavljaju prodaju proizvoda iskorištavanja šuma (drvni sortimenti) plaćaju jedinicama lokalne samouprave u odnosu na prodajnu cijenu proizvoda na panju. </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 xml:space="preserve">        Članak 2.</w:t>
      </w:r>
    </w:p>
    <w:p w:rsidR="00440A6E" w:rsidRPr="00440A6E" w:rsidRDefault="00440A6E" w:rsidP="00440A6E">
      <w:pPr>
        <w:suppressAutoHyphens/>
        <w:spacing w:after="0" w:line="240" w:lineRule="auto"/>
        <w:jc w:val="center"/>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Odredbom članka 69. stavak 2. Zakona o šumama („Narodne novine“ broj 68/18, 115/18, 98/19, 32/20, 145/20 i 101/23) Općini Gornji Bogićevci kao jedinici lokalne samouprave sa statusom potpomognutog područja utvrđenog posebnim propisom šumski doprinos plaća se u visini od 10%.  </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U 2025. godini planira se prihod od </w:t>
      </w:r>
      <w:r w:rsidRPr="00440A6E">
        <w:rPr>
          <w:rFonts w:ascii="Times New Roman" w:eastAsia="Times New Roman" w:hAnsi="Times New Roman" w:cs="Times New Roman"/>
          <w:b/>
          <w:bCs/>
          <w:sz w:val="24"/>
          <w:szCs w:val="24"/>
          <w:lang w:eastAsia="ar-SA"/>
        </w:rPr>
        <w:t xml:space="preserve"> 20.500 eura</w:t>
      </w:r>
      <w:r w:rsidRPr="00440A6E">
        <w:rPr>
          <w:rFonts w:ascii="Times New Roman" w:eastAsia="Times New Roman" w:hAnsi="Times New Roman" w:cs="Times New Roman"/>
          <w:b/>
          <w:sz w:val="24"/>
          <w:szCs w:val="24"/>
          <w:lang w:eastAsia="ar-SA"/>
        </w:rPr>
        <w:t xml:space="preserve">. </w:t>
      </w: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ind w:left="1080" w:hanging="360"/>
        <w:jc w:val="center"/>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t>Članak 3.</w:t>
      </w: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Sredstva iz članka 2. ove Odluke utrošit će se za kapitalna ulaganja u komunalnu infrastrukturu Općine Gornji Bogićevci u iznosu od 20.500,00 eura sukladno Programu građenja komunalne infrastrukture na području Općine Gornji Bogićevci za 2025. godinu.</w:t>
      </w: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b/>
          <w:bCs/>
          <w:sz w:val="24"/>
          <w:szCs w:val="24"/>
          <w:lang w:eastAsia="ar-SA"/>
        </w:rPr>
      </w:pPr>
      <w:r w:rsidRPr="00440A6E">
        <w:rPr>
          <w:rFonts w:ascii="Times New Roman" w:eastAsia="Times New Roman" w:hAnsi="Times New Roman" w:cs="Times New Roman"/>
          <w:b/>
          <w:bCs/>
          <w:sz w:val="24"/>
          <w:szCs w:val="24"/>
          <w:lang w:eastAsia="ar-SA"/>
        </w:rPr>
        <w:lastRenderedPageBreak/>
        <w:t xml:space="preserve">                                                               Članak 4.  </w:t>
      </w:r>
    </w:p>
    <w:p w:rsidR="00440A6E" w:rsidRPr="00440A6E" w:rsidRDefault="00440A6E" w:rsidP="00440A6E">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440A6E" w:rsidRPr="00440A6E" w:rsidRDefault="00440A6E" w:rsidP="00440A6E">
      <w:pPr>
        <w:tabs>
          <w:tab w:val="left" w:pos="19320"/>
        </w:tabs>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Ovaj Program stupa na snagu osmi dan od dana objave  u "Službenom glasniku Općine Gornji Bogićevci“.</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r w:rsidRPr="00440A6E">
        <w:rPr>
          <w:rFonts w:ascii="Times New Roman" w:eastAsia="Times New Roman" w:hAnsi="Times New Roman" w:cs="Times New Roman"/>
          <w:b/>
          <w:i/>
          <w:sz w:val="24"/>
          <w:szCs w:val="24"/>
          <w:lang w:eastAsia="ar-SA"/>
        </w:rPr>
        <w:t xml:space="preserve">                                </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p>
    <w:p w:rsidR="00440A6E" w:rsidRPr="00440A6E" w:rsidRDefault="00440A6E" w:rsidP="00440A6E">
      <w:pPr>
        <w:suppressAutoHyphens/>
        <w:spacing w:after="0" w:line="240" w:lineRule="auto"/>
        <w:jc w:val="center"/>
        <w:rPr>
          <w:rFonts w:ascii="Times New Roman" w:eastAsia="Times New Roman" w:hAnsi="Times New Roman" w:cs="Times New Roman"/>
          <w:b/>
          <w:iCs/>
          <w:sz w:val="24"/>
          <w:szCs w:val="24"/>
          <w:lang w:eastAsia="ar-SA"/>
        </w:rPr>
      </w:pPr>
      <w:r w:rsidRPr="00440A6E">
        <w:rPr>
          <w:rFonts w:ascii="Times New Roman" w:eastAsia="Times New Roman" w:hAnsi="Times New Roman" w:cs="Times New Roman"/>
          <w:b/>
          <w:iCs/>
          <w:sz w:val="24"/>
          <w:szCs w:val="24"/>
          <w:lang w:eastAsia="ar-SA"/>
        </w:rPr>
        <w:t>OPĆINSKO VIJEĆE</w:t>
      </w:r>
      <w:r w:rsidRPr="00440A6E">
        <w:rPr>
          <w:rFonts w:ascii="Times New Roman" w:eastAsia="Times New Roman" w:hAnsi="Times New Roman" w:cs="Times New Roman"/>
          <w:b/>
          <w:i/>
          <w:sz w:val="24"/>
          <w:szCs w:val="24"/>
          <w:lang w:eastAsia="ar-SA"/>
        </w:rPr>
        <w:t xml:space="preserve">  </w:t>
      </w:r>
      <w:r w:rsidRPr="00440A6E">
        <w:rPr>
          <w:rFonts w:ascii="Times New Roman" w:eastAsia="Times New Roman" w:hAnsi="Times New Roman" w:cs="Times New Roman"/>
          <w:b/>
          <w:iCs/>
          <w:sz w:val="24"/>
          <w:szCs w:val="24"/>
          <w:lang w:eastAsia="ar-SA"/>
        </w:rPr>
        <w:t>OPĆINE GORNJI BOGIĆEVCI</w:t>
      </w:r>
    </w:p>
    <w:p w:rsidR="00440A6E" w:rsidRPr="00440A6E" w:rsidRDefault="00440A6E" w:rsidP="00440A6E">
      <w:pPr>
        <w:suppressAutoHyphens/>
        <w:spacing w:after="0" w:line="240" w:lineRule="auto"/>
        <w:rPr>
          <w:rFonts w:ascii="Times New Roman" w:eastAsia="Times New Roman" w:hAnsi="Times New Roman" w:cs="Times New Roman"/>
          <w:b/>
          <w:iCs/>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KLASA: 400-05-25-01-01</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URBROJ: 2178-22-03-25-20</w:t>
      </w:r>
    </w:p>
    <w:p w:rsidR="00440A6E" w:rsidRPr="00440A6E" w:rsidRDefault="00440A6E" w:rsidP="00440A6E">
      <w:pPr>
        <w:suppressAutoHyphens/>
        <w:spacing w:after="0" w:line="240" w:lineRule="auto"/>
        <w:rPr>
          <w:rFonts w:ascii="Times New Roman" w:eastAsia="Times New Roman" w:hAnsi="Times New Roman" w:cs="Times New Roman"/>
          <w:b/>
          <w:i/>
          <w:sz w:val="24"/>
          <w:szCs w:val="24"/>
          <w:lang w:eastAsia="ar-SA"/>
        </w:rPr>
      </w:pPr>
      <w:r w:rsidRPr="00440A6E">
        <w:rPr>
          <w:rFonts w:ascii="Times New Roman" w:eastAsia="Times New Roman" w:hAnsi="Times New Roman" w:cs="Times New Roman"/>
          <w:sz w:val="24"/>
          <w:szCs w:val="24"/>
          <w:lang w:eastAsia="ar-SA"/>
        </w:rPr>
        <w:t>Gornji Bogićevci, 22. prosinca 2025. godine</w:t>
      </w:r>
    </w:p>
    <w:p w:rsidR="00440A6E" w:rsidRPr="00440A6E" w:rsidRDefault="00440A6E" w:rsidP="00440A6E">
      <w:pPr>
        <w:suppressAutoHyphens/>
        <w:spacing w:after="0" w:line="240" w:lineRule="auto"/>
        <w:jc w:val="right"/>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 xml:space="preserve">        PREDSJEDNIK OPĆINSKOG VIJEĆA</w:t>
      </w:r>
    </w:p>
    <w:p w:rsidR="00440A6E" w:rsidRPr="00440A6E" w:rsidRDefault="00440A6E" w:rsidP="00440A6E">
      <w:pPr>
        <w:suppressAutoHyphens/>
        <w:spacing w:after="0" w:line="240" w:lineRule="auto"/>
        <w:ind w:left="4956" w:firstLine="708"/>
        <w:jc w:val="center"/>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Željko Klarić</w:t>
      </w: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p>
    <w:p w:rsidR="00440A6E" w:rsidRPr="00440A6E" w:rsidRDefault="00440A6E" w:rsidP="00440A6E">
      <w:pPr>
        <w:suppressAutoHyphens/>
        <w:spacing w:after="0" w:line="240" w:lineRule="auto"/>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Dostaviti:</w:t>
      </w:r>
    </w:p>
    <w:p w:rsidR="00440A6E" w:rsidRPr="00440A6E" w:rsidRDefault="00440A6E" w:rsidP="00A66748">
      <w:pPr>
        <w:numPr>
          <w:ilvl w:val="0"/>
          <w:numId w:val="32"/>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Jedinstveni upravni odjel</w:t>
      </w:r>
    </w:p>
    <w:p w:rsidR="00440A6E" w:rsidRPr="00440A6E" w:rsidRDefault="00440A6E" w:rsidP="00A66748">
      <w:pPr>
        <w:numPr>
          <w:ilvl w:val="0"/>
          <w:numId w:val="32"/>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Službeni glasnik Općine Gornji Bogićevci</w:t>
      </w:r>
    </w:p>
    <w:p w:rsidR="00440A6E" w:rsidRPr="00440A6E" w:rsidRDefault="00440A6E" w:rsidP="00A66748">
      <w:pPr>
        <w:numPr>
          <w:ilvl w:val="0"/>
          <w:numId w:val="32"/>
        </w:numPr>
        <w:suppressAutoHyphens/>
        <w:spacing w:after="0" w:line="240" w:lineRule="auto"/>
        <w:contextualSpacing/>
        <w:rPr>
          <w:rFonts w:ascii="Times New Roman" w:eastAsia="Times New Roman" w:hAnsi="Times New Roman" w:cs="Times New Roman"/>
          <w:sz w:val="24"/>
          <w:szCs w:val="24"/>
          <w:lang w:eastAsia="ar-SA"/>
        </w:rPr>
      </w:pPr>
      <w:r w:rsidRPr="00440A6E">
        <w:rPr>
          <w:rFonts w:ascii="Times New Roman" w:eastAsia="Times New Roman" w:hAnsi="Times New Roman" w:cs="Times New Roman"/>
          <w:sz w:val="24"/>
          <w:szCs w:val="24"/>
          <w:lang w:eastAsia="ar-SA"/>
        </w:rPr>
        <w:t>Pismohrana.</w:t>
      </w:r>
    </w:p>
    <w:p w:rsidR="00440A6E" w:rsidRPr="00440A6E" w:rsidRDefault="00440A6E" w:rsidP="00360577">
      <w:pPr>
        <w:spacing w:line="360" w:lineRule="auto"/>
        <w:jc w:val="both"/>
        <w:rPr>
          <w:rFonts w:ascii="Times New Roman" w:hAnsi="Times New Roman" w:cs="Times New Roman"/>
          <w:b/>
          <w:bCs/>
          <w:sz w:val="24"/>
          <w:szCs w:val="24"/>
        </w:rPr>
      </w:pPr>
    </w:p>
    <w:p w:rsidR="007647D8" w:rsidRPr="007647D8" w:rsidRDefault="007647D8" w:rsidP="007647D8">
      <w:pPr>
        <w:rPr>
          <w:rFonts w:ascii="Times New Roman" w:hAnsi="Times New Roman" w:cs="Times New Roman"/>
          <w:sz w:val="24"/>
          <w:szCs w:val="24"/>
        </w:rPr>
      </w:pPr>
    </w:p>
    <w:p w:rsidR="007647D8" w:rsidRDefault="007647D8" w:rsidP="00440A6E">
      <w:pPr>
        <w:spacing w:line="360" w:lineRule="auto"/>
        <w:rPr>
          <w:rFonts w:ascii="Times New Roman" w:hAnsi="Times New Roman" w:cs="Times New Roman"/>
          <w:sz w:val="24"/>
          <w:szCs w:val="24"/>
        </w:rPr>
      </w:pPr>
    </w:p>
    <w:p w:rsidR="00440A6E" w:rsidRDefault="00440A6E" w:rsidP="00440A6E">
      <w:pPr>
        <w:spacing w:line="360" w:lineRule="auto"/>
        <w:rPr>
          <w:rFonts w:ascii="Times New Roman" w:hAnsi="Times New Roman" w:cs="Times New Roman"/>
          <w:b/>
          <w:bCs/>
          <w:sz w:val="24"/>
          <w:szCs w:val="24"/>
        </w:rPr>
      </w:pPr>
      <w:r w:rsidRPr="00440A6E">
        <w:rPr>
          <w:rFonts w:ascii="Times New Roman" w:hAnsi="Times New Roman" w:cs="Times New Roman"/>
          <w:b/>
          <w:bCs/>
          <w:sz w:val="24"/>
          <w:szCs w:val="24"/>
        </w:rPr>
        <w:t>41. Proračun Općine Gornji Bogićevci za 2026. i plan i program NKČ Grigor Vitez Gornji Bogićevci</w:t>
      </w:r>
    </w:p>
    <w:p w:rsidR="00440A6E" w:rsidRDefault="00440A6E" w:rsidP="00440A6E">
      <w:pPr>
        <w:spacing w:line="360" w:lineRule="auto"/>
        <w:rPr>
          <w:rFonts w:ascii="Times New Roman" w:hAnsi="Times New Roman" w:cs="Times New Roman"/>
          <w:b/>
          <w:bCs/>
          <w:sz w:val="24"/>
          <w:szCs w:val="24"/>
        </w:rPr>
      </w:pPr>
    </w:p>
    <w:p w:rsidR="00440A6E" w:rsidRDefault="00440A6E" w:rsidP="00440A6E">
      <w:pPr>
        <w:spacing w:line="360" w:lineRule="auto"/>
        <w:rPr>
          <w:rFonts w:ascii="Times New Roman" w:hAnsi="Times New Roman" w:cs="Times New Roman"/>
          <w:b/>
          <w:bCs/>
          <w:sz w:val="24"/>
          <w:szCs w:val="24"/>
        </w:rPr>
      </w:pPr>
    </w:p>
    <w:p w:rsidR="00777ABF" w:rsidRDefault="00777ABF" w:rsidP="00777ABF">
      <w:pPr>
        <w:jc w:val="both"/>
        <w:rPr>
          <w:sz w:val="20"/>
          <w:szCs w:val="20"/>
        </w:rPr>
      </w:pPr>
      <w:r>
        <w:rPr>
          <w:sz w:val="20"/>
          <w:szCs w:val="20"/>
        </w:rPr>
        <w:t>Na temelju članka 42., stavak 1. Zakona o proračunu („Narodne novine“, broj 144/21), Pravilnika o planiranju u sustavu proračuna („Narodne novine“, broj 1/24) i članka 39. Statuta Općine Gornji Bogićevci ( Službeni glasnik Općine Gornji Bogićevci broj 2/21), Općinsko vijeće Općine Gornji Bogićevci na svojoj 5. sjednici, održanoj 22.12.2025. godine, donosi</w:t>
      </w:r>
    </w:p>
    <w:p w:rsidR="00777ABF" w:rsidRDefault="00777ABF" w:rsidP="00777ABF">
      <w:pPr>
        <w:spacing w:after="0"/>
        <w:jc w:val="center"/>
        <w:rPr>
          <w:rFonts w:ascii="Times New Roman" w:hAnsi="Times New Roman" w:cs="Times New Roman"/>
          <w:b/>
          <w:bCs/>
          <w:sz w:val="24"/>
          <w:szCs w:val="24"/>
        </w:rPr>
      </w:pPr>
      <w:r>
        <w:rPr>
          <w:rFonts w:ascii="Times New Roman" w:hAnsi="Times New Roman" w:cs="Times New Roman"/>
          <w:b/>
          <w:bCs/>
          <w:sz w:val="24"/>
          <w:szCs w:val="24"/>
        </w:rPr>
        <w:t>PRIJEDLOG PLANA PRORAČUNA ZA 2026. GODINU</w:t>
      </w:r>
    </w:p>
    <w:p w:rsidR="00777ABF" w:rsidRDefault="00777ABF" w:rsidP="00777ABF">
      <w:pPr>
        <w:spacing w:after="0"/>
        <w:rPr>
          <w:rFonts w:ascii="Times New Roman" w:hAnsi="Times New Roman" w:cs="Times New Roman"/>
        </w:rPr>
      </w:pPr>
    </w:p>
    <w:p w:rsidR="00777ABF" w:rsidRDefault="00777ABF" w:rsidP="00777ABF">
      <w:pPr>
        <w:spacing w:after="0"/>
        <w:jc w:val="center"/>
        <w:rPr>
          <w:rFonts w:ascii="Times New Roman" w:hAnsi="Times New Roman" w:cs="Times New Roman"/>
          <w:b/>
          <w:bCs/>
        </w:rPr>
      </w:pPr>
      <w:r>
        <w:rPr>
          <w:rFonts w:ascii="Times New Roman" w:hAnsi="Times New Roman" w:cs="Times New Roman"/>
          <w:b/>
          <w:bCs/>
        </w:rPr>
        <w:t>Članak 1.</w:t>
      </w:r>
    </w:p>
    <w:p w:rsidR="00777ABF" w:rsidRDefault="00777ABF" w:rsidP="00777ABF">
      <w:pPr>
        <w:ind w:firstLine="708"/>
        <w:jc w:val="both"/>
        <w:rPr>
          <w:rFonts w:ascii="Times New Roman" w:hAnsi="Times New Roman" w:cs="Times New Roman"/>
        </w:rPr>
      </w:pPr>
      <w:r>
        <w:rPr>
          <w:rFonts w:ascii="Times New Roman" w:hAnsi="Times New Roman" w:cs="Times New Roman"/>
        </w:rPr>
        <w:t>Proračun Općine Gornji Bogićevci za 2026. godinu i projekcije za 2027. i 2028. godinu sastoji se od:</w:t>
      </w:r>
    </w:p>
    <w:p w:rsidR="00777ABF" w:rsidRDefault="00777ABF" w:rsidP="00A66748">
      <w:pPr>
        <w:pStyle w:val="Odlomakpopisa"/>
        <w:numPr>
          <w:ilvl w:val="0"/>
          <w:numId w:val="9"/>
        </w:numPr>
        <w:spacing w:after="0" w:line="276" w:lineRule="auto"/>
        <w:ind w:left="360"/>
        <w:rPr>
          <w:rFonts w:ascii="Times New Roman" w:hAnsi="Times New Roman"/>
          <w:b/>
          <w:bCs/>
          <w:sz w:val="24"/>
          <w:szCs w:val="24"/>
        </w:rPr>
      </w:pPr>
      <w:r>
        <w:rPr>
          <w:rFonts w:ascii="Times New Roman" w:hAnsi="Times New Roman"/>
          <w:b/>
          <w:bCs/>
          <w:sz w:val="24"/>
          <w:szCs w:val="24"/>
        </w:rPr>
        <w:t>OPĆI DIO</w:t>
      </w:r>
    </w:p>
    <w:p w:rsidR="00777ABF" w:rsidRDefault="00777ABF"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SAŽETAK RAČUNA PRIHODA I RASHODA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RAZRED I NAZIV</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OSTVARENJE 2024. GODINA</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PLAN PRORAČUNA ZA 2025.</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PLAN PRORAČUNA ZA 2026.</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PROJEKCIJA PRORAČUNA ZA 2027.</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1</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2</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3</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4</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5</w:t>
            </w:r>
          </w:p>
        </w:tc>
        <w:tc>
          <w:tcPr>
            <w:tcW w:w="1300" w:type="dxa"/>
            <w:shd w:val="clear" w:color="auto" w:fill="505050"/>
          </w:tcPr>
          <w:p w:rsidR="00777ABF" w:rsidRDefault="00777ABF" w:rsidP="00F57898">
            <w:pPr>
              <w:spacing w:after="0"/>
              <w:jc w:val="center"/>
              <w:rPr>
                <w:rFonts w:ascii="Times New Roman" w:hAnsi="Times New Roman"/>
                <w:b/>
                <w:color w:val="FFFFFF"/>
                <w:sz w:val="16"/>
                <w:szCs w:val="16"/>
              </w:rPr>
            </w:pPr>
            <w:r>
              <w:rPr>
                <w:rFonts w:ascii="Times New Roman" w:hAnsi="Times New Roman"/>
                <w:b/>
                <w:color w:val="FFFFFF"/>
                <w:sz w:val="16"/>
                <w:szCs w:val="16"/>
              </w:rPr>
              <w:t>6</w:t>
            </w:r>
          </w:p>
        </w:tc>
      </w:tr>
      <w:tr w:rsidR="00777ABF" w:rsidTr="00F57898">
        <w:tc>
          <w:tcPr>
            <w:tcW w:w="3531" w:type="dxa"/>
          </w:tcPr>
          <w:p w:rsidR="00777ABF" w:rsidRDefault="00777ABF" w:rsidP="00F57898">
            <w:pPr>
              <w:spacing w:after="0"/>
              <w:rPr>
                <w:rFonts w:ascii="Times New Roman" w:hAnsi="Times New Roman"/>
                <w:b/>
                <w:sz w:val="16"/>
                <w:szCs w:val="16"/>
              </w:rPr>
            </w:pPr>
            <w:r>
              <w:rPr>
                <w:rFonts w:ascii="Times New Roman" w:hAnsi="Times New Roman"/>
                <w:b/>
                <w:sz w:val="16"/>
                <w:szCs w:val="16"/>
              </w:rPr>
              <w:t>PRIHODI UKUPNO</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1.085.420,54</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1.431.680,24</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1.477.953,03</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1.546.753,03</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1.528.115,74</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6 Prihodi poslovanja</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1.029.806,88</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1.391.680,24</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1.427.953,03</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1.496.753,03</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1.478.115,74</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7 Prihodi od prodaje nefinancijske imovine</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55.613,66</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40.000,00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50.000,00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50.000,00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50.000,00</w:t>
            </w:r>
          </w:p>
        </w:tc>
      </w:tr>
      <w:tr w:rsidR="00777ABF" w:rsidTr="00F57898">
        <w:tc>
          <w:tcPr>
            <w:tcW w:w="3531" w:type="dxa"/>
          </w:tcPr>
          <w:p w:rsidR="00777ABF" w:rsidRDefault="00777ABF" w:rsidP="00F57898">
            <w:pPr>
              <w:spacing w:after="0"/>
              <w:rPr>
                <w:rFonts w:ascii="Times New Roman" w:hAnsi="Times New Roman"/>
                <w:b/>
                <w:sz w:val="16"/>
                <w:szCs w:val="16"/>
              </w:rPr>
            </w:pPr>
            <w:r>
              <w:rPr>
                <w:rFonts w:ascii="Times New Roman" w:hAnsi="Times New Roman"/>
                <w:b/>
                <w:sz w:val="16"/>
                <w:szCs w:val="16"/>
              </w:rPr>
              <w:t>RASHODI UKUPNO</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1.426.418,56</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1.431.680,24</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1.477.953,03</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1.446.753,03</w:t>
            </w:r>
          </w:p>
        </w:tc>
        <w:tc>
          <w:tcPr>
            <w:tcW w:w="1300" w:type="dxa"/>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1.446.753,03</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lastRenderedPageBreak/>
              <w:t>3 Rashodi poslovanja</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740.907,22</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934.458,46</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873.465,00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852.265,00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852.265,00</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4 Rashodi za nabavu nefinancijske imovine</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685.511,34</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497.221,78</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604.488,03</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594.488,03</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594.488,03</w:t>
            </w:r>
          </w:p>
        </w:tc>
      </w:tr>
      <w:tr w:rsidR="00777ABF" w:rsidTr="00F57898">
        <w:trPr>
          <w:trHeight w:val="360"/>
        </w:trPr>
        <w:tc>
          <w:tcPr>
            <w:tcW w:w="3531" w:type="dxa"/>
            <w:shd w:val="clear" w:color="auto" w:fill="FFE699"/>
            <w:vAlign w:val="center"/>
          </w:tcPr>
          <w:p w:rsidR="00777ABF" w:rsidRDefault="00777ABF" w:rsidP="00F57898">
            <w:pPr>
              <w:spacing w:after="0"/>
              <w:rPr>
                <w:rFonts w:ascii="Times New Roman" w:hAnsi="Times New Roman"/>
                <w:b/>
                <w:sz w:val="16"/>
                <w:szCs w:val="16"/>
              </w:rPr>
            </w:pPr>
            <w:r>
              <w:rPr>
                <w:rFonts w:ascii="Times New Roman" w:hAnsi="Times New Roman"/>
                <w:b/>
                <w:sz w:val="16"/>
                <w:szCs w:val="16"/>
              </w:rPr>
              <w:t>RAZLIKA - VIŠAK/MANJAK</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-340.998,02</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100.000,00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81.362,71</w:t>
            </w:r>
          </w:p>
        </w:tc>
      </w:tr>
    </w:tbl>
    <w:p w:rsidR="00777ABF" w:rsidRDefault="00777ABF" w:rsidP="00777ABF">
      <w:pPr>
        <w:spacing w:after="0"/>
        <w:rPr>
          <w:rFonts w:ascii="Times New Roman" w:hAnsi="Times New Roman"/>
          <w:sz w:val="16"/>
          <w:szCs w:val="16"/>
        </w:rPr>
      </w:pPr>
    </w:p>
    <w:p w:rsidR="00777ABF" w:rsidRDefault="00777ABF"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SAŽETAK RAČUNA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8 Primici od financijske imovine i zaduživanja</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86.500,00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15.000,00</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5 Izdaci za financijsku imovinu i otplate zajmova</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14.916,48</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86.500,00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15.000,00</w:t>
            </w:r>
          </w:p>
        </w:tc>
      </w:tr>
      <w:tr w:rsidR="00777ABF" w:rsidTr="00F57898">
        <w:trPr>
          <w:trHeight w:val="360"/>
        </w:trPr>
        <w:tc>
          <w:tcPr>
            <w:tcW w:w="3531" w:type="dxa"/>
            <w:shd w:val="clear" w:color="auto" w:fill="FFE699"/>
            <w:vAlign w:val="center"/>
          </w:tcPr>
          <w:p w:rsidR="00777ABF" w:rsidRDefault="00777ABF" w:rsidP="00F57898">
            <w:pPr>
              <w:spacing w:after="0"/>
              <w:rPr>
                <w:rFonts w:ascii="Times New Roman" w:hAnsi="Times New Roman"/>
                <w:b/>
                <w:sz w:val="16"/>
                <w:szCs w:val="16"/>
              </w:rPr>
            </w:pPr>
            <w:r>
              <w:rPr>
                <w:rFonts w:ascii="Times New Roman" w:hAnsi="Times New Roman"/>
                <w:b/>
                <w:sz w:val="16"/>
                <w:szCs w:val="16"/>
              </w:rPr>
              <w:t>NETO FINANCIRANJE</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-14.916,48</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r>
      <w:tr w:rsidR="00777ABF" w:rsidTr="00F57898">
        <w:trPr>
          <w:trHeight w:val="360"/>
        </w:trPr>
        <w:tc>
          <w:tcPr>
            <w:tcW w:w="3531" w:type="dxa"/>
            <w:shd w:val="clear" w:color="auto" w:fill="FFE699"/>
            <w:vAlign w:val="center"/>
          </w:tcPr>
          <w:p w:rsidR="00777ABF" w:rsidRDefault="00777ABF" w:rsidP="00F57898">
            <w:pPr>
              <w:spacing w:after="0"/>
              <w:rPr>
                <w:rFonts w:ascii="Times New Roman" w:hAnsi="Times New Roman"/>
                <w:b/>
                <w:sz w:val="16"/>
                <w:szCs w:val="16"/>
              </w:rPr>
            </w:pPr>
            <w:r>
              <w:rPr>
                <w:rFonts w:ascii="Times New Roman" w:hAnsi="Times New Roman"/>
                <w:b/>
                <w:sz w:val="16"/>
                <w:szCs w:val="16"/>
              </w:rPr>
              <w:t>VIŠAK/MANJAK + NETO FINANCIRANJE</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-355.914,50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100.000,00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81.362,71</w:t>
            </w:r>
          </w:p>
        </w:tc>
      </w:tr>
    </w:tbl>
    <w:p w:rsidR="00777ABF" w:rsidRDefault="00777ABF" w:rsidP="00777ABF">
      <w:pPr>
        <w:spacing w:after="0"/>
        <w:rPr>
          <w:rFonts w:ascii="Times New Roman" w:hAnsi="Times New Roman"/>
          <w:sz w:val="16"/>
          <w:szCs w:val="16"/>
        </w:rPr>
      </w:pPr>
    </w:p>
    <w:p w:rsidR="00777ABF" w:rsidRDefault="00777ABF"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PRENESENI VIŠAK ILI PRENESENI MANJAK</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PRIJENOS VIŠKA/MANJKA IZ PRETHODNE(IH) GODINE</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196.310,41</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20.000,00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PRIJENOS VIŠKA/MANJKA U SLJEDEĆE RAZDOBLJE</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-159.604,09</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20.000,00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100.000,00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81.362,71</w:t>
            </w:r>
          </w:p>
        </w:tc>
      </w:tr>
      <w:tr w:rsidR="00777ABF" w:rsidTr="00F57898">
        <w:trPr>
          <w:trHeight w:val="360"/>
        </w:trPr>
        <w:tc>
          <w:tcPr>
            <w:tcW w:w="3531" w:type="dxa"/>
            <w:shd w:val="clear" w:color="auto" w:fill="FFE699"/>
            <w:vAlign w:val="center"/>
          </w:tcPr>
          <w:p w:rsidR="00777ABF" w:rsidRDefault="00777ABF" w:rsidP="00F57898">
            <w:pPr>
              <w:spacing w:after="0"/>
              <w:rPr>
                <w:rFonts w:ascii="Times New Roman" w:hAnsi="Times New Roman"/>
                <w:b/>
                <w:sz w:val="16"/>
                <w:szCs w:val="16"/>
              </w:rPr>
            </w:pPr>
            <w:r>
              <w:rPr>
                <w:rFonts w:ascii="Times New Roman" w:hAnsi="Times New Roman"/>
                <w:b/>
                <w:sz w:val="16"/>
                <w:szCs w:val="16"/>
              </w:rPr>
              <w:t>VIŠAK/MANJAK + NETO FINANCIRANJE + PRIJENOS VIŠKA/MANJKA IZ PRETHODNE(IH) GODINE - PRIJENOS VIŠKA/MANJKA U SLJEDEĆE RAZDOBLJE</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r>
    </w:tbl>
    <w:p w:rsidR="00777ABF" w:rsidRDefault="00777ABF" w:rsidP="00777ABF">
      <w:pPr>
        <w:spacing w:after="0"/>
        <w:rPr>
          <w:rFonts w:ascii="Times New Roman" w:hAnsi="Times New Roman"/>
          <w:sz w:val="16"/>
          <w:szCs w:val="16"/>
        </w:rPr>
      </w:pPr>
    </w:p>
    <w:p w:rsidR="00777ABF" w:rsidRDefault="00777ABF" w:rsidP="00A66748">
      <w:pPr>
        <w:pStyle w:val="Odlomakpopisa"/>
        <w:numPr>
          <w:ilvl w:val="0"/>
          <w:numId w:val="10"/>
        </w:numPr>
        <w:spacing w:after="0"/>
        <w:ind w:left="284" w:hanging="284"/>
        <w:rPr>
          <w:rFonts w:ascii="Times New Roman" w:hAnsi="Times New Roman"/>
          <w:b/>
          <w:bCs/>
        </w:rPr>
      </w:pPr>
      <w:r>
        <w:rPr>
          <w:rFonts w:ascii="Times New Roman" w:hAnsi="Times New Roman"/>
          <w:b/>
          <w:bCs/>
        </w:rPr>
        <w:t>VIŠEGODIŠNJI PLAN URAVNOTEŽENJA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PRIJENOS VIŠKA/MANJKA IZ PRETHODNE(IH) GODINE</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-206.068,80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-201.362,71</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VIŠAK/MANJAK IZ PRETHODNE(IH) GODINE KOJI ĆE SE RASPOREDITI/POKRITI</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r>
      <w:tr w:rsidR="00777ABF" w:rsidTr="00F57898">
        <w:tc>
          <w:tcPr>
            <w:tcW w:w="3531" w:type="dxa"/>
          </w:tcPr>
          <w:p w:rsidR="00777ABF" w:rsidRDefault="00777ABF" w:rsidP="00F57898">
            <w:pPr>
              <w:spacing w:after="0"/>
              <w:rPr>
                <w:rFonts w:ascii="Times New Roman" w:hAnsi="Times New Roman"/>
                <w:sz w:val="16"/>
                <w:szCs w:val="16"/>
              </w:rPr>
            </w:pPr>
            <w:r>
              <w:rPr>
                <w:rFonts w:ascii="Times New Roman" w:hAnsi="Times New Roman"/>
                <w:sz w:val="16"/>
                <w:szCs w:val="16"/>
              </w:rPr>
              <w:t>VIŠAK/MANJAK TEKUĆE GODINE</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c>
          <w:tcPr>
            <w:tcW w:w="1300" w:type="dxa"/>
          </w:tcPr>
          <w:p w:rsidR="00777ABF" w:rsidRDefault="00777ABF" w:rsidP="00F57898">
            <w:pPr>
              <w:spacing w:after="0"/>
              <w:jc w:val="right"/>
              <w:rPr>
                <w:rFonts w:ascii="Times New Roman" w:hAnsi="Times New Roman"/>
                <w:sz w:val="16"/>
                <w:szCs w:val="16"/>
              </w:rPr>
            </w:pPr>
            <w:r>
              <w:rPr>
                <w:rFonts w:ascii="Times New Roman" w:hAnsi="Times New Roman"/>
                <w:sz w:val="16"/>
                <w:szCs w:val="16"/>
              </w:rPr>
              <w:t>0,00</w:t>
            </w:r>
          </w:p>
        </w:tc>
      </w:tr>
      <w:tr w:rsidR="00777ABF" w:rsidTr="00F57898">
        <w:trPr>
          <w:trHeight w:val="360"/>
        </w:trPr>
        <w:tc>
          <w:tcPr>
            <w:tcW w:w="3531" w:type="dxa"/>
            <w:shd w:val="clear" w:color="auto" w:fill="FFE699"/>
            <w:vAlign w:val="center"/>
          </w:tcPr>
          <w:p w:rsidR="00777ABF" w:rsidRDefault="00777ABF" w:rsidP="00F57898">
            <w:pPr>
              <w:spacing w:after="0"/>
              <w:rPr>
                <w:rFonts w:ascii="Times New Roman" w:hAnsi="Times New Roman"/>
                <w:b/>
                <w:sz w:val="16"/>
                <w:szCs w:val="16"/>
              </w:rPr>
            </w:pPr>
            <w:r>
              <w:rPr>
                <w:rFonts w:ascii="Times New Roman" w:hAnsi="Times New Roman"/>
                <w:b/>
                <w:sz w:val="16"/>
                <w:szCs w:val="16"/>
              </w:rPr>
              <w:t>PRIJENOS VIŠKA/MANJKA U SLJEDEĆE RAZDOBLJE</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-206.068,80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-201.362,71</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c>
          <w:tcPr>
            <w:tcW w:w="1300" w:type="dxa"/>
            <w:shd w:val="clear" w:color="auto" w:fill="FFE699"/>
            <w:vAlign w:val="center"/>
          </w:tcPr>
          <w:p w:rsidR="00777ABF" w:rsidRDefault="00777ABF" w:rsidP="00F57898">
            <w:pPr>
              <w:spacing w:after="0"/>
              <w:jc w:val="right"/>
              <w:rPr>
                <w:rFonts w:ascii="Times New Roman" w:hAnsi="Times New Roman"/>
                <w:b/>
                <w:sz w:val="16"/>
                <w:szCs w:val="16"/>
              </w:rPr>
            </w:pPr>
            <w:r>
              <w:rPr>
                <w:rFonts w:ascii="Times New Roman" w:hAnsi="Times New Roman"/>
                <w:b/>
                <w:sz w:val="16"/>
                <w:szCs w:val="16"/>
              </w:rPr>
              <w:t>0,00</w:t>
            </w:r>
          </w:p>
        </w:tc>
      </w:tr>
    </w:tbl>
    <w:p w:rsidR="00777ABF" w:rsidRDefault="00777ABF" w:rsidP="00777ABF">
      <w:pPr>
        <w:spacing w:after="0"/>
        <w:rPr>
          <w:rFonts w:ascii="Times New Roman" w:hAnsi="Times New Roman"/>
          <w:sz w:val="16"/>
          <w:szCs w:val="16"/>
        </w:rPr>
      </w:pPr>
    </w:p>
    <w:p w:rsidR="00777ABF" w:rsidRDefault="00777ABF" w:rsidP="00777ABF">
      <w:pPr>
        <w:rPr>
          <w:rFonts w:ascii="Times New Roman" w:hAnsi="Times New Roman"/>
          <w:b/>
          <w:bCs/>
          <w:sz w:val="20"/>
          <w:szCs w:val="20"/>
        </w:rPr>
      </w:pPr>
      <w:r>
        <w:rPr>
          <w:rFonts w:ascii="Times New Roman" w:hAnsi="Times New Roman"/>
          <w:b/>
          <w:bCs/>
          <w:sz w:val="20"/>
          <w:szCs w:val="20"/>
        </w:rPr>
        <w:br w:type="page"/>
      </w:r>
    </w:p>
    <w:p w:rsidR="00777ABF" w:rsidRDefault="00777ABF" w:rsidP="00777ABF">
      <w:pPr>
        <w:spacing w:after="0"/>
        <w:jc w:val="center"/>
        <w:rPr>
          <w:rFonts w:ascii="Times New Roman" w:hAnsi="Times New Roman" w:cs="Times New Roman"/>
          <w:b/>
          <w:bCs/>
        </w:rPr>
      </w:pPr>
      <w:r>
        <w:rPr>
          <w:rFonts w:ascii="Times New Roman" w:hAnsi="Times New Roman" w:cs="Times New Roman"/>
          <w:b/>
          <w:bCs/>
        </w:rPr>
        <w:lastRenderedPageBreak/>
        <w:t>Članak 2.</w:t>
      </w:r>
    </w:p>
    <w:p w:rsidR="00777ABF" w:rsidRDefault="00777ABF" w:rsidP="00777ABF">
      <w:pPr>
        <w:ind w:firstLine="708"/>
        <w:jc w:val="both"/>
        <w:rPr>
          <w:rFonts w:ascii="Times New Roman" w:eastAsia="Times New Roman" w:hAnsi="Times New Roman" w:cs="Times New Roman"/>
          <w:b/>
          <w:bCs/>
          <w:lang w:eastAsia="hr-HR"/>
        </w:rPr>
      </w:pPr>
      <w:r>
        <w:rPr>
          <w:rFonts w:ascii="Times New Roman" w:hAnsi="Times New Roman" w:cs="Times New Roman"/>
        </w:rPr>
        <w:t>Prihodi i rashodi, te primici i izdaci po ekonomskoj klasifikaciji utvrđeni u računu prihoda i rashoda, pregledu raspoloživih sredstava iz prethodnih godina i računu financiranja za 2026. godinu prikazuju se kako slijedi:</w:t>
      </w:r>
    </w:p>
    <w:p w:rsidR="00777ABF" w:rsidRDefault="00777ABF" w:rsidP="00777ABF">
      <w:pPr>
        <w:spacing w:after="0"/>
        <w:rPr>
          <w:rFonts w:ascii="Times New Roman" w:hAnsi="Times New Roman"/>
          <w:b/>
          <w:bCs/>
        </w:rPr>
      </w:pPr>
      <w:r>
        <w:rPr>
          <w:rFonts w:ascii="Times New Roman" w:hAnsi="Times New Roman"/>
          <w:b/>
          <w:bCs/>
        </w:rPr>
        <w:t>1.1. RAČUN PRIHODA I RASHODA</w:t>
      </w:r>
    </w:p>
    <w:p w:rsidR="00777ABF" w:rsidRDefault="00777ABF" w:rsidP="00777ABF">
      <w:pPr>
        <w:spacing w:after="0"/>
        <w:rPr>
          <w:rFonts w:ascii="Times New Roman" w:hAnsi="Times New Roman" w:cs="Times New Roman"/>
        </w:rPr>
      </w:pPr>
      <w:r>
        <w:rPr>
          <w:rFonts w:ascii="Times New Roman" w:hAnsi="Times New Roman" w:cs="Times New Roman"/>
        </w:rPr>
        <w:t>PRIHODI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shd w:val="clear" w:color="auto" w:fill="BDD7EE"/>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 Prihodi poslovanja</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1.029.806,88</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1.391.680,24</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1.427.953,03</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1.496.753,03</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1.478.115,74</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61 Prihodi od poreza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272.534,80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420.113,76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506.856,26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490.975,53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490.975,53</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63 Pomoći iz inozemstva i od subjekata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593.220,12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799.401,48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729.786,77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814.467,50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795.830,21</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64 Prihodi od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59.236,32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58.100,00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59.560,00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59.560,00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59.560,00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65 Prihodi od upravnih i administrativnih pristojbi, pristojbi po posebnim propisima i naknada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93.004,54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102.750,00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108.750,00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108.750,00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108.750,00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66 Prihodi od prodaje proizvoda i robe te pruženih usluga, prihodi od donacija te povrati po protestiranim jamstvima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10.568,97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11.315,00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68 Kazne, upravne mjere i ostali prihodi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1.242,13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w:t>
            </w:r>
          </w:p>
        </w:tc>
      </w:tr>
      <w:tr w:rsidR="00777ABF" w:rsidTr="00F57898">
        <w:tc>
          <w:tcPr>
            <w:tcW w:w="3531" w:type="dxa"/>
            <w:shd w:val="clear" w:color="auto" w:fill="BDD7EE"/>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7 Prihodi od prodaje nefinancijske imovine</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55.613,66</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71 Prihodi od prodaje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31.474,12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72 Prihodi od prodaje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24.139,54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PRIHODI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1.085.420,54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1.477.953,03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1.546.753,03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1.528.115,74</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rPr>
          <w:rFonts w:ascii="Times New Roman" w:hAnsi="Times New Roman" w:cs="Times New Roman"/>
        </w:rPr>
      </w:pPr>
      <w:r>
        <w:rPr>
          <w:rFonts w:ascii="Times New Roman" w:hAnsi="Times New Roman" w:cs="Times New Roman"/>
        </w:rPr>
        <w:t xml:space="preserve">RASHODI PREMA EKONOMSKOJ KLASIFIKACIJI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shd w:val="clear" w:color="auto" w:fill="BDD7EE"/>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740.907,22</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934.458,46</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873.465,00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852.265,00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852.265,00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203.565,42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279.813,46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225.320,00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218.040,00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218.040,00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274.150,27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236.850,00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225.270,00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225.550,00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225.550,00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2.016,19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3.320,00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3.320,00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3.320,00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31.214,18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33.960,62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191.340,54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333.195,00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313.705,00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314.705,00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314.705,00</w:t>
            </w:r>
          </w:p>
        </w:tc>
      </w:tr>
      <w:tr w:rsidR="00777ABF" w:rsidTr="00F57898">
        <w:tc>
          <w:tcPr>
            <w:tcW w:w="3531" w:type="dxa"/>
            <w:shd w:val="clear" w:color="auto" w:fill="BDD7EE"/>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685.511,34</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497.221,78</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604.488,03</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594.488,03</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594.488,03</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20.312,50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56.650,00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93.500,00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99.000,00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664.573,84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259.571,78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435.591,78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515.488,03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495.488,03</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75.396,25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1.426.418,56</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1.477.953,03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1.446.753,03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1.446.753,03</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rPr>
          <w:rFonts w:ascii="Times New Roman" w:hAnsi="Times New Roman" w:cs="Times New Roman"/>
        </w:rPr>
      </w:pPr>
      <w:r>
        <w:rPr>
          <w:rFonts w:ascii="Times New Roman" w:hAnsi="Times New Roman" w:cs="Times New Roman"/>
        </w:rPr>
        <w:t>PRIHODI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 xml:space="preserve">PLAN PRORAČUNA </w:t>
            </w:r>
            <w:r>
              <w:rPr>
                <w:rFonts w:ascii="Times New Roman" w:hAnsi="Times New Roman" w:cs="Times New Roman"/>
                <w:b/>
                <w:color w:val="FFFFFF"/>
                <w:sz w:val="16"/>
                <w:szCs w:val="18"/>
              </w:rPr>
              <w:lastRenderedPageBreak/>
              <w:t>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lastRenderedPageBreak/>
              <w:t xml:space="preserve">PLAN PRORAČUNA </w:t>
            </w:r>
            <w:r>
              <w:rPr>
                <w:rFonts w:ascii="Times New Roman" w:hAnsi="Times New Roman" w:cs="Times New Roman"/>
                <w:b/>
                <w:color w:val="FFFFFF"/>
                <w:sz w:val="16"/>
                <w:szCs w:val="18"/>
              </w:rPr>
              <w:lastRenderedPageBreak/>
              <w:t>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lastRenderedPageBreak/>
              <w:t xml:space="preserve">PROJEKCIJA PRORAČUNA </w:t>
            </w:r>
            <w:r>
              <w:rPr>
                <w:rFonts w:ascii="Times New Roman" w:hAnsi="Times New Roman" w:cs="Times New Roman"/>
                <w:b/>
                <w:color w:val="FFFFFF"/>
                <w:sz w:val="16"/>
                <w:szCs w:val="18"/>
              </w:rPr>
              <w:lastRenderedPageBreak/>
              <w:t>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lastRenderedPageBreak/>
              <w:t xml:space="preserve">PROJEKCIJA PRORAČUNA </w:t>
            </w:r>
            <w:r>
              <w:rPr>
                <w:rFonts w:ascii="Times New Roman" w:hAnsi="Times New Roman" w:cs="Times New Roman"/>
                <w:b/>
                <w:color w:val="FFFFFF"/>
                <w:sz w:val="16"/>
                <w:szCs w:val="18"/>
              </w:rPr>
              <w:lastRenderedPageBreak/>
              <w:t>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lastRenderedPageBreak/>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1 OPĆI PRIHODI I PRIMICI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316.390,42</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420.113,76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513.856,26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497.475,53</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497.475,53</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316.390,42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420.113,76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513.856,26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497.475,53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497.475,53</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3 Vlastiti prihodi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67.054,15</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4.900,00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3.010,00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3.010,00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Vlastiti prihodi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67.054,15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3.010,00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4 PRIHODI ZA POSEBNE NAMJENE</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116.846,03</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171.665,00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179.410,00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181.800,00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181.800,00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40 Prihodi od komunalne naknade i komunalnog doprinosa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Prihodi za posebne namjene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64.976,43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86.665,00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73.210,00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75.600,00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Prihod od komunalnog doprinosa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4.016,40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37.996,17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44 Prihod od grobne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9.507,80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11.690,00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20.700,00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45 Prihodi od šumskog doprinosa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349,23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529.516,28</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799.401,48</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765.786,77</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814.467,50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795.830,21</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50 Pomoći iz državnog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697.229,27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51 Pomoći iz državnog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513.924,51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761.578,02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775.000,00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756.362,71</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52 Pomoći iz županijskog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9.480,17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41.497,50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11.497,50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11.497,50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53 Pomoći iz EU fondova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6.111,60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13.873,46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13.090,00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55 Pomoći iz državnog proračuna knjižnica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7 PRIHODI OD PRODAJE ILI ZAMJENE NEFINANCIJSKE IMOVINE</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55.613,66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40.000,00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14.000,00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50.000,00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71 Prihodi od prodaje nefinanc.imovine i naknade šteta s naslova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31.474,12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72 Prihodi od prodaje građevinskih objekata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24.139,54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PRIHODI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1.085.420,54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1.477.953,03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1.546.753,03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1.528.115,74</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rPr>
          <w:rFonts w:ascii="Times New Roman" w:hAnsi="Times New Roman" w:cs="Times New Roman"/>
        </w:rPr>
      </w:pPr>
      <w:r>
        <w:rPr>
          <w:rFonts w:ascii="Times New Roman" w:hAnsi="Times New Roman" w:cs="Times New Roman"/>
        </w:rPr>
        <w:t>RASHODI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1 OPĆI PRIHODI I PRIMICI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316.390,32</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420.113,76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513.856,26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365.156,26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365.156,26</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11 Opći prihodi i primici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316.390,32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420.113,76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513.856,26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365.156,26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365.156,26</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3 Vlastiti prihodi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269.964,56</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4.900,00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5.400,00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5.400,00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Vlastiti prihodi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Vlastiti prihodi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263.364,56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5.400,00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4 PRIHODI ZA POSEBNE NAMJENE</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147.022,23</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171.665,00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179.410,00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166.100,00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308.996,25</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40 Prihodi od komunalne naknade i komunalnog doprinosa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Prihodi za posebne namjene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64.976,43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86.665,00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73.210,00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198.296,25</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Prihod od komunalnog doprinosa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4.016,39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43 Ostali prihodi za posebne namjene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66.884,50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44 Prihod od grobne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9.308,36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11.690,00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45 Prihodi od šumskog doprinosa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1.836,55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693.041,45</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799.401,48</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765.786,77</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910.096,77</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757.200,52</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50 Pomoći iz državnog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697.229,27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51 Pomoći iz državnog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666.093,51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761.578,02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876.729,27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723.833,02</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52 Pomoći iz županijskog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41.497,50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5.497,50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5.497,50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831,60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13.873,46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13.090,00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55 Pomoći iz državnog proračuna knjižnica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7 PRIHODI OD PRODAJE ILI ZAMJENE NEFINANCIJSKE IMOVINE</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40.000,00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14.000,00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71 Prihodi od prodaje nefinanc.imovine i naknade šteta s naslova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1.426.418,56</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1.477.953,03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1.446.753,03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1.446.753,03</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rPr>
          <w:rFonts w:ascii="Times New Roman" w:hAnsi="Times New Roman" w:cs="Times New Roman"/>
        </w:rPr>
      </w:pPr>
      <w:r>
        <w:rPr>
          <w:rFonts w:ascii="Times New Roman" w:hAnsi="Times New Roman" w:cs="Times New Roman"/>
        </w:rPr>
        <w:t>RASHODI PREMA FUNKCIJSKOJ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lastRenderedPageBreak/>
              <w:t>FUNKCIJA I OPIS FUNKCIJE</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01 Opće javne usluge</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234.271,94</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319.217,07</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265.250,00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265.250,00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265.250,00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0111 Izvršna i zakonodavna tijela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232.009,98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308.753,46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255.050,00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255.050,00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255.050,00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0133 Ostale opće usluge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2.261,96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10.463,61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10.200,00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03 Javni red i sigurnost</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20.164,00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032 Usluge protupožarne zaštite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20.164,00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04 Ekonomski poslovi</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3.125,00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0411 Opći ekonomski i trgovački poslovi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0451 Cestovni promet</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3.125,00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05 Zaštita okoliša</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86.885,53</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209.900,00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209.000,00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202.000,00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051 Gospodarenje otpadom</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595,47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052 Gospodarenje otpadnim vodama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84.618,57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056 Poslovi i usluge zaštite okoliša koji nisu drugdje svrstani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1.671,49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2.900,00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06 Usluge unaprjeđenja stanovanja i zajednice</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660.936,57</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372.500,00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378.176,25</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292.780,00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292.780,00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063 Opskrba vodom</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064 Ulična rasvjeta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161.275,10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75.396,25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066 Rashodi vezani uz stanovanje i kom. pogodnosti koji nisu drugdje svrstani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499.661,47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191.500,00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302.780,00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292.780,00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292.780,00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07 Zdravstvo</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36.685,63</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20.500,00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20.500,00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074 Službe javnog zdravstva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0760 Poslovi i usluge zdravstva koji nisu drugdje svrstani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36.685,63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08 Rekreacija, kultura i religija</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308.422,93</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356.863,17</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424.021,78</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496.418,03</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496.418,03</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081 Službe rekreacije i sporta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21.729,50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082 Službe kulture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11.553,26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0820 Služba kulture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36.650,18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43.861,78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54.421,78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54.421,78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54.421,78</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084 Religijske i druge službe zajednice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23.801,94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43.351,39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19.600,00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085 Istraživanje i razvoj rekreacije, kulture i religije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086 Rashodi za rekreaciju, kulturu i religiju koji nisu drugdje svrstani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202.688,05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293.700,00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369.096,25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369.096,25</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09 Obrazovanje</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48.191,96</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52.000,00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82.200,00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67.000,00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0911 Predškolsko obrazovanje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0912 Osnovno obrazovanje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21.794,58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098 Usluge obrazovanja koje nisu drugdje svrstane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281,04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rsidR="00777ABF" w:rsidTr="00F57898">
        <w:tc>
          <w:tcPr>
            <w:tcW w:w="3531" w:type="dxa"/>
            <w:shd w:val="clear" w:color="auto" w:fill="E2EFDA"/>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10 Socijalna zaštita</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27.735,00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37.200,00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34.805,00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34.805,00</w:t>
            </w:r>
          </w:p>
        </w:tc>
        <w:tc>
          <w:tcPr>
            <w:tcW w:w="1300" w:type="dxa"/>
            <w:shd w:val="clear" w:color="auto" w:fill="E2EFDA"/>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34.805,00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107 Socijalna pomoć stanovništvu koje nije obuhvaćeno redovnim socijalnim programima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11.885,00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109 Aktivnosti socijalne zaštite koje nisu drugdje svrstane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15.850,00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24.805,00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24.805,00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24.805,00</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1.426.418,56</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1.431.680,24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1.477.953,03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1.446.753,03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1.446.753,03</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rPr>
          <w:rFonts w:ascii="Times New Roman" w:hAnsi="Times New Roman" w:cs="Times New Roman"/>
        </w:rPr>
      </w:pPr>
    </w:p>
    <w:p w:rsidR="00777ABF" w:rsidRDefault="00777ABF" w:rsidP="00A66748">
      <w:pPr>
        <w:pStyle w:val="Odlomakpopisa"/>
        <w:numPr>
          <w:ilvl w:val="1"/>
          <w:numId w:val="11"/>
        </w:numPr>
        <w:spacing w:after="0"/>
        <w:rPr>
          <w:rFonts w:ascii="Times New Roman" w:hAnsi="Times New Roman"/>
          <w:b/>
          <w:bCs/>
        </w:rPr>
      </w:pPr>
      <w:r>
        <w:rPr>
          <w:rFonts w:ascii="Times New Roman" w:hAnsi="Times New Roman"/>
          <w:b/>
          <w:bCs/>
        </w:rPr>
        <w:t>RAČUN FINANCIRANJA</w:t>
      </w:r>
    </w:p>
    <w:p w:rsidR="00777ABF" w:rsidRDefault="00777ABF" w:rsidP="00777ABF">
      <w:pPr>
        <w:spacing w:after="0"/>
        <w:rPr>
          <w:rFonts w:ascii="Times New Roman" w:hAnsi="Times New Roman" w:cs="Times New Roman"/>
        </w:rPr>
      </w:pPr>
      <w:r>
        <w:rPr>
          <w:rFonts w:ascii="Times New Roman" w:hAnsi="Times New Roman" w:cs="Times New Roman"/>
        </w:rPr>
        <w:t>RAČUN FINANCIRANJA PREMA EKONOMSKOJ KLASIFIKACIJI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RAČUN I OPIS RAČUNA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shd w:val="clear" w:color="auto" w:fill="BDD7EE"/>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 xml:space="preserve">54 Izdaci za otplatu glavnice primljenih </w:t>
            </w:r>
            <w:r>
              <w:rPr>
                <w:rFonts w:ascii="Times New Roman" w:hAnsi="Times New Roman" w:cs="Times New Roman"/>
                <w:sz w:val="18"/>
                <w:szCs w:val="18"/>
              </w:rPr>
              <w:lastRenderedPageBreak/>
              <w:t>kredita i zajmova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lastRenderedPageBreak/>
              <w:t>14.916,48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shd w:val="clear" w:color="auto" w:fill="BDD7EE"/>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8 Primici od financijske imovine i zaduživanja</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BDD7EE"/>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81 Primljeni povrati glavnica danih zajmova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rPr>
          <w:rFonts w:ascii="Times New Roman" w:hAnsi="Times New Roman" w:cs="Times New Roman"/>
        </w:rPr>
      </w:pPr>
      <w:r>
        <w:rPr>
          <w:rFonts w:ascii="Times New Roman" w:hAnsi="Times New Roman" w:cs="Times New Roman"/>
        </w:rPr>
        <w:t>RAČUN FINANCIRANJA PREMA IZVORIMA FINANCIRANJA: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IZVOR I OPIS IZVORA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PRIMICI OD FINANCIJSKE IMOVINE</w:t>
            </w: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8 PRIMICI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86.500,00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15.000,00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15.000,00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81 Namjenski primici od zaduživanja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IZDACI OD FINANCIJSKE IMOVINE</w:t>
            </w: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5 POMOĆI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14.916,48</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54 Pomoći od izvanproračunskih korisnika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FFE699"/>
          </w:tcPr>
          <w:p w:rsidR="00777ABF" w:rsidRDefault="00777ABF" w:rsidP="00F57898">
            <w:pPr>
              <w:spacing w:after="0"/>
              <w:rPr>
                <w:rFonts w:ascii="Times New Roman" w:hAnsi="Times New Roman" w:cs="Times New Roman"/>
                <w:b/>
                <w:sz w:val="16"/>
                <w:szCs w:val="18"/>
              </w:rPr>
            </w:pPr>
            <w:r>
              <w:rPr>
                <w:rFonts w:ascii="Times New Roman" w:hAnsi="Times New Roman" w:cs="Times New Roman"/>
                <w:b/>
                <w:sz w:val="16"/>
                <w:szCs w:val="18"/>
              </w:rPr>
              <w:t>8 PRIMICI</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86.500,00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15.000,00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15.000,00</w:t>
            </w:r>
          </w:p>
        </w:tc>
        <w:tc>
          <w:tcPr>
            <w:tcW w:w="1300" w:type="dxa"/>
            <w:shd w:val="clear" w:color="auto" w:fill="FFE699"/>
          </w:tcPr>
          <w:p w:rsidR="00777ABF" w:rsidRDefault="00777ABF" w:rsidP="00F57898">
            <w:pPr>
              <w:spacing w:after="0"/>
              <w:jc w:val="right"/>
              <w:rPr>
                <w:rFonts w:ascii="Times New Roman" w:hAnsi="Times New Roman" w:cs="Times New Roman"/>
                <w:b/>
                <w:sz w:val="16"/>
                <w:szCs w:val="18"/>
              </w:rPr>
            </w:pPr>
            <w:r>
              <w:rPr>
                <w:rFonts w:ascii="Times New Roman" w:hAnsi="Times New Roman" w:cs="Times New Roman"/>
                <w:b/>
                <w:sz w:val="16"/>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81 Namjenski primici od zaduživanja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c>
          <w:tcPr>
            <w:tcW w:w="1300" w:type="dxa"/>
          </w:tcPr>
          <w:p w:rsidR="00777ABF" w:rsidRDefault="00777ABF" w:rsidP="00F57898">
            <w:pPr>
              <w:spacing w:after="0"/>
              <w:jc w:val="right"/>
              <w:rPr>
                <w:rFonts w:ascii="Times New Roman" w:hAnsi="Times New Roman" w:cs="Times New Roman"/>
                <w:sz w:val="18"/>
                <w:szCs w:val="18"/>
              </w:rPr>
            </w:pP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777ABF">
      <w:pPr>
        <w:spacing w:after="0"/>
        <w:jc w:val="center"/>
        <w:rPr>
          <w:rFonts w:ascii="Times New Roman" w:hAnsi="Times New Roman" w:cs="Times New Roman"/>
          <w:b/>
          <w:bCs/>
        </w:rPr>
      </w:pPr>
      <w:r>
        <w:rPr>
          <w:rFonts w:ascii="Times New Roman" w:hAnsi="Times New Roman" w:cs="Times New Roman"/>
          <w:b/>
          <w:bCs/>
        </w:rPr>
        <w:t>Članak 3.</w:t>
      </w:r>
    </w:p>
    <w:p w:rsidR="00777ABF" w:rsidRDefault="00777ABF" w:rsidP="00777ABF">
      <w:pPr>
        <w:spacing w:after="0"/>
        <w:ind w:firstLine="360"/>
        <w:jc w:val="both"/>
        <w:rPr>
          <w:rFonts w:ascii="Times New Roman" w:hAnsi="Times New Roman"/>
        </w:rPr>
      </w:pPr>
      <w:r>
        <w:rPr>
          <w:rFonts w:ascii="Times New Roman" w:hAnsi="Times New Roman"/>
        </w:rPr>
        <w:t>Rashodi poslovanja i rashodi za nabavu nefinancijske imovine u Proračunu Općine Gornji Bogićevci za 2025. godinu raspoređeni su u Posebnom dijelu proračuna prema organizacijskoj i programskoj klasifikaciji na razini skupine ekonomske klasifikacije kako slijedi.</w:t>
      </w:r>
    </w:p>
    <w:p w:rsidR="00777ABF" w:rsidRDefault="00777ABF" w:rsidP="00777ABF">
      <w:pPr>
        <w:spacing w:after="0"/>
        <w:jc w:val="both"/>
        <w:rPr>
          <w:rFonts w:ascii="Times New Roman" w:hAnsi="Times New Roman"/>
        </w:rPr>
      </w:pPr>
    </w:p>
    <w:p w:rsidR="00777ABF" w:rsidRDefault="00777ABF" w:rsidP="00A66748">
      <w:pPr>
        <w:pStyle w:val="Odlomakpopisa"/>
        <w:numPr>
          <w:ilvl w:val="0"/>
          <w:numId w:val="11"/>
        </w:numPr>
        <w:rPr>
          <w:rFonts w:ascii="Times New Roman" w:hAnsi="Times New Roman"/>
          <w:b/>
          <w:bCs/>
          <w:sz w:val="24"/>
          <w:szCs w:val="24"/>
        </w:rPr>
      </w:pPr>
      <w:r>
        <w:rPr>
          <w:rFonts w:ascii="Times New Roman" w:hAnsi="Times New Roman"/>
          <w:b/>
          <w:bCs/>
          <w:sz w:val="24"/>
          <w:szCs w:val="24"/>
        </w:rPr>
        <w:t>POSEBNI DIO</w:t>
      </w:r>
    </w:p>
    <w:p w:rsidR="00777ABF" w:rsidRDefault="00777ABF" w:rsidP="00777ABF">
      <w:pPr>
        <w:spacing w:after="0"/>
        <w:rPr>
          <w:rFonts w:ascii="Times New Roman" w:hAnsi="Times New Roman" w:cs="Times New Roman"/>
          <w:b/>
          <w:bCs/>
        </w:rPr>
      </w:pPr>
      <w:r>
        <w:rPr>
          <w:rFonts w:ascii="Times New Roman" w:hAnsi="Times New Roman" w:cs="Times New Roman"/>
          <w:b/>
          <w:bCs/>
        </w:rPr>
        <w:t>2.1. ORGANIZACIJSKA KLASIFIKACIJA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OZNAKA I OPIS</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RAZDJEL 001 OPĆINSKA PREDSTAVNIČKA I IZVRŠNA TIJELA</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76.517,75</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107.580,00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GLAVA 00101 OPĆINSKA PREDSTAVNIČKA I IZVRŠNA TIJELA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76.517,75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107.580,00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49.400,00</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RAZDJEL 002 JEDINSTVENI UPRAVNI ODJEL</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1.364.817,29</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1.410.600,24</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1.443.553,03</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1.412.353,03</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1.412.353,03</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GLAVA 00201 JEDINSTVENI UPRAVNI ODJEL</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1.328.167,11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1.366.738,46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1.389.131,25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1.357.931,25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1.357.931,25</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GLAVA 00202 NARODNA KNJIŽNICA I ČITAONICA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36.650,18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43.861,78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54.421,78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54.421,78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54.421,78</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1.441.335,04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1.518.180,24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1.492.953,03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1.461.753,03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1.461.753,03</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rPr>
      </w:pPr>
    </w:p>
    <w:p w:rsidR="00777ABF" w:rsidRDefault="00777ABF" w:rsidP="00A66748">
      <w:pPr>
        <w:pStyle w:val="Odlomakpopisa"/>
        <w:numPr>
          <w:ilvl w:val="1"/>
          <w:numId w:val="11"/>
        </w:numPr>
        <w:spacing w:after="0"/>
        <w:rPr>
          <w:rFonts w:ascii="Times New Roman" w:hAnsi="Times New Roman"/>
          <w:b/>
          <w:bCs/>
        </w:rPr>
      </w:pPr>
      <w:r>
        <w:rPr>
          <w:rFonts w:ascii="Times New Roman" w:hAnsi="Times New Roman"/>
          <w:b/>
          <w:bCs/>
        </w:rPr>
        <w:t>PROGRAMSKA KLASIFIKACIJA</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OZNAKA I OPIS</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OSTVARENJE 2024. GODINA</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PLAN PRORAČUNA ZA 2026.</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2027.</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1</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2</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3</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4</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5</w:t>
            </w:r>
          </w:p>
        </w:tc>
        <w:tc>
          <w:tcPr>
            <w:tcW w:w="1300" w:type="dxa"/>
            <w:shd w:val="clear" w:color="auto" w:fill="505050"/>
          </w:tcPr>
          <w:p w:rsidR="00777ABF" w:rsidRDefault="00777ABF" w:rsidP="00F57898">
            <w:pPr>
              <w:spacing w:after="0"/>
              <w:jc w:val="center"/>
              <w:rPr>
                <w:rFonts w:ascii="Times New Roman" w:hAnsi="Times New Roman" w:cs="Times New Roman"/>
                <w:b/>
                <w:color w:val="FFFFFF"/>
                <w:sz w:val="16"/>
                <w:szCs w:val="18"/>
              </w:rPr>
            </w:pPr>
            <w:r>
              <w:rPr>
                <w:rFonts w:ascii="Times New Roman" w:hAnsi="Times New Roman" w:cs="Times New Roman"/>
                <w:b/>
                <w:color w:val="FFFFFF"/>
                <w:sz w:val="16"/>
                <w:szCs w:val="18"/>
              </w:rPr>
              <w:t>6</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RAZDJEL 001 OPĆINSKA PREDSTAVNIČKA I IZVRŠNA TIJELA</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76.517,75</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107.580,00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GLAVA 00101 OPĆINSKA PREDSTAVNIČKA I IZVRŠNA TIJELA</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76.517,75</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107.580,00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49.400,00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35.973,05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84.580,00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49.400,00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47.400,00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47.400,00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31.065,55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1.051,57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8.427,58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1001 OPĆINSKO VIJEĆE I OPĆINSKI NAČELNIK</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61.015,17</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103.180,00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44.000,00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44.000,00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44.000,00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A100101 Općinsko vijeće i Općinski načelnik</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44.780,74</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73.300,00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34.500,00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34.643,05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56.300,00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34.500,00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34.643,05</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56.300,00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643,05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10.137,69</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10.137,69</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10.137,69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A100102 Lokalni izbori</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1.330,00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22.100,00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1.330,00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17.100,00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1.330,00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17.100,00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1.330,00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A100103 Financiranje političkih stranaka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980,00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980,00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980,00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980,00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A100104 Obilježavanje Dana Općine i ostale manifestascije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14.904,43</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6.800,00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6.800,00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6.800,00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13.852,86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13.852,86</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13.852,86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1.051,57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1.051,57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1.051,57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1002 VIJEĆE SRPSKE NACIONALNE MANJINE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15.502,58</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4.400,00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5.400,00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5.400,00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5.400,00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A100201 Vijeće srpske nacionalne manjine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15.502,58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7.075,00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7.075,00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7.075,00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8.427,58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8.427,58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8.427,58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RAZDJEL 002 JEDINSTVENI UPRAVNI ODJEL</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1.364.817,29</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1.410.600,24</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1.443.553,03</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1.412.353,03</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1.412.353,03</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GLAVA 00201 JEDINSTVENI UPRAVNI ODJEL</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1.328.167,11</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1.366.738,46</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1.389.131,25</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1.357.931,25</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1.357.931,25</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253.487,66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301.121,98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426.301,98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279.601,98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279.601,98</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6.600,00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232.299,01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40 Prihodi od komunalne naknade i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64.976,43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86.665,00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73.210,00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198.296,25</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4.016,39</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65.832,93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59.000,00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73.000,00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9.308,36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11.690,00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27.000,00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1.836,55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15.010,00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4.200,00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697.229,27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647.945,36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743.578,02</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874.729,27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721.833,02</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26.116,34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39.500,00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54 Pomoći od izvanproračunskih korisnika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15.748,08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13.873,46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13.090,00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81 Namjenski primici od zaduživanja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86.500,00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1003 PRIPREMA I DONOŠENJE AKATA IZ DJELOKRUGA TIJELA</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164.974,95</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272.300,00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207.100,00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207.100,00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207.100,00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A100301 Administrativno i stručno osoblje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123.273,14</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149.300,00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141.900,00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141.900,00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141.900,00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67.975,16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146.300,00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130.900,00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128.900,00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128.900,00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67.975,16</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146.300,00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128.900,00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128.900,00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128.900,00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56.041,24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63.700,00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63.700,00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63.700,00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11.933,92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55.100,00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54.873,57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54.873,57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40.559,23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1.801,27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12.513,07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424,41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424,41</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424,41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A100302 Komunalni redar</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5.097,84</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5.097,84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5.097,84</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5.097,84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A100303 Tekuće i investicijsko održavanje građevinskih objekata, postrojenja i opreme i dr.</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18.700,22</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23.400,00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6.089,80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17.400,00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6.089,80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6.089,80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14.400,00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3.879,47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3.879,47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3.879,47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3.171,35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3.171,35</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3.171,35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4.238,02</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4.238,02</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4.238,02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1.321,58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1.321,58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1.321,58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A100304 Intelektualne i osobne usluge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997,16</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997,16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997,16</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997,16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A100305 Informatizacija uprave i nabava namještaja i opreme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1.990,11</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9.800,00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9.800,00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9.800,00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1.990,11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8.800,00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8.800,00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8.800,00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1.990,11</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1.990,11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8.800,00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A100306 Izdaci za financijsku imovinu i otplate zajmova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14.916,48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86.500,00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54 Pomoći od izvanproračunskih korisnika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14.916,48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14.916,48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 xml:space="preserve">54 Izdaci za otplatu glavnice primljenih </w:t>
            </w:r>
            <w:r>
              <w:rPr>
                <w:rFonts w:ascii="Times New Roman" w:hAnsi="Times New Roman" w:cs="Times New Roman"/>
                <w:sz w:val="18"/>
                <w:szCs w:val="18"/>
              </w:rPr>
              <w:lastRenderedPageBreak/>
              <w:t>kredita i zajmova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lastRenderedPageBreak/>
              <w:t>14.916,48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81 Namjenski primici od zaduživanja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86.500,00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 Izdaci za financijsku imovinu i otplate zajmova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54 Izdaci za otplatu glavnice primljenih kredita i zajmova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86.500,00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1004 RAZVOJ GOSPODARSTVA</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4.660,00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6.650,00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6.650,00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6.650,00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A100401 Poticanje poljoprivrede i gospodarskih subjekata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4.660,00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6.650,00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6.650,00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6.650,00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6.450,00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6.450,00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6.450,00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4.660,00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6.650,00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6.650,00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4.660,00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35 Subvencije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1005 ODRŽAVANJE KOMUNALNE INFRASTRUKTURE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288.867,35</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146.000,00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160.780,00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160.780,00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160.780,00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A100501 Održavanje nerazvrstanih cesta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146.323,85</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64.400,00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64.400,00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64.400,00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71.700,00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13.400,00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71.700,00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38.300,00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41.865,00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41.865,00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21.865,00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4.654,18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4.654,18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4.654,18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69.969,67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2.135,00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2.135,00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69.969,67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69.969,67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A100502 Održavanje javnih površina na kojima nije dopušten promet vozilima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A100503 Održavanje građevina javne odvodnje oborinskih voda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A100504 Održavanje javnih zelenih površina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33.000,00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25.280,00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25.280,00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25.280,00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25.280,00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A100505 Održavanje građevina, uređaja i predmeta javne namjene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47.354,11</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8.700,00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15.980,00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15.980,00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31.083,03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12.280,00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12.280,00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31.083,03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12.280,00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12.280,00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31.083,03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12.280,00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12.280,00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4.924,54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4.924,54</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4.924,54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34,41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34,41</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34,41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7.970,33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7.970,33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7.970,33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3.332,60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3.332,60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3.332,60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9,20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9,20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9,20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A100506 Održavanje groblja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21.481,97</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19.400,00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19.400,00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13.050,00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13.050,00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8.431,97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12.400,00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12.400,00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8.431,97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8.431,97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12.400,00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A100507 Održavanje čistoće javnih površina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26.122,57</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24.719,63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24.719,63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24.719,63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1.402,94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1.402,94</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1.402,94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A100508 Održavanje javne rasvjete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17.584,85</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9.000,00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1.839,93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1.839,93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1.839,93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15.744,92</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15.744,92</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15.744,92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1006 GRAĐENJE KOMUNALNE INFRASTRUKTURE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531.226,03</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434.000,00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523.096,25</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513.096,25</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513.096,25</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K100607 Centar općine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205.696,28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205.696,28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205.696,28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205.696,28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lastRenderedPageBreak/>
              <w:t>KAPITALNI PROJEKT K100608 Cesta Stari kraj- groblje LU Vepar</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3.125,00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3.125,00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3.125,00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3.125,00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K100609 Dom Smrtić</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K100610 HSD GB - UREĐENJE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11.093,88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11.093,88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11.093,88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11.093,88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39.500,00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39.500,00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39.500,00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K100611 Zelena infrastruktura - javne površine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40 Prihodi od komunalne naknade i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K100612 Ulaganje u prometnu infrastrukturu</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25.000,00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15.000,00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K100601 Izgradnja prilazne ceste i mosta na potoku Draževac</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40 Prihodi od komunalne naknade i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K100602 Izgradnja dječjeg igrališta u naselju Trnava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49.000,00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57.500,00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49.000,00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49.000,00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K100603 Uređenje parkirališta kod doma Kosovac</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17.247,71</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76.000,00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40 Prihodi od komunalne naknade i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15.310,00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15.310,00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15.310,00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44 Prihod od grobne naknade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1.690,00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1.690,00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1.690,00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17.247,71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44.000,00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17.247,71</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17.247,71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K100604 Uređenje okoliša Društvenog doma Smrtić-Ratkovac i izgradnja nadstrešnice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114.259,93</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19.200,00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19.200,00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25.800,00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25.800,00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114.259,93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19.200,00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114.259,93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114.259,93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19.200,00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K100605 Izgradnja i opremanje dječjeg vrtića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18.528,13</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122.096,25</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162.896,25</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8.312,50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8.312,50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8.312,50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142.896,25</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142.896,25</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142.896,25</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10.215,63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122.096,25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10.215,63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122.096,25</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10.215,63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122.096,25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KAPITALNI PROJEKT K100606 Modernizacija javne rasvjete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161.275,10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181.000,00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75.396,25</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75.396,25</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75.396,25</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75.396,25</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161.275,10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161.275,10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160.650,10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45 Rashodi za dodatna ulaganja na nefinancijskoj imovini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1007 GOSPODARENJE OTPADOM</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2.266,96</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9.900,00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A100701 Poticajna naknada za smanjenje količine miješanog komunalnog otpada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1.671,49</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2.900,00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2.900,00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2.900,00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2.900,00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1.671,49</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1.671,49</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1.671,49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A100702 Naknada za korištenje odlagališta komunalnog otpada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595,47</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595,47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595,47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595,47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1008 PREDŠKOLSKI ODGOJ, OBRAZOVANJE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48.191,96</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52.000,00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82.200,00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67.000,00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67.000,00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A100801 Predškolski odgoj</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26.116,34</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55.200,00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26.116,34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26.116,34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A100802 Osnovno i srednjoškolsko obrazovanje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21.794,58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21.624,58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21.624,58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21.624,58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A100803 Visoko obrazovanje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281,04</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281,04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281,04</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281,04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1009 JAVNE POTREBE U KULTURI, SPORTU, VJERSKIM ZAJEDNICAMA I OSTALO</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69.084,70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99.001,39</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75.900,00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72.900,00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72.900,00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A100901 Djelatnost kulturno-umjetničkih društava, udruga i RP Bljesak</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11.553,26</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18.300,00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17.300,00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17.300,00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11.553,26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11.553,26</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11.553,26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18.300,00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18.300,00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17.300,00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A100902 Vjerske zajednice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23.801,94</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43.351,39</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19.600,00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19.600,00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19.600,00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23.801,94</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4.600,00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23.801,94</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23.801,94</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4.600,00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43.351,39</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15.000,00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43.351,39</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43.351,39</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15.000,00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A100903 Utvrda Bedem</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6.650,00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6.650,00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41 Rashodi za nabavu neproizvedene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A100904 Sportske zajednice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21.729,50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24.000,00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1.729,50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1.729,50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1.729,50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24.000,00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24.000,00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1010 SOCIJALNE POTREBE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33.606,60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51.073,46</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48.705,00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48.705,00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48.705,00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A101001 Jednokratne novčane pomoći</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11.885,00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17.000,00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6.600,00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5.285,00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5.285,00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5.285,00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37 Naknade građanima i kućanstvima na temelju osiguranja i druge naknade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A101002 Pomoći u rješavanju prve stambene nekretnine mladih obitelji</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12.000,00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43 Ostali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12.000,00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 xml:space="preserve">38 Rashodi za donacije, kazne, naknade šteta </w:t>
            </w:r>
            <w:r>
              <w:rPr>
                <w:rFonts w:ascii="Times New Roman" w:hAnsi="Times New Roman" w:cs="Times New Roman"/>
                <w:sz w:val="18"/>
                <w:szCs w:val="18"/>
              </w:rPr>
              <w:lastRenderedPageBreak/>
              <w:t>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lastRenderedPageBreak/>
              <w:t>12.000,00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lastRenderedPageBreak/>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A101003 Humanitarna skrb kroz udruge i druge organizacije - Crveni križ</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3.850,00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4.200,00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4.805,00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4.805,00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4.805,00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3.850,00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3.850,00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4.805,00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4.805,00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4.805,00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4.200,00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4.805,00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4.805,00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4.805,00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4.805,00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4.200,00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4.805,00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4.805,00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A101004 Javni radovi</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5.871,60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13.873,46</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13.900,00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13.900,00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13.900,00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5.040,00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5.040,00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5.040,00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45 Prihodi od šumskog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810,00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810,00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810,00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54 Pomoći od izvanproračunskih korisnika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831,60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13.873,46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13.090,00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831,60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13.873,46</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13.090,00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831,60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13.513,46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12.730,00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13.540,00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13.540,00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360,00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1011 DODATNE USLUGE U ZDRAVSTVU</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36.685,63</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36.000,00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20.500,00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20.500,00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20.500,00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A101102 Ostale tekuće donacije u zdravstvu</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A101101 Deratizacija, dezinsekcija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36.685,63</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16.000,00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16.000,00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41 Prihodi za posebne namjene</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35.875,00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35.875,00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35.875,00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42 Prihod od komunalnog doprinosa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810,63</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810,63</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810,63</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lastRenderedPageBreak/>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71 Prihodi od prodaje nefinanc.imovine i naknade šteta s naslova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1012 ORGANIZIRANJE ZAŠTITE I SPAŠAVANJA</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22.425,96</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22.963,61</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18.700,00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22.700,00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22.700,00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A101201 DVD</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20.164,00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14.000,00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18.000,00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621,98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621,98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621,98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621,98</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621,98</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20.164,00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20.164,00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20.164,00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13.378,02</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13.378,02</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13.378,02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17.378,02</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17.378,02</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17.378,02</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17.378,02</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A101202 Civilna zaštita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2.261,96</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4.700,00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4.700,00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4.700,00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1.700,00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1.700,00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2.261,96</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2.261,96</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2.261,96</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A101203 HGSS</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663,61</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663,61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663,61</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663,61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1013 UPRAVLJANJE IMOVINOM</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41.558,40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31.000,00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31.000,00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31.000,00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31.000,00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A101302 Fotonaponske elektrane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lastRenderedPageBreak/>
              <w:t>AKTIVNOST A101303 Opremanje kuhinje -dom GB</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A101301 Rekonstrukcija vijećnice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41.558,40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1.000,00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41.558,40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41.558,40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41.558,40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1.000,00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1014 RAZVOJ SUSTAVA VODOOPSKRBE I ODVODNJE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84.618,57</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200.000,00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A101401 Kapitalne pomoći trgovačkim društvima  u javnom sektoru - odvodnja VZS</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84.618,57</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200.000,00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78.653,77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78.653,77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78.653,77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5.964,80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200.000,00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200.000,00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5.964,80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5.964,80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A101402 Kapitalne pomoći trgovačkim društvima  u javnom sektoru - vodoopskrba VZS</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A101403 Kapitalne pomoći trgovačkim društvima  u javnom sektoru - odlagalište-nab.opreme</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38 Rashodi za donacije, kazne, naknade šteta i kapitalne pomoći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1015 PROSTORNO PLANIRANJE</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5.500,00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5.500,00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5.500,00</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5.500,00</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lastRenderedPageBreak/>
              <w:t>AKTIVNOST A101501 Izmjene i dopune prostornog plana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5.500,00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50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5.500,00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5.500,00</w:t>
            </w:r>
          </w:p>
        </w:tc>
      </w:tr>
      <w:tr w:rsidR="00777ABF" w:rsidTr="00F57898">
        <w:trPr>
          <w:trHeight w:val="400"/>
        </w:trPr>
        <w:tc>
          <w:tcPr>
            <w:tcW w:w="3531" w:type="dxa"/>
            <w:shd w:val="clear" w:color="auto" w:fill="FFC000"/>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GLAVA 00202 NARODNA KNJIŽNICA I ČITAONICA</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36.650,18</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43.861,78</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54.421,78</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54.421,78</w:t>
            </w:r>
          </w:p>
        </w:tc>
        <w:tc>
          <w:tcPr>
            <w:tcW w:w="1300" w:type="dxa"/>
            <w:shd w:val="clear" w:color="auto" w:fill="FFC000"/>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54.421,78</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26.929,61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34.411,78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38.154,28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38.154,28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38.154,28</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9.720,57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1.997,50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1.497,50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1.497,50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55 Pomoći iz državnog proračuna knjižnica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8.950,00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13.970,00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13.970,00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13.970,00</w:t>
            </w:r>
          </w:p>
        </w:tc>
      </w:tr>
      <w:tr w:rsidR="00777ABF" w:rsidTr="00F57898">
        <w:trPr>
          <w:trHeight w:val="540"/>
        </w:trPr>
        <w:tc>
          <w:tcPr>
            <w:tcW w:w="3531" w:type="dxa"/>
            <w:shd w:val="clear" w:color="auto" w:fill="17365D"/>
            <w:vAlign w:val="center"/>
          </w:tcPr>
          <w:p w:rsidR="00777ABF" w:rsidRDefault="00777ABF" w:rsidP="00F57898">
            <w:pPr>
              <w:spacing w:after="0"/>
              <w:rPr>
                <w:rFonts w:ascii="Times New Roman" w:hAnsi="Times New Roman" w:cs="Times New Roman"/>
                <w:b/>
                <w:color w:val="FFFFFF"/>
                <w:sz w:val="18"/>
                <w:szCs w:val="18"/>
              </w:rPr>
            </w:pPr>
            <w:r>
              <w:rPr>
                <w:rFonts w:ascii="Times New Roman" w:hAnsi="Times New Roman" w:cs="Times New Roman"/>
                <w:b/>
                <w:color w:val="FFFFFF"/>
                <w:sz w:val="18"/>
                <w:szCs w:val="18"/>
              </w:rPr>
              <w:t>PROGRAM 1016 NARODNA KNJIŽNICA I ČITAONICA</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36.650,18</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43.861,78</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54.421,78</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54.421,78</w:t>
            </w:r>
          </w:p>
        </w:tc>
        <w:tc>
          <w:tcPr>
            <w:tcW w:w="1300" w:type="dxa"/>
            <w:shd w:val="clear" w:color="auto" w:fill="17365D"/>
            <w:vAlign w:val="center"/>
          </w:tcPr>
          <w:p w:rsidR="00777ABF" w:rsidRDefault="00777ABF" w:rsidP="00F57898">
            <w:pPr>
              <w:spacing w:after="0"/>
              <w:jc w:val="right"/>
              <w:rPr>
                <w:rFonts w:ascii="Times New Roman" w:hAnsi="Times New Roman" w:cs="Times New Roman"/>
                <w:b/>
                <w:color w:val="FFFFFF"/>
                <w:sz w:val="18"/>
                <w:szCs w:val="18"/>
              </w:rPr>
            </w:pPr>
            <w:r>
              <w:rPr>
                <w:rFonts w:ascii="Times New Roman" w:hAnsi="Times New Roman" w:cs="Times New Roman"/>
                <w:b/>
                <w:color w:val="FFFFFF"/>
                <w:sz w:val="18"/>
                <w:szCs w:val="18"/>
              </w:rPr>
              <w:t>54.421,78</w:t>
            </w:r>
          </w:p>
        </w:tc>
      </w:tr>
      <w:tr w:rsidR="00777ABF" w:rsidTr="00F57898">
        <w:trPr>
          <w:trHeight w:val="540"/>
        </w:trPr>
        <w:tc>
          <w:tcPr>
            <w:tcW w:w="3531" w:type="dxa"/>
            <w:shd w:val="clear" w:color="auto" w:fill="DAE8F2"/>
            <w:vAlign w:val="center"/>
          </w:tcPr>
          <w:p w:rsidR="00777ABF" w:rsidRDefault="00777ABF" w:rsidP="00F57898">
            <w:pPr>
              <w:spacing w:after="0"/>
              <w:rPr>
                <w:rFonts w:ascii="Times New Roman" w:hAnsi="Times New Roman" w:cs="Times New Roman"/>
                <w:b/>
                <w:sz w:val="18"/>
                <w:szCs w:val="18"/>
              </w:rPr>
            </w:pPr>
            <w:r>
              <w:rPr>
                <w:rFonts w:ascii="Times New Roman" w:hAnsi="Times New Roman" w:cs="Times New Roman"/>
                <w:b/>
                <w:sz w:val="18"/>
                <w:szCs w:val="18"/>
              </w:rPr>
              <w:t>AKTIVNOST A101601 Narodna knjižnica i čitaonica</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36.650,18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43.861,78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54.421,78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54.421,78</w:t>
            </w:r>
          </w:p>
        </w:tc>
        <w:tc>
          <w:tcPr>
            <w:tcW w:w="1300" w:type="dxa"/>
            <w:shd w:val="clear" w:color="auto" w:fill="DAE8F2"/>
            <w:vAlign w:val="center"/>
          </w:tcPr>
          <w:p w:rsidR="00777ABF" w:rsidRDefault="00777ABF" w:rsidP="00F57898">
            <w:pPr>
              <w:spacing w:after="0"/>
              <w:jc w:val="right"/>
              <w:rPr>
                <w:rFonts w:ascii="Times New Roman" w:hAnsi="Times New Roman" w:cs="Times New Roman"/>
                <w:b/>
                <w:sz w:val="18"/>
                <w:szCs w:val="18"/>
              </w:rPr>
            </w:pPr>
            <w:r>
              <w:rPr>
                <w:rFonts w:ascii="Times New Roman" w:hAnsi="Times New Roman" w:cs="Times New Roman"/>
                <w:b/>
                <w:sz w:val="18"/>
                <w:szCs w:val="18"/>
              </w:rPr>
              <w:t>54.421,78</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11 Opći prihodi i primici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26.929,61</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34.411,78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38.154,28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38.154,28</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38.154,28</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26.929,61</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30.290,00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34.032,50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34.032,50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34.032,50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31 Rashodi za zaposlene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22.770,61</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25.000,00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30.500,00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3.944,08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5.290,00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3.312,50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3.312,50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3.312,50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34 Financijski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214,92</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220,00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36 Pomoći dane u inozemstvo i unutar općeg proračuna</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4.121,78</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31 Vlastiti prihodi</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500,00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300,00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800,00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500,00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300,00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800,00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51 Pomoći iz državnog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9.720,57</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9.720,57</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9.720,57</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52 Pomoći iz županijskog proračuna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1.997,50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1.497,50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1.497,50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 Rashodi poslovanja</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1.997,50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1.497,50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1.497,50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32 Materijalni rashodi</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1.997,50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1.497,50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1.497,50</w:t>
            </w:r>
          </w:p>
        </w:tc>
      </w:tr>
      <w:tr w:rsidR="00777ABF" w:rsidTr="00F57898">
        <w:tc>
          <w:tcPr>
            <w:tcW w:w="3531" w:type="dxa"/>
            <w:shd w:val="clear" w:color="auto" w:fill="CBFFCB"/>
          </w:tcPr>
          <w:p w:rsidR="00777ABF" w:rsidRDefault="00777ABF" w:rsidP="00F57898">
            <w:pPr>
              <w:spacing w:after="0"/>
              <w:rPr>
                <w:rFonts w:ascii="Times New Roman" w:hAnsi="Times New Roman" w:cs="Times New Roman"/>
                <w:sz w:val="16"/>
                <w:szCs w:val="18"/>
              </w:rPr>
            </w:pPr>
            <w:r>
              <w:rPr>
                <w:rFonts w:ascii="Times New Roman" w:hAnsi="Times New Roman" w:cs="Times New Roman"/>
                <w:sz w:val="16"/>
                <w:szCs w:val="18"/>
              </w:rPr>
              <w:t>IZVOR 55 Pomoći iz državnog proračuna knjižnica</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8.950,00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13.970,00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13.970,00</w:t>
            </w:r>
          </w:p>
        </w:tc>
        <w:tc>
          <w:tcPr>
            <w:tcW w:w="1300" w:type="dxa"/>
            <w:shd w:val="clear" w:color="auto" w:fill="CBFFCB"/>
          </w:tcPr>
          <w:p w:rsidR="00777ABF" w:rsidRDefault="00777ABF" w:rsidP="00F57898">
            <w:pPr>
              <w:spacing w:after="0"/>
              <w:jc w:val="right"/>
              <w:rPr>
                <w:rFonts w:ascii="Times New Roman" w:hAnsi="Times New Roman" w:cs="Times New Roman"/>
                <w:sz w:val="16"/>
                <w:szCs w:val="18"/>
              </w:rPr>
            </w:pPr>
            <w:r>
              <w:rPr>
                <w:rFonts w:ascii="Times New Roman" w:hAnsi="Times New Roman" w:cs="Times New Roman"/>
                <w:sz w:val="16"/>
                <w:szCs w:val="18"/>
              </w:rPr>
              <w:t>13.970,00</w:t>
            </w:r>
          </w:p>
        </w:tc>
      </w:tr>
      <w:tr w:rsidR="00777ABF" w:rsidTr="00F57898">
        <w:tc>
          <w:tcPr>
            <w:tcW w:w="3531" w:type="dxa"/>
            <w:shd w:val="clear" w:color="auto" w:fill="F2F2F2"/>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 Rashodi za nabavu nefinancijske imovine</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shd w:val="clear" w:color="auto" w:fill="F2F2F2"/>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r>
      <w:tr w:rsidR="00777ABF" w:rsidTr="00F57898">
        <w:tc>
          <w:tcPr>
            <w:tcW w:w="3531" w:type="dxa"/>
          </w:tcPr>
          <w:p w:rsidR="00777ABF" w:rsidRDefault="00777ABF" w:rsidP="00F57898">
            <w:pPr>
              <w:spacing w:after="0"/>
              <w:rPr>
                <w:rFonts w:ascii="Times New Roman" w:hAnsi="Times New Roman" w:cs="Times New Roman"/>
                <w:sz w:val="18"/>
                <w:szCs w:val="18"/>
              </w:rPr>
            </w:pPr>
            <w:r>
              <w:rPr>
                <w:rFonts w:ascii="Times New Roman" w:hAnsi="Times New Roman" w:cs="Times New Roman"/>
                <w:sz w:val="18"/>
                <w:szCs w:val="18"/>
              </w:rPr>
              <w:t>42 Rashodi za nabavu proizvedene dugotrajne imovine</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8.950,00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c>
          <w:tcPr>
            <w:tcW w:w="1300" w:type="dxa"/>
          </w:tcPr>
          <w:p w:rsidR="00777ABF" w:rsidRDefault="00777ABF" w:rsidP="00F57898">
            <w:pPr>
              <w:spacing w:after="0"/>
              <w:jc w:val="right"/>
              <w:rPr>
                <w:rFonts w:ascii="Times New Roman" w:hAnsi="Times New Roman" w:cs="Times New Roman"/>
                <w:sz w:val="18"/>
                <w:szCs w:val="18"/>
              </w:rPr>
            </w:pPr>
            <w:r>
              <w:rPr>
                <w:rFonts w:ascii="Times New Roman" w:hAnsi="Times New Roman" w:cs="Times New Roman"/>
                <w:sz w:val="18"/>
                <w:szCs w:val="18"/>
              </w:rPr>
              <w:t>13.970,00</w:t>
            </w:r>
          </w:p>
        </w:tc>
      </w:tr>
      <w:tr w:rsidR="00777ABF" w:rsidTr="00F57898">
        <w:tc>
          <w:tcPr>
            <w:tcW w:w="3531" w:type="dxa"/>
            <w:shd w:val="clear" w:color="auto" w:fill="505050"/>
          </w:tcPr>
          <w:p w:rsidR="00777ABF" w:rsidRDefault="00777ABF" w:rsidP="00F57898">
            <w:pPr>
              <w:spacing w:after="0"/>
              <w:rPr>
                <w:rFonts w:ascii="Times New Roman" w:hAnsi="Times New Roman" w:cs="Times New Roman"/>
                <w:b/>
                <w:color w:val="FFFFFF"/>
                <w:sz w:val="16"/>
                <w:szCs w:val="18"/>
              </w:rPr>
            </w:pPr>
            <w:r>
              <w:rPr>
                <w:rFonts w:ascii="Times New Roman" w:hAnsi="Times New Roman" w:cs="Times New Roman"/>
                <w:b/>
                <w:color w:val="FFFFFF"/>
                <w:sz w:val="16"/>
                <w:szCs w:val="18"/>
              </w:rPr>
              <w:t>UKUPNO RASHODI</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1.441.335,04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1.518.180,24</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1.492.953,03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1.461.753,03</w:t>
            </w:r>
          </w:p>
        </w:tc>
        <w:tc>
          <w:tcPr>
            <w:tcW w:w="1300" w:type="dxa"/>
            <w:shd w:val="clear" w:color="auto" w:fill="505050"/>
          </w:tcPr>
          <w:p w:rsidR="00777ABF" w:rsidRDefault="00777ABF" w:rsidP="00F57898">
            <w:pPr>
              <w:spacing w:after="0"/>
              <w:jc w:val="right"/>
              <w:rPr>
                <w:rFonts w:ascii="Times New Roman" w:hAnsi="Times New Roman" w:cs="Times New Roman"/>
                <w:b/>
                <w:color w:val="FFFFFF"/>
                <w:sz w:val="16"/>
                <w:szCs w:val="18"/>
              </w:rPr>
            </w:pPr>
            <w:r>
              <w:rPr>
                <w:rFonts w:ascii="Times New Roman" w:hAnsi="Times New Roman" w:cs="Times New Roman"/>
                <w:b/>
                <w:color w:val="FFFFFF"/>
                <w:sz w:val="16"/>
                <w:szCs w:val="18"/>
              </w:rPr>
              <w:t>1.461.753,03</w:t>
            </w:r>
          </w:p>
        </w:tc>
      </w:tr>
    </w:tbl>
    <w:p w:rsidR="00777ABF" w:rsidRDefault="00777ABF" w:rsidP="00777ABF">
      <w:pPr>
        <w:spacing w:after="0"/>
        <w:rPr>
          <w:rFonts w:ascii="Times New Roman" w:hAnsi="Times New Roman" w:cs="Times New Roman"/>
          <w:sz w:val="18"/>
          <w:szCs w:val="18"/>
        </w:rPr>
      </w:pPr>
    </w:p>
    <w:p w:rsidR="00777ABF" w:rsidRDefault="00777ABF" w:rsidP="00777ABF">
      <w:pPr>
        <w:spacing w:after="0"/>
        <w:rPr>
          <w:rFonts w:ascii="Times New Roman" w:hAnsi="Times New Roman" w:cs="Times New Roman"/>
          <w:b/>
          <w:bCs/>
        </w:rPr>
      </w:pPr>
    </w:p>
    <w:p w:rsidR="00777ABF" w:rsidRDefault="00777ABF" w:rsidP="00777ABF">
      <w:pPr>
        <w:spacing w:after="0"/>
        <w:jc w:val="center"/>
        <w:rPr>
          <w:rFonts w:ascii="Times New Roman" w:hAnsi="Times New Roman" w:cs="Times New Roman"/>
          <w:b/>
          <w:bCs/>
        </w:rPr>
      </w:pPr>
      <w:r>
        <w:rPr>
          <w:rFonts w:ascii="Times New Roman" w:hAnsi="Times New Roman" w:cs="Times New Roman"/>
          <w:b/>
          <w:bCs/>
        </w:rPr>
        <w:t>Članak 4.</w:t>
      </w:r>
    </w:p>
    <w:p w:rsidR="00777ABF" w:rsidRDefault="00777ABF" w:rsidP="00777ABF">
      <w:pPr>
        <w:spacing w:after="0"/>
        <w:ind w:firstLine="426"/>
        <w:rPr>
          <w:rFonts w:ascii="Times New Roman" w:hAnsi="Times New Roman" w:cs="Times New Roman"/>
          <w:b/>
          <w:bCs/>
        </w:rPr>
      </w:pPr>
      <w:r>
        <w:rPr>
          <w:rFonts w:ascii="Times New Roman" w:hAnsi="Times New Roman" w:cs="Times New Roman"/>
          <w:color w:val="000000"/>
        </w:rPr>
        <w:t>Osim Općeg i posebnog dijela, sastavni dio proračuna Općine Gornji Bogićevci za  2025. godinu su:</w:t>
      </w:r>
    </w:p>
    <w:p w:rsidR="00777ABF" w:rsidRDefault="00777ABF" w:rsidP="00777ABF">
      <w:pPr>
        <w:spacing w:after="0"/>
        <w:jc w:val="center"/>
        <w:rPr>
          <w:rFonts w:ascii="Times New Roman" w:hAnsi="Times New Roman" w:cs="Times New Roman"/>
          <w:b/>
          <w:bCs/>
        </w:rPr>
      </w:pPr>
    </w:p>
    <w:p w:rsidR="00777ABF" w:rsidRDefault="00777ABF" w:rsidP="00A66748">
      <w:pPr>
        <w:pStyle w:val="Odlomakpopisa"/>
        <w:numPr>
          <w:ilvl w:val="0"/>
          <w:numId w:val="11"/>
        </w:numPr>
        <w:ind w:left="426" w:hanging="426"/>
        <w:rPr>
          <w:rFonts w:ascii="Times New Roman" w:hAnsi="Times New Roman"/>
          <w:b/>
          <w:bCs/>
          <w:sz w:val="24"/>
          <w:szCs w:val="24"/>
        </w:rPr>
      </w:pPr>
      <w:r>
        <w:rPr>
          <w:rFonts w:ascii="Times New Roman" w:hAnsi="Times New Roman"/>
          <w:b/>
          <w:bCs/>
          <w:sz w:val="24"/>
          <w:szCs w:val="24"/>
        </w:rPr>
        <w:t>OBRAZLOŽENJE</w:t>
      </w:r>
    </w:p>
    <w:p w:rsidR="00777ABF" w:rsidRDefault="00777ABF" w:rsidP="00777ABF">
      <w:pPr>
        <w:widowControl w:val="0"/>
        <w:spacing w:before="12"/>
        <w:ind w:right="1" w:firstLine="360"/>
        <w:jc w:val="both"/>
        <w:rPr>
          <w:rFonts w:ascii="Times New Roman" w:hAnsi="Times New Roman" w:cs="Times New Roman"/>
          <w:color w:val="000000"/>
        </w:rPr>
      </w:pPr>
      <w:r>
        <w:rPr>
          <w:rFonts w:ascii="Times New Roman" w:hAnsi="Times New Roman" w:cs="Times New Roman"/>
          <w:color w:val="000000"/>
        </w:rPr>
        <w:t xml:space="preserve">Obrazloženje proračuna Općine Gornji Bogićevci sadrži obrazloženje općeg dijela proračuna, obrazloženje prenesenog manjka odnosno viška proračuna i obrazloženja posebnog dijela proračuna: </w:t>
      </w:r>
    </w:p>
    <w:p w:rsidR="00777ABF" w:rsidRDefault="00777ABF" w:rsidP="00A66748">
      <w:pPr>
        <w:pStyle w:val="Odlomakpopisa"/>
        <w:numPr>
          <w:ilvl w:val="1"/>
          <w:numId w:val="12"/>
        </w:numPr>
        <w:spacing w:after="0"/>
        <w:rPr>
          <w:rFonts w:ascii="Times New Roman" w:hAnsi="Times New Roman"/>
          <w:b/>
          <w:bCs/>
        </w:rPr>
      </w:pPr>
      <w:r>
        <w:rPr>
          <w:rFonts w:ascii="Times New Roman" w:hAnsi="Times New Roman"/>
          <w:b/>
          <w:bCs/>
        </w:rPr>
        <w:t xml:space="preserve"> OBRAZLOŽENJE OPĆEG DIJELA </w:t>
      </w:r>
    </w:p>
    <w:p w:rsidR="00777ABF" w:rsidRDefault="00777ABF" w:rsidP="00777ABF">
      <w:pPr>
        <w:jc w:val="both"/>
        <w:rPr>
          <w:rFonts w:ascii="Times New Roman" w:hAnsi="Times New Roman" w:cs="Times New Roman"/>
          <w:bCs/>
        </w:rPr>
      </w:pPr>
      <w:r>
        <w:rPr>
          <w:rFonts w:ascii="Times New Roman" w:hAnsi="Times New Roman" w:cs="Times New Roman"/>
          <w:bCs/>
        </w:rPr>
        <w:t xml:space="preserve">PRIHODI I PRIMICI </w:t>
      </w:r>
    </w:p>
    <w:p w:rsidR="00777ABF" w:rsidRDefault="00777ABF" w:rsidP="00777ABF">
      <w:pPr>
        <w:ind w:firstLine="360"/>
        <w:jc w:val="both"/>
        <w:rPr>
          <w:rFonts w:ascii="Times New Roman" w:hAnsi="Times New Roman"/>
        </w:rPr>
      </w:pPr>
      <w:r>
        <w:rPr>
          <w:rFonts w:ascii="Times New Roman" w:hAnsi="Times New Roman"/>
        </w:rPr>
        <w:lastRenderedPageBreak/>
        <w:t>Proračun Općine Gornji Bogićevci za 2025.g. planiran je u ukupnom iznosu od 1.492.953,03 EUR. Od toga su planirani prihodi poslovanja 1.427.953,03 EUR, a prihodi od prodaje nefinancijske imovine 50.000,00 EUR, te preneseni manjak prihoda iz 2025. u iznosu od 201.362,71 EUR i primitak od zaduživanja u iznosu od 15.000,00 EUR.</w:t>
      </w:r>
    </w:p>
    <w:p w:rsidR="00777ABF" w:rsidRDefault="00777ABF" w:rsidP="00777ABF">
      <w:pPr>
        <w:ind w:firstLine="360"/>
        <w:jc w:val="both"/>
        <w:rPr>
          <w:rFonts w:ascii="Times New Roman" w:hAnsi="Times New Roman"/>
        </w:rPr>
      </w:pPr>
      <w:r>
        <w:rPr>
          <w:rFonts w:ascii="Times New Roman" w:hAnsi="Times New Roman"/>
          <w:b/>
          <w:bCs/>
          <w:u w:val="single"/>
        </w:rPr>
        <w:t>Prihodi od poreza - skupina 61</w:t>
      </w:r>
      <w:r>
        <w:rPr>
          <w:rFonts w:ascii="Times New Roman" w:hAnsi="Times New Roman"/>
        </w:rPr>
        <w:t xml:space="preserve"> procijenjeni su na temelju ostvarenja proračuna u 2024. godini i 2025. godini. Ovi se prihodi sastoje od poreza na dohodak,  poreza na imovinu i poreza na robu i usluge, od kojih je najznačajniji porez na dohodak.</w:t>
      </w:r>
    </w:p>
    <w:p w:rsidR="00777ABF" w:rsidRDefault="00777ABF" w:rsidP="00777ABF">
      <w:pPr>
        <w:ind w:firstLine="360"/>
        <w:jc w:val="both"/>
        <w:rPr>
          <w:rFonts w:ascii="Times New Roman" w:hAnsi="Times New Roman"/>
        </w:rPr>
      </w:pPr>
      <w:r>
        <w:rPr>
          <w:rFonts w:ascii="Times New Roman" w:hAnsi="Times New Roman"/>
          <w:b/>
          <w:bCs/>
          <w:u w:val="single"/>
        </w:rPr>
        <w:t>Prihodi od pomoći – skupine 63</w:t>
      </w:r>
      <w:r>
        <w:rPr>
          <w:rFonts w:ascii="Times New Roman" w:hAnsi="Times New Roman"/>
        </w:rPr>
        <w:t xml:space="preserve">  odnose se na planirane tekuće i kapitalne pomoći državnog proračuna,  tekućih pomoći ( HZZ) i sredstva fiskalnog izravnanja.</w:t>
      </w:r>
    </w:p>
    <w:p w:rsidR="00777ABF" w:rsidRDefault="00777ABF" w:rsidP="00777ABF">
      <w:pPr>
        <w:ind w:firstLine="360"/>
        <w:jc w:val="both"/>
        <w:rPr>
          <w:rFonts w:ascii="Times New Roman" w:hAnsi="Times New Roman"/>
        </w:rPr>
      </w:pPr>
      <w:r>
        <w:rPr>
          <w:rFonts w:ascii="Times New Roman" w:hAnsi="Times New Roman"/>
          <w:b/>
          <w:bCs/>
          <w:u w:val="single"/>
        </w:rPr>
        <w:t>Prihodi od imovine – skupina 64</w:t>
      </w:r>
      <w:r>
        <w:rPr>
          <w:rFonts w:ascii="Times New Roman" w:hAnsi="Times New Roman"/>
        </w:rPr>
        <w:t xml:space="preserve">  odnosi se na naknade zakup poljoprivrednog zemljišta u vlasništvu RH i općine, naknade za zadržavanje nezakonito izgrađenih zgrada, naknade od koncesija, naknade od najma poslovnih prostora  i sl.</w:t>
      </w:r>
    </w:p>
    <w:p w:rsidR="00777ABF" w:rsidRDefault="00777ABF" w:rsidP="00777ABF">
      <w:pPr>
        <w:ind w:firstLine="360"/>
        <w:jc w:val="both"/>
        <w:rPr>
          <w:rFonts w:ascii="Times New Roman" w:hAnsi="Times New Roman"/>
        </w:rPr>
      </w:pPr>
      <w:r>
        <w:rPr>
          <w:rFonts w:ascii="Times New Roman" w:hAnsi="Times New Roman"/>
          <w:b/>
          <w:bCs/>
          <w:u w:val="single"/>
        </w:rPr>
        <w:t>Prihodi od administrativnih pristojbi i po posebnim propisima - skupina 65</w:t>
      </w:r>
      <w:r>
        <w:rPr>
          <w:rFonts w:ascii="Times New Roman" w:hAnsi="Times New Roman"/>
        </w:rPr>
        <w:t xml:space="preserve"> sastoje se od prihoda od prodaje državnih biljega, naknade uređenje voda, komunalnog doprinosa, komunalne i grobne naknade.</w:t>
      </w:r>
    </w:p>
    <w:p w:rsidR="00777ABF" w:rsidRDefault="00777ABF" w:rsidP="00777ABF">
      <w:pPr>
        <w:ind w:firstLine="360"/>
        <w:jc w:val="both"/>
        <w:rPr>
          <w:rFonts w:ascii="Times New Roman" w:hAnsi="Times New Roman"/>
        </w:rPr>
      </w:pPr>
      <w:r>
        <w:rPr>
          <w:rFonts w:ascii="Times New Roman" w:hAnsi="Times New Roman"/>
          <w:b/>
          <w:bCs/>
          <w:u w:val="single"/>
        </w:rPr>
        <w:t>Prihodi od prodaje proizvoda i robe te pruženih usluga - skupina 66</w:t>
      </w:r>
      <w:r>
        <w:rPr>
          <w:rFonts w:ascii="Times New Roman" w:hAnsi="Times New Roman"/>
        </w:rPr>
        <w:t xml:space="preserve"> sastoje se od prihoda od naplate naknade za uređenje voda.</w:t>
      </w:r>
    </w:p>
    <w:p w:rsidR="00777ABF" w:rsidRDefault="00777ABF" w:rsidP="00777ABF">
      <w:pPr>
        <w:ind w:firstLine="360"/>
        <w:jc w:val="both"/>
        <w:rPr>
          <w:rFonts w:ascii="Times New Roman" w:hAnsi="Times New Roman"/>
        </w:rPr>
      </w:pPr>
      <w:r>
        <w:rPr>
          <w:rFonts w:ascii="Times New Roman" w:hAnsi="Times New Roman"/>
          <w:b/>
          <w:bCs/>
          <w:u w:val="single"/>
        </w:rPr>
        <w:t>Prihodi od prodaje nefinancijske imovine - skupina</w:t>
      </w:r>
      <w:r>
        <w:rPr>
          <w:rFonts w:ascii="Times New Roman" w:hAnsi="Times New Roman"/>
          <w:u w:val="single"/>
        </w:rPr>
        <w:t xml:space="preserve"> </w:t>
      </w:r>
      <w:r>
        <w:rPr>
          <w:rFonts w:ascii="Times New Roman" w:hAnsi="Times New Roman"/>
          <w:b/>
          <w:bCs/>
          <w:u w:val="single"/>
        </w:rPr>
        <w:t>71</w:t>
      </w:r>
      <w:r>
        <w:rPr>
          <w:rFonts w:ascii="Times New Roman" w:hAnsi="Times New Roman"/>
        </w:rPr>
        <w:t xml:space="preserve"> odnose se na prihode od prodaje poljoprivrednog zemljišta u vlasništvu države i prodaja imovine u vlasništvu općine.</w:t>
      </w:r>
    </w:p>
    <w:p w:rsidR="00777ABF" w:rsidRDefault="00777ABF" w:rsidP="00777ABF">
      <w:pPr>
        <w:ind w:firstLine="360"/>
        <w:jc w:val="both"/>
        <w:rPr>
          <w:rFonts w:ascii="Times New Roman" w:hAnsi="Times New Roman" w:cs="Times New Roman"/>
        </w:rPr>
      </w:pPr>
      <w:r>
        <w:rPr>
          <w:rFonts w:ascii="Times New Roman" w:hAnsi="Times New Roman"/>
          <w:b/>
          <w:bCs/>
          <w:u w:val="single"/>
        </w:rPr>
        <w:t xml:space="preserve">Primici od zaduživanja – skupina 84 </w:t>
      </w:r>
      <w:r>
        <w:rPr>
          <w:rFonts w:ascii="Times New Roman" w:hAnsi="Times New Roman"/>
        </w:rPr>
        <w:t xml:space="preserve">odnosi se na primitak od kratkoročnog kredita </w:t>
      </w:r>
      <w:r>
        <w:rPr>
          <w:rFonts w:ascii="Times New Roman" w:hAnsi="Times New Roman" w:cs="Times New Roman"/>
        </w:rPr>
        <w:t>koji bi se koristio u slučaju potrebe za premošćivanje financijskog jaza.</w:t>
      </w:r>
    </w:p>
    <w:p w:rsidR="00777ABF" w:rsidRDefault="00777ABF" w:rsidP="00777ABF">
      <w:pPr>
        <w:ind w:firstLine="360"/>
        <w:jc w:val="both"/>
        <w:rPr>
          <w:rFonts w:ascii="Times New Roman" w:hAnsi="Times New Roman" w:cs="Times New Roman"/>
        </w:rPr>
      </w:pPr>
    </w:p>
    <w:p w:rsidR="00777ABF" w:rsidRDefault="00777ABF" w:rsidP="00777ABF">
      <w:pPr>
        <w:pStyle w:val="Odlomakpopisa"/>
        <w:spacing w:after="0"/>
        <w:ind w:left="0" w:firstLine="360"/>
        <w:rPr>
          <w:rFonts w:ascii="Times New Roman" w:hAnsi="Times New Roman"/>
        </w:rPr>
      </w:pPr>
      <w:r>
        <w:rPr>
          <w:rFonts w:ascii="Times New Roman" w:hAnsi="Times New Roman"/>
        </w:rPr>
        <w:t>Pregled planiranih prihoda i primitaka daje se u slijedećoj tablici: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RAČUN I OPIS RAČUNA</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OSTVARENJE 2024. GODINA</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PLAN PRORAČUNA ZA 2025.</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PLAN PRORAČUNA ZA 2026.</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PROJEKCIJA PRORAČUNA ZA 2027.</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1</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2</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3</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4</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5</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6</w:t>
            </w:r>
          </w:p>
        </w:tc>
      </w:tr>
      <w:tr w:rsidR="00777ABF" w:rsidTr="00F57898">
        <w:tc>
          <w:tcPr>
            <w:tcW w:w="3531" w:type="dxa"/>
            <w:shd w:val="clear" w:color="auto" w:fill="BDD7EE"/>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6 Prihodi poslovanja</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1.029.806,88</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1.391.680,24</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1.427.953,03</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1.496.753,03</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1.478.115,74</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61 Prihodi od poreza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272.534,80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420.113,76</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506.856,26</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490.975,53</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490.975,53</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272.534,80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420.113,76</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506.856,26</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490.975,53</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490.975,53</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63 Pomoći iz inozemstva i od subjekata unutar općeg proračuna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593.220,12</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799.401,48</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729.786,77</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814.467,50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795.830,21</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63.703,84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697.229,27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513.924,51</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761.578,02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775.000,00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756.362,71</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9.480,17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11.497,50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11.497,50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11.497,50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53 Pomoći iz EU fondova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6.111,60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13.873,46</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7.090,00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55 Pomoći iz državnog proračuna knjižnica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8.950,00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13.970,00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13.970,00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13.970,00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64 Prihodi od imovine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59.236,32</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58.100,00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59.560,00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59.560,00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59.560,00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37.794,21</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21.411,65</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2.400,00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30,46</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58.100,00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51.160,00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53.550,00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53.550,00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65 Prihodi od upravnih i administrativnih pristojbi, pristojbi po posebnim propisima i naknada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93.004,54</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102.750,00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108.750,00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108.750,00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108.750,00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6.061,41</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35.073,53</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40 Prihodi od komunalne naknade i komunalnog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17.250,00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2.050,00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42 Prihod od komunalnog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4.016,40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37.996,17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59.000,00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9.000,00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64.000,00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9.507,80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11.690,00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20.700,00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20.700,00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349,23</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15.010,00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lastRenderedPageBreak/>
              <w:t>66 Prihodi od prodaje proizvoda i robe te pruženih usluga, prihodi od donacija te povrati po protestiranim jamstvima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10.568,97</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11.315,00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10.568,97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11.315,00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68 Kazne, upravne mjere i ostali prihodi</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1.242,13</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1.242,13</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BDD7EE"/>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7 Prihodi od prodaje nefinancijske imovine</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55.613,66</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40.000,00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50.000,00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50.000,00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50.000,00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71 Prihodi od prodaje neproizvedene dugotrajne imovine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31.474,12</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25.000,00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30.000,00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30.000,00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30.000,00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31.474,12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72 Prihodi od prodaje proizvedene dugotrajne imovine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24.139,54</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72 Prihodi od prodaje građevinskih objekata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24.139,54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BDD7EE"/>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8 Primici od financijske imovine i zaduživanja</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81 Primljeni povrati glavnica danih zajmova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81 Namjenski primici od zaduživanja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r>
      <w:tr w:rsidR="00777ABF" w:rsidTr="00F57898">
        <w:tc>
          <w:tcPr>
            <w:tcW w:w="3531" w:type="dxa"/>
            <w:shd w:val="clear" w:color="auto" w:fill="505050"/>
          </w:tcPr>
          <w:p w:rsidR="00777ABF" w:rsidRDefault="00777ABF" w:rsidP="00F57898">
            <w:pPr>
              <w:pStyle w:val="Odlomakpopisa"/>
              <w:spacing w:after="0"/>
              <w:ind w:left="0"/>
              <w:rPr>
                <w:rFonts w:ascii="Times New Roman" w:hAnsi="Times New Roman"/>
                <w:b/>
                <w:color w:val="FFFFFF"/>
                <w:sz w:val="16"/>
                <w:szCs w:val="18"/>
              </w:rPr>
            </w:pPr>
            <w:r>
              <w:rPr>
                <w:rFonts w:ascii="Times New Roman" w:hAnsi="Times New Roman"/>
                <w:b/>
                <w:color w:val="FFFFFF"/>
                <w:sz w:val="16"/>
                <w:szCs w:val="18"/>
              </w:rPr>
              <w:t>UKUPNO PRIHODI I PRIMICI</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1.085.420,54</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1.518.180,24</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1.492.953,03</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1.561.753,03</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1.543.115,74</w:t>
            </w:r>
          </w:p>
        </w:tc>
      </w:tr>
    </w:tbl>
    <w:p w:rsidR="00777ABF" w:rsidRDefault="00777ABF" w:rsidP="00777ABF">
      <w:pPr>
        <w:pStyle w:val="Odlomakpopisa"/>
        <w:spacing w:after="0"/>
        <w:ind w:left="0"/>
        <w:rPr>
          <w:rFonts w:ascii="Times New Roman" w:hAnsi="Times New Roman"/>
          <w:sz w:val="18"/>
          <w:szCs w:val="18"/>
        </w:rPr>
      </w:pPr>
    </w:p>
    <w:p w:rsidR="00777ABF" w:rsidRDefault="00777ABF" w:rsidP="00777ABF">
      <w:pPr>
        <w:pStyle w:val="Bezproreda"/>
        <w:ind w:firstLine="708"/>
        <w:jc w:val="both"/>
        <w:rPr>
          <w:rFonts w:ascii="Times New Roman" w:hAnsi="Times New Roman" w:cs="Times New Roman"/>
        </w:rPr>
      </w:pPr>
    </w:p>
    <w:p w:rsidR="00777ABF" w:rsidRDefault="00777ABF" w:rsidP="00777ABF">
      <w:pPr>
        <w:pStyle w:val="Bezproreda"/>
        <w:ind w:firstLine="708"/>
        <w:jc w:val="both"/>
        <w:rPr>
          <w:rFonts w:ascii="Times New Roman" w:hAnsi="Times New Roman" w:cs="Times New Roman"/>
        </w:rPr>
      </w:pPr>
    </w:p>
    <w:p w:rsidR="00777ABF" w:rsidRDefault="00777ABF" w:rsidP="00777ABF">
      <w:pPr>
        <w:spacing w:after="0"/>
        <w:jc w:val="both"/>
        <w:rPr>
          <w:rFonts w:ascii="Times New Roman" w:hAnsi="Times New Roman" w:cs="Times New Roman"/>
          <w:bCs/>
        </w:rPr>
      </w:pPr>
      <w:r>
        <w:rPr>
          <w:rFonts w:ascii="Times New Roman" w:hAnsi="Times New Roman" w:cs="Times New Roman"/>
          <w:bCs/>
        </w:rPr>
        <w:t>RASHODI I IZDACI</w:t>
      </w:r>
    </w:p>
    <w:p w:rsidR="00777ABF" w:rsidRDefault="00777ABF" w:rsidP="00777ABF">
      <w:pPr>
        <w:pStyle w:val="Bezproreda"/>
        <w:ind w:firstLine="708"/>
        <w:jc w:val="both"/>
        <w:rPr>
          <w:rFonts w:ascii="Times New Roman" w:hAnsi="Times New Roman" w:cs="Times New Roman"/>
        </w:rPr>
      </w:pPr>
      <w:r>
        <w:rPr>
          <w:rFonts w:ascii="Times New Roman" w:hAnsi="Times New Roman" w:cs="Times New Roman"/>
        </w:rPr>
        <w:t>Rashodi i izdaci u proračunu su planirani u ukupnom iznosu 1.492.953,03 EUR, od čega se na rashode poslovanja odnosi 873.465,00 EUR, 604.488,03 EUR na rashode za nabavu nefinancijske imovine (investicije i ulaganja), a izdaci za financijsku imovinu i otplatu zajmova u iznosu od 15.000,00 EUR</w:t>
      </w:r>
    </w:p>
    <w:p w:rsidR="00777ABF" w:rsidRDefault="00777ABF" w:rsidP="00777ABF">
      <w:pPr>
        <w:pStyle w:val="Bezproreda"/>
        <w:ind w:firstLine="708"/>
        <w:jc w:val="both"/>
        <w:rPr>
          <w:rFonts w:ascii="Times New Roman" w:hAnsi="Times New Roman" w:cs="Times New Roman"/>
        </w:rPr>
      </w:pP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Rashodi za zaposlene – skupina 31</w:t>
      </w:r>
      <w:r>
        <w:rPr>
          <w:rFonts w:ascii="Times New Roman" w:hAnsi="Times New Roman" w:cs="Times New Roman"/>
        </w:rPr>
        <w:t xml:space="preserve"> obuhvaćaju rashode za zaposlene u općinskoj upravi, te plaće za zaposlene iz programa javnih radova (HZZ).</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Skupina rashoda 32 - materijalni rashodi</w:t>
      </w:r>
      <w:r>
        <w:rPr>
          <w:rFonts w:ascii="Times New Roman" w:hAnsi="Times New Roman" w:cs="Times New Roman"/>
        </w:rPr>
        <w:t xml:space="preserve"> obuhvaća rashode za  materijal i usluge, a odnose na materijal i usluge za funkcioniranje djelatnosti predstavničkog i izvršnog tijela, jedinstvenog upravnog odjela, komunalnih djelatnosti, održavanje postojeće infrastrukture, javnu rasvjetu i sl.</w:t>
      </w:r>
    </w:p>
    <w:p w:rsidR="00777ABF" w:rsidRDefault="00777ABF" w:rsidP="00777ABF">
      <w:pPr>
        <w:ind w:firstLine="708"/>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b/>
          <w:bCs/>
          <w:u w:val="single"/>
        </w:rPr>
        <w:t>Financijski rashodi - skupina 34</w:t>
      </w:r>
      <w:r>
        <w:rPr>
          <w:rFonts w:ascii="Times New Roman" w:hAnsi="Times New Roman" w:cs="Times New Roman"/>
        </w:rPr>
        <w:t xml:space="preserve"> odnose se na troškove platnog prometa, rashoda za kamate i ostalih financijskih rashoda.</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Financijski rashodi - skupina 36</w:t>
      </w:r>
      <w:r>
        <w:rPr>
          <w:rFonts w:ascii="Times New Roman" w:hAnsi="Times New Roman" w:cs="Times New Roman"/>
        </w:rPr>
        <w:t xml:space="preserve"> odnose se na troškove sufinanciranja rada Dječjeg vrtića i sufinanciranja plaće komunalnog redara.</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Naknade građanima i kućanstvima  – skupina 37</w:t>
      </w:r>
      <w:r>
        <w:rPr>
          <w:rFonts w:ascii="Times New Roman" w:hAnsi="Times New Roman" w:cs="Times New Roman"/>
        </w:rPr>
        <w:t xml:space="preserve"> u najvećoj mjeri se odnose na socijalnu skrb, na pomoći socijalno ugroženom stanovništvu, jednokratne pomoći rodiljama, pomoći studentima, sufinanciranje prijevoza učenika srednjih škola, sufinanciranje cijene pohađanja vrtića.</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Ostali rashodi - skupina 38</w:t>
      </w:r>
      <w:r>
        <w:rPr>
          <w:rFonts w:ascii="Times New Roman" w:hAnsi="Times New Roman" w:cs="Times New Roman"/>
        </w:rPr>
        <w:t xml:space="preserve">  čine tekuće donacije udrugama građana,  tekuće donacije sportskim, kulturnim, vatrogasnim i ostalim udrugama, kapitalne donacije građanima i kućanstvima.</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Rashodi za nabavu neproizvedene imovine - skupina</w:t>
      </w:r>
      <w:r>
        <w:rPr>
          <w:rFonts w:ascii="Times New Roman" w:hAnsi="Times New Roman" w:cs="Times New Roman"/>
          <w:u w:val="single"/>
        </w:rPr>
        <w:t xml:space="preserve"> </w:t>
      </w:r>
      <w:r>
        <w:rPr>
          <w:rFonts w:ascii="Times New Roman" w:hAnsi="Times New Roman" w:cs="Times New Roman"/>
          <w:b/>
          <w:bCs/>
          <w:u w:val="single"/>
        </w:rPr>
        <w:t>41</w:t>
      </w:r>
      <w:r>
        <w:rPr>
          <w:rFonts w:ascii="Times New Roman" w:hAnsi="Times New Roman" w:cs="Times New Roman"/>
        </w:rPr>
        <w:t xml:space="preserve"> odnose se na  nabavu materijalne imovine (zemljište) i nematerijalne imovine ( licence za softverske programe).</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Rashodi za nabavu proizvedene dugotrajne imovine - skupina 42</w:t>
      </w:r>
      <w:r>
        <w:rPr>
          <w:rFonts w:ascii="Times New Roman" w:hAnsi="Times New Roman" w:cs="Times New Roman"/>
        </w:rPr>
        <w:t xml:space="preserve"> odnose se na  nabavu opreme za održavanje javnih površina, uređenje pješačkih staza, izgradnju i uređenje prometnica, uređenje zgrada u vlasništvu općine, mrtvačnica i slično.</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lastRenderedPageBreak/>
        <w:t>Rashodi za dodatna ulaganja na nefinancijsku imovinu</w:t>
      </w:r>
      <w:r>
        <w:rPr>
          <w:rFonts w:ascii="Times New Roman" w:hAnsi="Times New Roman" w:cs="Times New Roman"/>
          <w:b/>
          <w:bCs/>
        </w:rPr>
        <w:t xml:space="preserve"> - skupina 45 </w:t>
      </w:r>
      <w:r>
        <w:rPr>
          <w:rFonts w:ascii="Times New Roman" w:hAnsi="Times New Roman" w:cs="Times New Roman"/>
        </w:rPr>
        <w:t>- odnose se na dodatna ulaganja u objekte u vlasništvu općine.</w:t>
      </w:r>
    </w:p>
    <w:p w:rsidR="00777ABF" w:rsidRDefault="00777ABF" w:rsidP="00777ABF">
      <w:pPr>
        <w:ind w:firstLine="708"/>
        <w:jc w:val="both"/>
        <w:rPr>
          <w:rFonts w:ascii="Times New Roman" w:hAnsi="Times New Roman" w:cs="Times New Roman"/>
        </w:rPr>
      </w:pPr>
      <w:r>
        <w:rPr>
          <w:rFonts w:ascii="Times New Roman" w:hAnsi="Times New Roman" w:cs="Times New Roman"/>
          <w:b/>
          <w:bCs/>
          <w:u w:val="single"/>
        </w:rPr>
        <w:t>Izdaci za financijsku imovinu i otplate zajmova</w:t>
      </w:r>
      <w:r>
        <w:rPr>
          <w:rFonts w:ascii="Times New Roman" w:hAnsi="Times New Roman" w:cs="Times New Roman"/>
        </w:rPr>
        <w:t xml:space="preserve"> </w:t>
      </w:r>
      <w:r>
        <w:rPr>
          <w:rFonts w:ascii="Times New Roman" w:hAnsi="Times New Roman" w:cs="Times New Roman"/>
          <w:b/>
          <w:bCs/>
        </w:rPr>
        <w:t>– skupina 54</w:t>
      </w:r>
      <w:r>
        <w:rPr>
          <w:rFonts w:ascii="Times New Roman" w:hAnsi="Times New Roman" w:cs="Times New Roman"/>
        </w:rPr>
        <w:t xml:space="preserve"> – odnosi se na otplatu kratkoročnog kredita koji bi se koristio u slučaju potrebe namirenja nedostajućih sredstava jedinicama lokalne i područne (regionalne) samouprave za povrat poreza na dohodak u razdoblju 2020.-2025.).</w:t>
      </w:r>
    </w:p>
    <w:p w:rsidR="00777ABF" w:rsidRDefault="00777ABF" w:rsidP="00777ABF">
      <w:pPr>
        <w:pStyle w:val="Odlomakpopisa"/>
        <w:spacing w:after="0"/>
        <w:ind w:left="0"/>
        <w:rPr>
          <w:rFonts w:ascii="Times New Roman" w:hAnsi="Times New Roman"/>
        </w:rPr>
      </w:pPr>
      <w:r>
        <w:rPr>
          <w:rFonts w:ascii="Times New Roman" w:hAnsi="Times New Roman"/>
        </w:rPr>
        <w:t>Pregled planiranih rashoda i izdataka daje se u slijedećoj tablici:</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531"/>
        <w:gridCol w:w="1300"/>
        <w:gridCol w:w="1300"/>
        <w:gridCol w:w="1300"/>
        <w:gridCol w:w="1300"/>
        <w:gridCol w:w="1300"/>
      </w:tblGrid>
      <w:tr w:rsidR="00777ABF" w:rsidTr="00F57898">
        <w:tc>
          <w:tcPr>
            <w:tcW w:w="3531"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RAČUN I OPIS RAČUNA</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OSTVARENJE 2024. GODINA</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PLAN PRORAČUNA ZA 2025.</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PLAN PRORAČUNA ZA 2026.</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PROJEKCIJA PRORAČUNA ZA 2027.</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PROJEKCIJA PRORAČUNA ZA 2028.</w:t>
            </w:r>
          </w:p>
        </w:tc>
      </w:tr>
      <w:tr w:rsidR="00777ABF" w:rsidTr="00F57898">
        <w:tc>
          <w:tcPr>
            <w:tcW w:w="3531"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1</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2</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3</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4</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5</w:t>
            </w:r>
          </w:p>
        </w:tc>
        <w:tc>
          <w:tcPr>
            <w:tcW w:w="1300" w:type="dxa"/>
            <w:shd w:val="clear" w:color="auto" w:fill="505050"/>
          </w:tcPr>
          <w:p w:rsidR="00777ABF" w:rsidRDefault="00777ABF" w:rsidP="00F57898">
            <w:pPr>
              <w:pStyle w:val="Odlomakpopisa"/>
              <w:spacing w:after="0"/>
              <w:ind w:left="0"/>
              <w:jc w:val="center"/>
              <w:rPr>
                <w:rFonts w:ascii="Times New Roman" w:hAnsi="Times New Roman"/>
                <w:b/>
                <w:color w:val="FFFFFF"/>
                <w:sz w:val="16"/>
                <w:szCs w:val="18"/>
              </w:rPr>
            </w:pPr>
            <w:r>
              <w:rPr>
                <w:rFonts w:ascii="Times New Roman" w:hAnsi="Times New Roman"/>
                <w:b/>
                <w:color w:val="FFFFFF"/>
                <w:sz w:val="16"/>
                <w:szCs w:val="18"/>
              </w:rPr>
              <w:t>6</w:t>
            </w:r>
          </w:p>
        </w:tc>
      </w:tr>
      <w:tr w:rsidR="00777ABF" w:rsidTr="00F57898">
        <w:tc>
          <w:tcPr>
            <w:tcW w:w="3531" w:type="dxa"/>
            <w:shd w:val="clear" w:color="auto" w:fill="BDD7EE"/>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 Rashodi poslovanja</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740.907,22</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934.458,46</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873.465,00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852.265,00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852.265,00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31 Rashodi za zaposlene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203.565,42</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279.813,46</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225.320,00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218.040,00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218.040,00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194.301,85</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209.300,00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179.380,00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162.100,00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162.100,00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8.431,97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37.865,00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32.400,00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32.400,00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32.400,00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810,00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19.135,00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831,60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13.513,46</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12.730,00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13.540,00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13.540,00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32 Materijalni rashodi</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274.150,27</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236.850,00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225.270,00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225.550,00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225.550,00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119.883,44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194.990,00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173.912,50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174.192,50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174.192,50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73.955,33</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56.544,46</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23.000,00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42 Prihod od komunalnog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4.016,39</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6.500,00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13.259,92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4.654,18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1.836,55</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4.200,00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4.200,00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4.200,00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1.997,50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5.497,50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5.497,50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360,00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360,00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360,00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360,00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34 Financijski rashodi</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2.016,19</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3.320,00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3.320,00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3.320,00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214,92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3.320,00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3.320,00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3.320,00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1.801,27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35 Subvencije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4.660,00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6.650,00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6.650,00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6.650,00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6.450,00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4.660,00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6.650,00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6.650,00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36 Pomoći dane u inozemstvo i unutar općeg proračuna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31.214,18</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62.200,00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47.000,00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47.000,00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62.200,00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5.097,84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31.500,00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47.000,00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26.116,34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37 Naknade građanima i kućanstvima na temelju osiguranja i druge naknade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33.960,62</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43.000,00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37.000,00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37.000,00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37.000,00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6.600,00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5.736,04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21.624,58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43.000,00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37.000,00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38 Rashodi za donacije, kazne, naknade šteta i kapitalne pomoći</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191.340,54</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333.195,00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313.705,00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314.705,00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314.705,00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1.601,98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11.621,98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9.621,98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9.621,98</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159.340,54</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32.000,00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297.483,02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331.593,02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300.483,02</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300.483,02</w:t>
            </w:r>
          </w:p>
        </w:tc>
      </w:tr>
      <w:tr w:rsidR="00777ABF" w:rsidTr="00F57898">
        <w:tc>
          <w:tcPr>
            <w:tcW w:w="3531" w:type="dxa"/>
            <w:shd w:val="clear" w:color="auto" w:fill="BDD7EE"/>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4 Rashodi za nabavu nefinancijske imovine</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685.511,34</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497.221,78</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604.488,03</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594.488,03</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594.488,03</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41 Rashodi za nabavu neproizvedene dugotrajne imovine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20.312,50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56.650,00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93.500,00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79.000,00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99.000,00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8.312,50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lastRenderedPageBreak/>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16.650,00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69.000,00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79.000,00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71 Prihodi od prodaje nefinanc.imovine i naknade šteta s naslova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42 Rashodi za nabavu proizvedene dugotrajne imovine</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664.573,84</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259.571,78</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435.591,78</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515.488,03</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495.488,03</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11 Opći prihodi i primici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1.990,11</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11.121,78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141.421,78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15.921,78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15.921,78</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31 Vlastiti prihodi</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14.218,88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40 Prihodi od komunalne naknade i komunalnog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64.000,00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41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25.800,00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15.310,00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142.896,25</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42 Prihod od komunalnog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43 Ostali prihodi za posebne namjene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59.000,00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65.000,00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44 Prihod od grobne naknade</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4.654,18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1.690,00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17.000,00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45 Prihodi od šumskog doprinosa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158.700,00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643.710,67</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128.700,00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403.596,25</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240.700,00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52 Pomoći iz županijskog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39.500,00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55 Pomoći iz državnog proračuna knjižnica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8.950,00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13.970,00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13.970,00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13.970,00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45 Rashodi za dodatna ulaganja na nefinancijskoj imovini</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625,00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181.000,00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75.396,25</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50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75.396,25</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51 Pomoći iz državnog proračuna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625,00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181.000,00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BDD7EE"/>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5 Izdaci za financijsku imovinu i otplate zajmova</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14.916,48</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shd w:val="clear" w:color="auto" w:fill="BDD7EE"/>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r>
      <w:tr w:rsidR="00777ABF" w:rsidTr="00F57898">
        <w:tc>
          <w:tcPr>
            <w:tcW w:w="3531" w:type="dxa"/>
          </w:tcPr>
          <w:p w:rsidR="00777ABF" w:rsidRDefault="00777ABF" w:rsidP="00F57898">
            <w:pPr>
              <w:pStyle w:val="Odlomakpopisa"/>
              <w:spacing w:after="0"/>
              <w:ind w:left="0"/>
              <w:rPr>
                <w:rFonts w:ascii="Times New Roman" w:hAnsi="Times New Roman"/>
                <w:sz w:val="18"/>
                <w:szCs w:val="18"/>
              </w:rPr>
            </w:pPr>
            <w:r>
              <w:rPr>
                <w:rFonts w:ascii="Times New Roman" w:hAnsi="Times New Roman"/>
                <w:sz w:val="18"/>
                <w:szCs w:val="18"/>
              </w:rPr>
              <w:t>54 Izdaci za otplatu glavnice primljenih kredita i zajmova</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14.916,48</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86.500,00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c>
          <w:tcPr>
            <w:tcW w:w="1300" w:type="dxa"/>
          </w:tcPr>
          <w:p w:rsidR="00777ABF" w:rsidRDefault="00777ABF" w:rsidP="00F57898">
            <w:pPr>
              <w:pStyle w:val="Odlomakpopisa"/>
              <w:spacing w:after="0"/>
              <w:ind w:left="0"/>
              <w:jc w:val="right"/>
              <w:rPr>
                <w:rFonts w:ascii="Times New Roman" w:hAnsi="Times New Roman"/>
                <w:sz w:val="18"/>
                <w:szCs w:val="18"/>
              </w:rPr>
            </w:pPr>
            <w:r>
              <w:rPr>
                <w:rFonts w:ascii="Times New Roman" w:hAnsi="Times New Roman"/>
                <w:sz w:val="18"/>
                <w:szCs w:val="18"/>
              </w:rPr>
              <w:t>15.000,00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54 Pomoći od izvanproračunskih korisnika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14.916,48</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r>
      <w:tr w:rsidR="00777ABF" w:rsidTr="00F57898">
        <w:tc>
          <w:tcPr>
            <w:tcW w:w="3531" w:type="dxa"/>
            <w:shd w:val="clear" w:color="auto" w:fill="E6FFE5"/>
          </w:tcPr>
          <w:p w:rsidR="00777ABF" w:rsidRDefault="00777ABF" w:rsidP="00F57898">
            <w:pPr>
              <w:pStyle w:val="Odlomakpopisa"/>
              <w:spacing w:after="0"/>
              <w:ind w:left="0"/>
              <w:rPr>
                <w:rFonts w:ascii="Times New Roman" w:hAnsi="Times New Roman"/>
                <w:i/>
                <w:sz w:val="14"/>
                <w:szCs w:val="18"/>
              </w:rPr>
            </w:pPr>
            <w:r>
              <w:rPr>
                <w:rFonts w:ascii="Times New Roman" w:hAnsi="Times New Roman"/>
                <w:i/>
                <w:sz w:val="14"/>
                <w:szCs w:val="18"/>
              </w:rPr>
              <w:t xml:space="preserve">         81 Namjenski primici od zaduživanja</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86.500,00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c>
          <w:tcPr>
            <w:tcW w:w="1300" w:type="dxa"/>
            <w:shd w:val="clear" w:color="auto" w:fill="E6FFE5"/>
          </w:tcPr>
          <w:p w:rsidR="00777ABF" w:rsidRDefault="00777ABF" w:rsidP="00F57898">
            <w:pPr>
              <w:pStyle w:val="Odlomakpopisa"/>
              <w:spacing w:after="0"/>
              <w:ind w:left="0"/>
              <w:jc w:val="right"/>
              <w:rPr>
                <w:rFonts w:ascii="Times New Roman" w:hAnsi="Times New Roman"/>
                <w:i/>
                <w:sz w:val="14"/>
                <w:szCs w:val="18"/>
              </w:rPr>
            </w:pPr>
            <w:r>
              <w:rPr>
                <w:rFonts w:ascii="Times New Roman" w:hAnsi="Times New Roman"/>
                <w:i/>
                <w:sz w:val="14"/>
                <w:szCs w:val="18"/>
              </w:rPr>
              <w:t>15.000,00</w:t>
            </w:r>
          </w:p>
        </w:tc>
      </w:tr>
      <w:tr w:rsidR="00777ABF" w:rsidTr="00F57898">
        <w:tc>
          <w:tcPr>
            <w:tcW w:w="3531" w:type="dxa"/>
            <w:shd w:val="clear" w:color="auto" w:fill="505050"/>
          </w:tcPr>
          <w:p w:rsidR="00777ABF" w:rsidRDefault="00777ABF" w:rsidP="00F57898">
            <w:pPr>
              <w:pStyle w:val="Odlomakpopisa"/>
              <w:spacing w:after="0"/>
              <w:ind w:left="0"/>
              <w:rPr>
                <w:rFonts w:ascii="Times New Roman" w:hAnsi="Times New Roman"/>
                <w:b/>
                <w:color w:val="FFFFFF"/>
                <w:sz w:val="16"/>
                <w:szCs w:val="18"/>
              </w:rPr>
            </w:pPr>
            <w:r>
              <w:rPr>
                <w:rFonts w:ascii="Times New Roman" w:hAnsi="Times New Roman"/>
                <w:b/>
                <w:color w:val="FFFFFF"/>
                <w:sz w:val="16"/>
                <w:szCs w:val="18"/>
              </w:rPr>
              <w:t>UKUPNO RASHODI I IZDACI</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1.441.335,04</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1.518.180,24</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1.492.953,03</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1.461.753,03</w:t>
            </w:r>
          </w:p>
        </w:tc>
        <w:tc>
          <w:tcPr>
            <w:tcW w:w="1300" w:type="dxa"/>
            <w:shd w:val="clear" w:color="auto" w:fill="505050"/>
          </w:tcPr>
          <w:p w:rsidR="00777ABF" w:rsidRDefault="00777ABF" w:rsidP="00F57898">
            <w:pPr>
              <w:pStyle w:val="Odlomakpopisa"/>
              <w:spacing w:after="0"/>
              <w:ind w:left="0"/>
              <w:jc w:val="right"/>
              <w:rPr>
                <w:rFonts w:ascii="Times New Roman" w:hAnsi="Times New Roman"/>
                <w:b/>
                <w:color w:val="FFFFFF"/>
                <w:sz w:val="16"/>
                <w:szCs w:val="18"/>
              </w:rPr>
            </w:pPr>
            <w:r>
              <w:rPr>
                <w:rFonts w:ascii="Times New Roman" w:hAnsi="Times New Roman"/>
                <w:b/>
                <w:color w:val="FFFFFF"/>
                <w:sz w:val="16"/>
                <w:szCs w:val="18"/>
              </w:rPr>
              <w:t>1.461.753,03</w:t>
            </w:r>
          </w:p>
        </w:tc>
      </w:tr>
    </w:tbl>
    <w:p w:rsidR="00777ABF" w:rsidRDefault="00777ABF" w:rsidP="00777ABF">
      <w:pPr>
        <w:pStyle w:val="Odlomakpopisa"/>
        <w:spacing w:after="0"/>
        <w:ind w:left="0"/>
        <w:rPr>
          <w:rFonts w:ascii="Times New Roman" w:hAnsi="Times New Roman"/>
          <w:sz w:val="18"/>
          <w:szCs w:val="18"/>
        </w:rPr>
      </w:pPr>
    </w:p>
    <w:p w:rsidR="00777ABF" w:rsidRDefault="00777ABF" w:rsidP="00777ABF">
      <w:pPr>
        <w:pStyle w:val="Odlomakpopisa"/>
        <w:spacing w:after="0"/>
        <w:ind w:firstLine="414"/>
        <w:rPr>
          <w:rFonts w:ascii="Times New Roman" w:hAnsi="Times New Roman"/>
        </w:rPr>
      </w:pPr>
    </w:p>
    <w:p w:rsidR="00777ABF" w:rsidRDefault="00777ABF" w:rsidP="00777ABF">
      <w:pPr>
        <w:spacing w:after="0"/>
        <w:rPr>
          <w:rFonts w:ascii="Times New Roman" w:hAnsi="Times New Roman" w:cs="Times New Roman"/>
          <w:b/>
          <w:bCs/>
        </w:rPr>
      </w:pPr>
      <w:r>
        <w:rPr>
          <w:rFonts w:ascii="Times New Roman" w:hAnsi="Times New Roman" w:cs="Times New Roman"/>
          <w:b/>
          <w:bCs/>
        </w:rPr>
        <w:t>3.2. OBRAZLOŽENJE PRENESENOG MANJKA ODNOSNO VIŠKA PRORAČUNA</w:t>
      </w:r>
    </w:p>
    <w:p w:rsidR="00777ABF" w:rsidRDefault="00777ABF" w:rsidP="00777ABF">
      <w:pPr>
        <w:ind w:firstLine="708"/>
        <w:jc w:val="both"/>
        <w:rPr>
          <w:rFonts w:ascii="Times New Roman" w:hAnsi="Times New Roman" w:cs="Times New Roman"/>
        </w:rPr>
      </w:pPr>
      <w:r>
        <w:rPr>
          <w:rFonts w:ascii="Times New Roman" w:hAnsi="Times New Roman" w:cs="Times New Roman"/>
        </w:rPr>
        <w:t>Planirani preneseni manjak se odnosi na manjak od općih prihoda i primitaka u iznosu od 201.362,71 EUR.</w:t>
      </w:r>
    </w:p>
    <w:p w:rsidR="00777ABF" w:rsidRDefault="00777ABF" w:rsidP="00777ABF">
      <w:pPr>
        <w:ind w:firstLine="708"/>
        <w:jc w:val="both"/>
        <w:rPr>
          <w:rFonts w:ascii="Times New Roman" w:hAnsi="Times New Roman" w:cs="Times New Roman"/>
        </w:rPr>
      </w:pPr>
      <w:r>
        <w:rPr>
          <w:rFonts w:ascii="Times New Roman" w:hAnsi="Times New Roman" w:cs="Times New Roman"/>
        </w:rPr>
        <w:t>Nakon uključenog planiranog prijenosa manjka prihoda, proračun je uravnotežen.</w:t>
      </w:r>
    </w:p>
    <w:p w:rsidR="00777ABF" w:rsidRDefault="00777ABF" w:rsidP="00777ABF">
      <w:pPr>
        <w:jc w:val="both"/>
        <w:rPr>
          <w:rFonts w:ascii="Times New Roman" w:hAnsi="Times New Roman" w:cs="Times New Roman"/>
        </w:rPr>
      </w:pPr>
    </w:p>
    <w:p w:rsidR="00777ABF" w:rsidRDefault="00777ABF" w:rsidP="00A66748">
      <w:pPr>
        <w:pStyle w:val="Odlomakpopisa"/>
        <w:numPr>
          <w:ilvl w:val="1"/>
          <w:numId w:val="13"/>
        </w:numPr>
        <w:spacing w:after="0"/>
        <w:rPr>
          <w:rFonts w:ascii="Times New Roman" w:hAnsi="Times New Roman"/>
          <w:b/>
          <w:bCs/>
        </w:rPr>
      </w:pPr>
      <w:r>
        <w:rPr>
          <w:rFonts w:ascii="Times New Roman" w:hAnsi="Times New Roman"/>
          <w:b/>
          <w:bCs/>
        </w:rPr>
        <w:t xml:space="preserve"> OBRAZLOŽENJE POSEBNOG DIJELA PRORAČUNA</w:t>
      </w:r>
    </w:p>
    <w:p w:rsidR="00777ABF" w:rsidRDefault="00777ABF" w:rsidP="00777ABF">
      <w:pPr>
        <w:widowControl w:val="0"/>
        <w:spacing w:before="12"/>
        <w:ind w:right="1" w:firstLine="708"/>
        <w:jc w:val="both"/>
        <w:rPr>
          <w:rFonts w:ascii="Times New Roman" w:hAnsi="Times New Roman" w:cs="Times New Roman"/>
          <w:color w:val="000000"/>
        </w:rPr>
      </w:pPr>
      <w:r>
        <w:rPr>
          <w:rFonts w:ascii="Times New Roman" w:hAnsi="Times New Roman" w:cs="Times New Roman"/>
          <w:color w:val="000000"/>
        </w:rPr>
        <w:t>Obrazloženje posebnog dijela proračuna sastoji se od obrazloženja programa koje se daje kroz obrazloženje aktivnosti i projekata:</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1001 OPĆINSKO VIJEĆE I OPĆINSKI NAČELNIK</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44.000,00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A100101 Općinsko vijeće i Općinski načelnik, planirana u iznosu 34.500,00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A100103 Financiranje političkih stranaka, planirana u iznosu 1.500,00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A100104 Obilježavanje Dana Općine i ostale manifestascije, planirana u iznosu 8.000,00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1002 VIJEĆE SRPSKE NACIONALNE MANJINE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5.400,00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A100201 Vijeće srpske nacionalne manjine, planirana u iznosu 5.400,00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1003 PRIPREMA I DONOŠENJE AKATA IZ DJELOKRUGA TIJELA</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207.100,00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A100301 Administrativno i stručno osoblje, planirana u iznosu 141.900,00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A100302 Komunalni redar, planirana u iznosu 7.000,00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A100303 Tekuće i investicijsko održavanje građevinskih objekata, postrojenja i opreme i </w:t>
      </w:r>
      <w:r>
        <w:rPr>
          <w:rFonts w:ascii="Times New Roman" w:hAnsi="Times New Roman" w:cs="Times New Roman"/>
          <w:color w:val="000000"/>
        </w:rPr>
        <w:lastRenderedPageBreak/>
        <w:t>dr., planirana u iznosu 23.400,00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A100304 Intelektualne i osobne usluge, planirana u iznosu 10.000,00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A100305 Informatizacija uprave i nabava namještaja i opreme, planirana u iznosu 9.800,00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A100306 Izdaci za financijsku imovinu i otplate zajmova, planirana u iznosu 15.000,00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1004 RAZVOJ GOSPODARSTVA</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6.650,00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A100401 Poticanje poljoprivrede i gospodarskih subjekata, planirana u iznosu 6.650,00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1005 ODRŽAVANJE KOMUNALNE INFRASTRUKTURE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160.780,00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A100501 Održavanje nerazvrstanih cesta, planirana u iznosu 64.400,00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A100502 Održavanje javnih površina na kojima nije dopušten promet vozilima, planirana u iznosu 16.000,00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A100503 Održavanje građevina javne odvodnje oborinskih voda, planirana u iznosu 10.000,00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A100504 Održavanje javnih zelenih površina, planirana u iznosu 25.280,00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A100505 Održavanje građevina, uređaja i predmeta javne namjene, planirana u iznosu 8.700,00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A100506 Održavanje groblja, planirana u iznosu 19.400,00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A100507 Održavanje čistoće javnih površina, planirana u iznosu 8.000,00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A100508 Održavanje javne rasvjete, planirana u iznosu 9.000,00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1006 GRAĐENJE KOMUNALNE INFRASTRUKTURE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523.096,25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K100607 Centar općine, planiran u iznosu 50.000,00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K100608 Cesta Stari kraj- groblje LU Vepar, planiran u iznosu 20.000,00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K100609 Dom Smrtić, planiran u iznosu 10.000,00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K100610 HSD GB - UREĐENJE, planiran u iznosu 60.000,00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K100611 Zelena infrastruktura - javne površine, planiran u iznosu 40.000,00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K100612 Ulaganje u prometnu infrastrukturu, planiran u iznosu 25.000,00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K100601 Izgradnja prilazne ceste i mosta na potoku Draževac, planiran u iznosu 20.000,00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K100602 Izgradnja dječjeg igrališta u naselju Trnava, planiran u iznosu 57.500,00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K100603 Uređenje parkirališta kod doma Kosovac, planiran u iznosu 76.000,00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K100604 Uređenje okoliša Društvenog doma Smrtić-Ratkovac i izgradnja nadstrešnice, planiran u iznosu 19.200,00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K100605 Izgradnja i opremanje dječjeg vrtića, planiran u iznosu 70.000,00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KAPITALNI PROJEKT K100606 Modernizacija javne rasvjete, planiran u iznosu 75.396,25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lastRenderedPageBreak/>
        <w:t>PROGRAM: 1007 GOSPODARENJE OTPADOM</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9.000,00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A100701 Poticajna naknada za smanjenje količine miješanog komunalnog otpada, planirana u iznosu 2.000,00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A100702 Naknada za korištenje odlagališta komunalnog otpada, planirana u iznosu 7.000,00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1008 PREDŠKOLSKI ODGOJ, OBRAZOVANJE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82.200,00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A100801 Predškolski odgoj, planirana u iznosu 55.200,00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A100802 Osnovno i srednjoškolsko obrazovanje, planirana u iznosu 23.000,00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A100803 Visoko obrazovanje, planirana u iznosu 4.000,00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1009 JAVNE POTREBE U KULTURI, SPORTU, VJERSKIM ZAJEDNICAMA I OSTALO</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75.900,00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A100901 Djelatnost kulturno-umjetničkih društava, udruga i RP Bljesak, planirana u iznosu 18.300,00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A100902 Vjerske zajednice, planirana u iznosu 19.600,00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A100903 Utvrda Bedem, planirana u iznosu 12.000,00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A100904 Sportske zajednice, planirana u iznosu 26.000,00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1010 SOCIJALNE POTREBE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48.705,00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A101001 Jednokratne novčane pomoći, planirana u iznosu 10.000,00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A101002 Pomoći u rješavanju prve stambene nekretnine mladih obitelji, planirana u iznosu 20.000,00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A101003 Humanitarna skrb kroz udruge i druge organizacije - Crveni križ, planirana u iznosu 4.805,00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A101004 Javni radovi, planirana u iznosu 13.900,00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1011 DODATNE USLUGE U ZDRAVSTVU</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20.500,00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A101102 Ostale tekuće donacije u zdravstvu, planirana u iznosu 500,00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A101101 Deratizacija, dezinsekcija, planirana u iznosu 20.000,00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1012 ORGANIZIRANJE ZAŠTITE I SPAŠAVANJA</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18.700,00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A101201 DVD, planirana u iznosu 14.000,00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A101202 Civilna zaštita, planirana u iznosu 4.700,00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1013 UPRAVLJANJE IMOVINOM</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31.000,00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A101302 Fotonaponske elektrane, planirana u iznosu 30.000,00 EUR.</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A101301 Rekonstrukcija vijećnice, planirana u iznosu 1.000,00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1014 RAZVOJ SUSTAVA VODOOPSKRBE I ODVODNJE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200.000,00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A101401 Kapitalne pomoći trgovačkim društvima  u javnom sektoru - odvodnja VZS, planirana u iznosu 200.000,00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1015 PROSTORNO PLANIRANJE</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5.500,00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A101501 Izmjene i dopune prostornog plana, planirana u iznosu 5.500,00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PROGRAM: 1016 NARODNA KNJIŽNICA I ČITAONICA</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Planiran je u iznosu 54.421,78 EUR, a sadrži slijedeće aktivnosti:</w:t>
      </w:r>
    </w:p>
    <w:p w:rsidR="00777ABF" w:rsidRDefault="00777ABF" w:rsidP="00777ABF">
      <w:pPr>
        <w:widowControl w:val="0"/>
        <w:spacing w:before="12" w:after="0"/>
        <w:ind w:right="1"/>
        <w:jc w:val="both"/>
        <w:rPr>
          <w:rFonts w:ascii="Times New Roman" w:hAnsi="Times New Roman" w:cs="Times New Roman"/>
          <w:color w:val="000000"/>
        </w:rPr>
      </w:pPr>
      <w:r>
        <w:rPr>
          <w:rFonts w:ascii="Times New Roman" w:hAnsi="Times New Roman" w:cs="Times New Roman"/>
          <w:color w:val="000000"/>
        </w:rPr>
        <w:t xml:space="preserve">   ●  AKTIVNOST A101601 Narodna knjižnica i čitaonica, planirana u iznosu 54.421,78 EUR.</w:t>
      </w: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widowControl w:val="0"/>
        <w:spacing w:before="12" w:after="0"/>
        <w:ind w:right="1"/>
        <w:jc w:val="both"/>
        <w:rPr>
          <w:rFonts w:ascii="Times New Roman" w:hAnsi="Times New Roman" w:cs="Times New Roman"/>
          <w:color w:val="000000"/>
        </w:rPr>
      </w:pPr>
    </w:p>
    <w:p w:rsidR="00777ABF" w:rsidRDefault="00777ABF" w:rsidP="00777ABF">
      <w:pPr>
        <w:spacing w:after="0"/>
        <w:rPr>
          <w:rFonts w:ascii="Times New Roman" w:hAnsi="Times New Roman" w:cs="Times New Roman"/>
          <w:b/>
          <w:bCs/>
        </w:rPr>
      </w:pPr>
    </w:p>
    <w:p w:rsidR="00777ABF" w:rsidRDefault="00777ABF" w:rsidP="00777ABF">
      <w:pPr>
        <w:spacing w:after="0"/>
        <w:rPr>
          <w:rFonts w:ascii="Times New Roman" w:hAnsi="Times New Roman" w:cs="Times New Roman"/>
          <w:b/>
          <w:bCs/>
        </w:rPr>
      </w:pPr>
    </w:p>
    <w:p w:rsidR="00777ABF" w:rsidRDefault="00777ABF" w:rsidP="00777ABF">
      <w:pPr>
        <w:spacing w:after="0"/>
        <w:rPr>
          <w:rFonts w:ascii="Times New Roman" w:hAnsi="Times New Roman" w:cs="Times New Roman"/>
          <w:b/>
          <w:bCs/>
        </w:rPr>
      </w:pPr>
    </w:p>
    <w:p w:rsidR="00777ABF" w:rsidRDefault="00777ABF" w:rsidP="00777ABF">
      <w:pPr>
        <w:spacing w:after="0"/>
        <w:rPr>
          <w:rFonts w:ascii="Times New Roman" w:hAnsi="Times New Roman" w:cs="Times New Roman"/>
          <w:b/>
          <w:bCs/>
        </w:rPr>
      </w:pPr>
    </w:p>
    <w:p w:rsidR="00777ABF" w:rsidRDefault="00777ABF" w:rsidP="00777ABF">
      <w:pPr>
        <w:spacing w:after="0"/>
        <w:jc w:val="center"/>
        <w:rPr>
          <w:rFonts w:ascii="Times New Roman" w:hAnsi="Times New Roman" w:cs="Times New Roman"/>
          <w:b/>
          <w:bCs/>
        </w:rPr>
      </w:pPr>
      <w:r>
        <w:rPr>
          <w:rFonts w:ascii="Times New Roman" w:hAnsi="Times New Roman" w:cs="Times New Roman"/>
          <w:b/>
          <w:bCs/>
        </w:rPr>
        <w:t>Članak 5.</w:t>
      </w:r>
    </w:p>
    <w:p w:rsidR="00777ABF" w:rsidRDefault="00777ABF" w:rsidP="00777ABF">
      <w:pPr>
        <w:widowControl w:val="0"/>
        <w:spacing w:before="12"/>
        <w:ind w:right="1" w:firstLine="708"/>
        <w:jc w:val="both"/>
        <w:rPr>
          <w:rFonts w:ascii="Times New Roman" w:hAnsi="Times New Roman" w:cs="Times New Roman"/>
          <w:color w:val="000000"/>
        </w:rPr>
      </w:pPr>
      <w:r>
        <w:rPr>
          <w:rFonts w:ascii="Times New Roman" w:hAnsi="Times New Roman" w:cs="Times New Roman"/>
          <w:color w:val="000000"/>
        </w:rPr>
        <w:t xml:space="preserve">Proračun Općine Gornji Bogićevci za 2026.godinu i projekcije za 2027. i 2028. godinu stupaju na snagu 01. siječnja 2026. godine i objavit će se u  Glasniku Općine Gornji Bogićevci, a biti će objavljene i na službenim stranicama Općine Gornji Bogićevci </w:t>
      </w:r>
      <w:hyperlink r:id="rId10" w:history="1">
        <w:r>
          <w:rPr>
            <w:rStyle w:val="Hiperveza"/>
            <w:rFonts w:ascii="Times New Roman" w:hAnsi="Times New Roman" w:cs="Times New Roman"/>
          </w:rPr>
          <w:t>www.gornji-bogicevci.hr</w:t>
        </w:r>
      </w:hyperlink>
      <w:r>
        <w:rPr>
          <w:rFonts w:ascii="Times New Roman" w:hAnsi="Times New Roman" w:cs="Times New Roman"/>
          <w:color w:val="000000"/>
        </w:rPr>
        <w:t>.</w:t>
      </w:r>
    </w:p>
    <w:p w:rsidR="00777ABF" w:rsidRDefault="00777ABF" w:rsidP="00777ABF">
      <w:pPr>
        <w:spacing w:after="0"/>
        <w:jc w:val="center"/>
        <w:rPr>
          <w:rFonts w:ascii="Times New Roman" w:hAnsi="Times New Roman"/>
          <w:b/>
          <w:bCs/>
        </w:rPr>
      </w:pPr>
      <w:r>
        <w:rPr>
          <w:rFonts w:ascii="Times New Roman" w:hAnsi="Times New Roman"/>
          <w:b/>
          <w:bCs/>
        </w:rPr>
        <w:t>OPĆINSKO VIJEĆE</w:t>
      </w:r>
    </w:p>
    <w:p w:rsidR="00777ABF" w:rsidRDefault="00777ABF" w:rsidP="00777ABF">
      <w:pPr>
        <w:spacing w:after="0"/>
        <w:jc w:val="center"/>
        <w:rPr>
          <w:rFonts w:ascii="Times New Roman" w:hAnsi="Times New Roman"/>
          <w:b/>
          <w:bCs/>
        </w:rPr>
      </w:pPr>
      <w:r>
        <w:rPr>
          <w:rFonts w:ascii="Times New Roman" w:hAnsi="Times New Roman"/>
          <w:b/>
          <w:bCs/>
        </w:rPr>
        <w:t>OPĆINE GORNJI BOGIĆEVCI</w:t>
      </w:r>
    </w:p>
    <w:p w:rsidR="00777ABF" w:rsidRDefault="00777ABF" w:rsidP="00777ABF">
      <w:pPr>
        <w:spacing w:after="0"/>
        <w:jc w:val="right"/>
        <w:rPr>
          <w:rFonts w:ascii="Times New Roman" w:hAnsi="Times New Roman"/>
          <w:b/>
          <w:bCs/>
        </w:rPr>
      </w:pPr>
    </w:p>
    <w:p w:rsidR="00777ABF" w:rsidRDefault="00777ABF" w:rsidP="00777ABF">
      <w:pPr>
        <w:spacing w:after="0"/>
        <w:jc w:val="right"/>
        <w:rPr>
          <w:rFonts w:ascii="Times New Roman" w:hAnsi="Times New Roman"/>
          <w:b/>
          <w:bCs/>
        </w:rPr>
      </w:pPr>
    </w:p>
    <w:p w:rsidR="00777ABF" w:rsidRDefault="00777ABF" w:rsidP="00777ABF">
      <w:pPr>
        <w:spacing w:after="0"/>
        <w:jc w:val="right"/>
        <w:rPr>
          <w:rFonts w:ascii="Times New Roman" w:hAnsi="Times New Roman"/>
        </w:rPr>
      </w:pPr>
      <w:r>
        <w:rPr>
          <w:rFonts w:ascii="Times New Roman" w:hAnsi="Times New Roman"/>
        </w:rPr>
        <w:t>PREDSJEDNIK OPĆINSKOG VIJEĆA</w:t>
      </w:r>
    </w:p>
    <w:p w:rsidR="00777ABF" w:rsidRDefault="00777ABF" w:rsidP="00777ABF">
      <w:pPr>
        <w:spacing w:after="0"/>
        <w:jc w:val="right"/>
        <w:rPr>
          <w:rFonts w:ascii="Times New Roman" w:hAnsi="Times New Roman"/>
          <w:b/>
          <w:bCs/>
        </w:rPr>
      </w:pPr>
    </w:p>
    <w:p w:rsidR="00777ABF" w:rsidRDefault="00777ABF" w:rsidP="00777ABF">
      <w:pPr>
        <w:spacing w:after="0"/>
        <w:jc w:val="right"/>
        <w:rPr>
          <w:rFonts w:ascii="Times New Roman" w:hAnsi="Times New Roman"/>
          <w:b/>
          <w:bCs/>
        </w:rPr>
      </w:pPr>
      <w:r>
        <w:rPr>
          <w:rFonts w:ascii="Times New Roman" w:hAnsi="Times New Roman"/>
          <w:b/>
          <w:bCs/>
        </w:rPr>
        <w:t>________________________________</w:t>
      </w:r>
    </w:p>
    <w:p w:rsidR="00777ABF" w:rsidRDefault="00777ABF" w:rsidP="00777ABF">
      <w:pPr>
        <w:spacing w:after="0"/>
        <w:rPr>
          <w:rFonts w:ascii="Times New Roman" w:hAnsi="Times New Roman"/>
          <w:b/>
          <w:bCs/>
        </w:rPr>
      </w:pPr>
    </w:p>
    <w:p w:rsidR="00777ABF" w:rsidRDefault="00777ABF" w:rsidP="00777ABF">
      <w:pPr>
        <w:spacing w:after="0"/>
        <w:rPr>
          <w:rFonts w:ascii="Times New Roman" w:eastAsia="Times New Roman" w:hAnsi="Times New Roman" w:cs="Times New Roman"/>
          <w:lang w:eastAsia="hr-HR"/>
        </w:rPr>
      </w:pPr>
    </w:p>
    <w:p w:rsidR="00777ABF" w:rsidRDefault="00777ABF" w:rsidP="00777ABF">
      <w:pPr>
        <w:spacing w:after="0"/>
        <w:rPr>
          <w:rFonts w:ascii="Times New Roman" w:eastAsia="Times New Roman" w:hAnsi="Times New Roman" w:cs="Times New Roman"/>
          <w:lang w:val="en-US" w:eastAsia="hr-HR"/>
        </w:rPr>
      </w:pPr>
      <w:r>
        <w:rPr>
          <w:rFonts w:ascii="Times New Roman" w:eastAsia="Times New Roman" w:hAnsi="Times New Roman" w:cs="Times New Roman"/>
          <w:lang w:eastAsia="hr-HR"/>
        </w:rPr>
        <w:t xml:space="preserve">KLASA: </w:t>
      </w:r>
      <w:r>
        <w:rPr>
          <w:rFonts w:ascii="Times New Roman" w:eastAsia="Times New Roman" w:hAnsi="Times New Roman" w:cs="Times New Roman"/>
          <w:lang w:val="en-US" w:eastAsia="hr-HR"/>
        </w:rPr>
        <w:t>400-05/25-01/01</w:t>
      </w:r>
    </w:p>
    <w:p w:rsidR="00777ABF" w:rsidRDefault="00777ABF" w:rsidP="00777ABF">
      <w:pPr>
        <w:spacing w:after="0"/>
        <w:rPr>
          <w:rFonts w:ascii="Times New Roman" w:eastAsia="Times New Roman" w:hAnsi="Times New Roman" w:cs="Times New Roman"/>
          <w:lang w:val="en-US" w:eastAsia="hr-HR"/>
        </w:rPr>
      </w:pPr>
      <w:r>
        <w:rPr>
          <w:rFonts w:ascii="Times New Roman" w:eastAsia="Times New Roman" w:hAnsi="Times New Roman" w:cs="Times New Roman"/>
          <w:lang w:eastAsia="hr-HR"/>
        </w:rPr>
        <w:t xml:space="preserve">URBROJ: </w:t>
      </w:r>
      <w:r>
        <w:rPr>
          <w:rFonts w:ascii="Times New Roman" w:eastAsia="Times New Roman" w:hAnsi="Times New Roman" w:cs="Times New Roman"/>
          <w:lang w:val="en-US" w:eastAsia="hr-HR"/>
        </w:rPr>
        <w:t>2178-22-03-21</w:t>
      </w:r>
    </w:p>
    <w:p w:rsidR="00777ABF" w:rsidRDefault="00777ABF" w:rsidP="00777ABF">
      <w:pPr>
        <w:spacing w:after="0"/>
        <w:rPr>
          <w:rFonts w:ascii="Times New Roman" w:eastAsia="Times New Roman" w:hAnsi="Times New Roman" w:cs="Times New Roman"/>
          <w:lang w:val="en-US" w:eastAsia="hr-HR"/>
        </w:rPr>
      </w:pPr>
      <w:r>
        <w:rPr>
          <w:rFonts w:ascii="Times New Roman" w:eastAsia="Times New Roman" w:hAnsi="Times New Roman" w:cs="Times New Roman"/>
          <w:lang w:eastAsia="hr-HR"/>
        </w:rPr>
        <w:t xml:space="preserve">Gornji Bogićevci, </w:t>
      </w:r>
      <w:r>
        <w:rPr>
          <w:rFonts w:ascii="Times New Roman" w:eastAsia="Times New Roman" w:hAnsi="Times New Roman" w:cs="Times New Roman"/>
          <w:lang w:val="en-US" w:eastAsia="hr-HR"/>
        </w:rPr>
        <w:t>22.12.2025.</w:t>
      </w:r>
    </w:p>
    <w:p w:rsidR="00777ABF" w:rsidRDefault="00777ABF" w:rsidP="00777ABF">
      <w:pPr>
        <w:spacing w:after="0"/>
        <w:rPr>
          <w:rFonts w:ascii="Times New Roman" w:hAnsi="Times New Roman"/>
          <w:b/>
          <w:bCs/>
        </w:rPr>
      </w:pPr>
    </w:p>
    <w:p w:rsidR="00777ABF" w:rsidRDefault="00777ABF" w:rsidP="00777ABF">
      <w:pPr>
        <w:spacing w:after="0"/>
        <w:jc w:val="right"/>
        <w:rPr>
          <w:rFonts w:ascii="Times New Roman" w:hAnsi="Times New Roman" w:cs="Times New Roman"/>
        </w:rPr>
      </w:pPr>
    </w:p>
    <w:p w:rsidR="00777ABF" w:rsidRDefault="00777ABF" w:rsidP="00777ABF">
      <w:pPr>
        <w:spacing w:after="0"/>
        <w:rPr>
          <w:rFonts w:ascii="Times New Roman" w:hAnsi="Times New Roman"/>
        </w:rPr>
      </w:pPr>
    </w:p>
    <w:p w:rsidR="00440A6E" w:rsidRDefault="00440A6E"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777ABF">
      <w:pPr>
        <w:pStyle w:val="Tijeloteksta"/>
      </w:pPr>
      <w:r>
        <w:rPr>
          <w:noProof/>
        </w:rPr>
        <w:drawing>
          <wp:inline distT="0" distB="0" distL="0" distR="0">
            <wp:extent cx="484505" cy="642620"/>
            <wp:effectExtent l="0" t="0" r="0" b="5080"/>
            <wp:docPr id="364861956" name="Slika 364861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777ABF" w:rsidRDefault="00777ABF" w:rsidP="00777ABF">
      <w:pPr>
        <w:pStyle w:val="Tijeloteksta"/>
        <w:ind w:firstLine="720"/>
      </w:pPr>
    </w:p>
    <w:p w:rsidR="00777ABF" w:rsidRDefault="00777ABF" w:rsidP="00777ABF">
      <w:pPr>
        <w:rPr>
          <w:sz w:val="24"/>
          <w:szCs w:val="24"/>
        </w:rPr>
      </w:pPr>
      <w:r>
        <w:rPr>
          <w:sz w:val="24"/>
          <w:szCs w:val="24"/>
        </w:rPr>
        <w:t>REPUBLIKA HRVATSKA</w:t>
      </w:r>
    </w:p>
    <w:p w:rsidR="00777ABF" w:rsidRDefault="00777ABF" w:rsidP="00777ABF">
      <w:pPr>
        <w:rPr>
          <w:sz w:val="24"/>
          <w:szCs w:val="24"/>
        </w:rPr>
      </w:pPr>
      <w:r>
        <w:rPr>
          <w:sz w:val="24"/>
          <w:szCs w:val="24"/>
        </w:rPr>
        <w:t>BRODSKO-POSAVSKA ŽUPANIJA</w:t>
      </w:r>
    </w:p>
    <w:p w:rsidR="00777ABF" w:rsidRDefault="00777ABF" w:rsidP="00777ABF">
      <w:pPr>
        <w:rPr>
          <w:sz w:val="24"/>
          <w:szCs w:val="24"/>
        </w:rPr>
      </w:pPr>
      <w:r>
        <w:rPr>
          <w:sz w:val="24"/>
          <w:szCs w:val="24"/>
        </w:rPr>
        <w:t>OPĆINA GORNJI BOGIĆEVCI</w:t>
      </w:r>
    </w:p>
    <w:p w:rsidR="00777ABF" w:rsidRDefault="00777ABF" w:rsidP="00777ABF">
      <w:pPr>
        <w:rPr>
          <w:sz w:val="24"/>
          <w:szCs w:val="24"/>
        </w:rPr>
      </w:pPr>
      <w:r>
        <w:rPr>
          <w:sz w:val="24"/>
          <w:szCs w:val="24"/>
        </w:rPr>
        <w:t>OPĆINSKO VIJEĆE</w:t>
      </w:r>
    </w:p>
    <w:p w:rsidR="00777ABF" w:rsidRDefault="00777ABF" w:rsidP="00777ABF">
      <w:pPr>
        <w:jc w:val="both"/>
        <w:rPr>
          <w:sz w:val="24"/>
          <w:szCs w:val="24"/>
        </w:rPr>
      </w:pPr>
      <w:r>
        <w:rPr>
          <w:sz w:val="24"/>
          <w:szCs w:val="24"/>
        </w:rPr>
        <w:t xml:space="preserve">Trg hrvatskih branitelja 1, </w:t>
      </w:r>
    </w:p>
    <w:p w:rsidR="00777ABF" w:rsidRDefault="00777ABF" w:rsidP="00777ABF">
      <w:pPr>
        <w:jc w:val="both"/>
        <w:rPr>
          <w:sz w:val="24"/>
          <w:szCs w:val="24"/>
        </w:rPr>
      </w:pPr>
      <w:r>
        <w:rPr>
          <w:sz w:val="24"/>
          <w:szCs w:val="24"/>
        </w:rPr>
        <w:t>35429 Gornji Bogićevci</w:t>
      </w:r>
    </w:p>
    <w:p w:rsidR="00777ABF" w:rsidRDefault="00777ABF" w:rsidP="00777ABF">
      <w:pPr>
        <w:rPr>
          <w:sz w:val="24"/>
          <w:szCs w:val="24"/>
        </w:rPr>
      </w:pPr>
      <w:r>
        <w:rPr>
          <w:sz w:val="24"/>
          <w:szCs w:val="24"/>
        </w:rPr>
        <w:t>OIB: 89414039518</w:t>
      </w:r>
    </w:p>
    <w:p w:rsidR="00777ABF" w:rsidRDefault="00777ABF" w:rsidP="00777ABF">
      <w:pPr>
        <w:rPr>
          <w:sz w:val="24"/>
          <w:szCs w:val="24"/>
        </w:rPr>
      </w:pPr>
      <w:r>
        <w:rPr>
          <w:sz w:val="24"/>
          <w:szCs w:val="24"/>
        </w:rPr>
        <w:t>Tel: 035/375-056</w:t>
      </w:r>
    </w:p>
    <w:p w:rsidR="00777ABF" w:rsidRDefault="00777ABF" w:rsidP="00777ABF">
      <w:pPr>
        <w:pStyle w:val="Tijeloteksta"/>
        <w:ind w:firstLine="708"/>
        <w:rPr>
          <w:bCs/>
        </w:rPr>
      </w:pPr>
    </w:p>
    <w:p w:rsidR="00777ABF" w:rsidRDefault="00777ABF" w:rsidP="00777ABF">
      <w:pPr>
        <w:pStyle w:val="Tijeloteksta"/>
        <w:ind w:firstLine="708"/>
        <w:rPr>
          <w:b/>
          <w:color w:val="FF0000"/>
        </w:rPr>
      </w:pPr>
      <w:r>
        <w:rPr>
          <w:bCs/>
        </w:rPr>
        <w:t xml:space="preserve">Na temelju članka 33. stavka 1. Zakona o stambenom zbrinjavanju na potpomognutim područjima („Narodne novine“ broj 106/18, 98/19 i 82/23), Uredbe o uvjetima za kupnju obiteljske kuće ili stana u državnom vlasništvu na područjima posebne državne skrbi („Narodne novine“ broj 19/11, 56/11, 3/13 i 24/19) </w:t>
      </w:r>
      <w:r>
        <w:t>članka 39. stavak 5. Statuta općine Gornji Bogićevci („Službeni glasnik Općine Gornji Bogićevci“, broj 02/21, Općinsko vijeće općine Gornji Bogićevci na svojoj 5. sjednici održanoj 22.12.2025. godine, donosi</w:t>
      </w:r>
    </w:p>
    <w:p w:rsidR="00777ABF" w:rsidRDefault="00777ABF" w:rsidP="00777ABF">
      <w:pPr>
        <w:pStyle w:val="Tijeloteksta"/>
        <w:rPr>
          <w:b/>
          <w:bCs/>
        </w:rPr>
      </w:pPr>
    </w:p>
    <w:p w:rsidR="00777ABF" w:rsidRDefault="00777ABF" w:rsidP="00777ABF">
      <w:pPr>
        <w:tabs>
          <w:tab w:val="center" w:pos="4152"/>
          <w:tab w:val="left" w:pos="5235"/>
        </w:tabs>
        <w:jc w:val="center"/>
        <w:rPr>
          <w:b/>
          <w:bCs/>
          <w:sz w:val="24"/>
          <w:szCs w:val="24"/>
        </w:rPr>
      </w:pPr>
      <w:r>
        <w:rPr>
          <w:b/>
          <w:bCs/>
          <w:sz w:val="24"/>
          <w:szCs w:val="24"/>
        </w:rPr>
        <w:t>PLAN  UTROŠKA SREDSTAVA OD PRODAJE KUĆA I STANOVA U DRŽAVNOM VLASNIŠTVU NA PODRUČJU OPĆINE GORNJI BOGIĆECI ZA 2026. GODINU</w:t>
      </w:r>
    </w:p>
    <w:p w:rsidR="00777ABF" w:rsidRDefault="00777ABF" w:rsidP="00777ABF">
      <w:pPr>
        <w:jc w:val="center"/>
        <w:rPr>
          <w:bCs/>
          <w:sz w:val="24"/>
          <w:szCs w:val="24"/>
        </w:rPr>
      </w:pPr>
    </w:p>
    <w:p w:rsidR="00777ABF" w:rsidRDefault="00777ABF" w:rsidP="00777ABF">
      <w:pPr>
        <w:jc w:val="center"/>
        <w:rPr>
          <w:b/>
          <w:sz w:val="24"/>
          <w:szCs w:val="24"/>
        </w:rPr>
      </w:pPr>
      <w:r>
        <w:rPr>
          <w:b/>
          <w:sz w:val="24"/>
          <w:szCs w:val="24"/>
        </w:rPr>
        <w:t>Članak 1.</w:t>
      </w:r>
    </w:p>
    <w:p w:rsidR="00777ABF" w:rsidRDefault="00777ABF" w:rsidP="00777ABF">
      <w:pPr>
        <w:jc w:val="center"/>
        <w:rPr>
          <w:bCs/>
          <w:sz w:val="24"/>
          <w:szCs w:val="24"/>
        </w:rPr>
      </w:pPr>
    </w:p>
    <w:p w:rsidR="00777ABF" w:rsidRDefault="00777ABF" w:rsidP="00777ABF">
      <w:pPr>
        <w:rPr>
          <w:sz w:val="24"/>
          <w:szCs w:val="24"/>
        </w:rPr>
      </w:pPr>
      <w:r>
        <w:rPr>
          <w:sz w:val="24"/>
          <w:szCs w:val="24"/>
        </w:rPr>
        <w:t>Ovim Planom utvrđuje se namjena korištenja sredstava od prodaje kuća i stanova u državnom vlasništvu na području općine Gornji Bogićevci.</w:t>
      </w:r>
    </w:p>
    <w:p w:rsidR="00777ABF" w:rsidRDefault="00777ABF" w:rsidP="00777ABF">
      <w:pPr>
        <w:rPr>
          <w:sz w:val="24"/>
          <w:szCs w:val="24"/>
        </w:rPr>
      </w:pPr>
    </w:p>
    <w:p w:rsidR="00777ABF" w:rsidRDefault="00777ABF" w:rsidP="00777ABF">
      <w:pPr>
        <w:jc w:val="center"/>
        <w:rPr>
          <w:b/>
          <w:bCs/>
          <w:sz w:val="24"/>
          <w:szCs w:val="24"/>
        </w:rPr>
      </w:pPr>
      <w:r>
        <w:rPr>
          <w:b/>
          <w:bCs/>
          <w:sz w:val="24"/>
          <w:szCs w:val="24"/>
        </w:rPr>
        <w:t>Članak 2.</w:t>
      </w:r>
    </w:p>
    <w:p w:rsidR="00777ABF" w:rsidRDefault="00777ABF" w:rsidP="00777ABF">
      <w:pPr>
        <w:rPr>
          <w:sz w:val="24"/>
          <w:szCs w:val="24"/>
        </w:rPr>
      </w:pPr>
    </w:p>
    <w:p w:rsidR="00777ABF" w:rsidRDefault="00777ABF" w:rsidP="00777ABF">
      <w:pPr>
        <w:rPr>
          <w:sz w:val="24"/>
          <w:szCs w:val="24"/>
        </w:rPr>
      </w:pPr>
      <w:r>
        <w:rPr>
          <w:sz w:val="24"/>
          <w:szCs w:val="24"/>
        </w:rPr>
        <w:t xml:space="preserve">Od prodaje obiteljskih kuća i stanova u državnom vlasništvu na potpomognutim područjima za Općinu Gornji Bogićevci planiraju se sredstva u iznosu od </w:t>
      </w:r>
      <w:r>
        <w:rPr>
          <w:b/>
          <w:sz w:val="24"/>
          <w:szCs w:val="24"/>
        </w:rPr>
        <w:t>20.000,00 eura</w:t>
      </w:r>
      <w:r>
        <w:rPr>
          <w:sz w:val="24"/>
          <w:szCs w:val="24"/>
        </w:rPr>
        <w:t>.</w:t>
      </w:r>
    </w:p>
    <w:p w:rsidR="00777ABF" w:rsidRDefault="00777ABF" w:rsidP="00777ABF">
      <w:pPr>
        <w:rPr>
          <w:sz w:val="24"/>
          <w:szCs w:val="24"/>
        </w:rPr>
      </w:pPr>
    </w:p>
    <w:p w:rsidR="00777ABF" w:rsidRDefault="00777ABF" w:rsidP="00777ABF">
      <w:pPr>
        <w:jc w:val="center"/>
        <w:rPr>
          <w:b/>
          <w:bCs/>
          <w:sz w:val="24"/>
          <w:szCs w:val="24"/>
        </w:rPr>
      </w:pPr>
      <w:r>
        <w:rPr>
          <w:b/>
          <w:bCs/>
          <w:sz w:val="24"/>
          <w:szCs w:val="24"/>
        </w:rPr>
        <w:t>Članak 3.</w:t>
      </w:r>
    </w:p>
    <w:p w:rsidR="00777ABF" w:rsidRDefault="00777ABF" w:rsidP="00777ABF">
      <w:pPr>
        <w:jc w:val="center"/>
        <w:rPr>
          <w:bCs/>
          <w:sz w:val="24"/>
          <w:szCs w:val="24"/>
        </w:rPr>
      </w:pPr>
    </w:p>
    <w:p w:rsidR="00777ABF" w:rsidRDefault="00777ABF" w:rsidP="00777ABF">
      <w:pPr>
        <w:pStyle w:val="Tijeloteksta"/>
        <w:rPr>
          <w:bCs/>
        </w:rPr>
      </w:pPr>
      <w:r>
        <w:rPr>
          <w:bCs/>
        </w:rPr>
        <w:t>Sredstva iz članka 2. ovog Plana utrošit će se za izgradnju komunalne infrastrukture sukladno Programu građenja komunalne infrastrukture na području općine Gornji Bogićevci za 2026. godinu kako slijedi:</w:t>
      </w:r>
    </w:p>
    <w:p w:rsidR="00777ABF" w:rsidRDefault="00777ABF" w:rsidP="00777ABF">
      <w:pPr>
        <w:pStyle w:val="Tijeloteksta"/>
      </w:pPr>
      <w:r>
        <w:rPr>
          <w:bCs/>
        </w:rPr>
        <w:tab/>
      </w: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tblPr>
      <w:tblGrid>
        <w:gridCol w:w="911"/>
        <w:gridCol w:w="5828"/>
        <w:gridCol w:w="1570"/>
      </w:tblGrid>
      <w:tr w:rsidR="00777ABF" w:rsidTr="00F57898">
        <w:trPr>
          <w:trHeight w:val="276"/>
        </w:trPr>
        <w:tc>
          <w:tcPr>
            <w:tcW w:w="911" w:type="dxa"/>
            <w:vMerge w:val="restart"/>
          </w:tcPr>
          <w:p w:rsidR="00777ABF" w:rsidRDefault="00777ABF" w:rsidP="00F57898">
            <w:pPr>
              <w:pStyle w:val="Sadrajitablice"/>
              <w:snapToGrid w:val="0"/>
              <w:jc w:val="center"/>
              <w:rPr>
                <w:bCs/>
                <w:sz w:val="24"/>
                <w:szCs w:val="24"/>
              </w:rPr>
            </w:pPr>
            <w:r>
              <w:rPr>
                <w:bCs/>
                <w:sz w:val="24"/>
                <w:szCs w:val="24"/>
              </w:rPr>
              <w:lastRenderedPageBreak/>
              <w:t>Red.br.</w:t>
            </w:r>
          </w:p>
        </w:tc>
        <w:tc>
          <w:tcPr>
            <w:tcW w:w="5828" w:type="dxa"/>
            <w:vMerge w:val="restart"/>
          </w:tcPr>
          <w:p w:rsidR="00777ABF" w:rsidRDefault="00777ABF" w:rsidP="00F57898">
            <w:pPr>
              <w:pStyle w:val="Sadrajitablice"/>
              <w:snapToGrid w:val="0"/>
              <w:jc w:val="center"/>
              <w:rPr>
                <w:bCs/>
                <w:sz w:val="24"/>
                <w:szCs w:val="24"/>
              </w:rPr>
            </w:pPr>
            <w:r>
              <w:rPr>
                <w:bCs/>
                <w:sz w:val="24"/>
                <w:szCs w:val="24"/>
              </w:rPr>
              <w:t>Opis ulaganja</w:t>
            </w:r>
          </w:p>
        </w:tc>
        <w:tc>
          <w:tcPr>
            <w:tcW w:w="1570" w:type="dxa"/>
            <w:vMerge w:val="restart"/>
          </w:tcPr>
          <w:p w:rsidR="00777ABF" w:rsidRDefault="00777ABF" w:rsidP="00F57898">
            <w:pPr>
              <w:pStyle w:val="Sadrajitablice"/>
              <w:snapToGrid w:val="0"/>
              <w:jc w:val="center"/>
              <w:rPr>
                <w:bCs/>
                <w:sz w:val="24"/>
                <w:szCs w:val="24"/>
              </w:rPr>
            </w:pPr>
            <w:r>
              <w:rPr>
                <w:bCs/>
                <w:sz w:val="24"/>
                <w:szCs w:val="24"/>
              </w:rPr>
              <w:t>IZNOS (EUR)</w:t>
            </w:r>
          </w:p>
        </w:tc>
      </w:tr>
      <w:tr w:rsidR="00777ABF" w:rsidTr="00F57898">
        <w:trPr>
          <w:trHeight w:val="230"/>
        </w:trPr>
        <w:tc>
          <w:tcPr>
            <w:tcW w:w="911" w:type="dxa"/>
          </w:tcPr>
          <w:p w:rsidR="00777ABF" w:rsidRDefault="00777ABF" w:rsidP="00A66748">
            <w:pPr>
              <w:pStyle w:val="Sadrajitablice"/>
              <w:numPr>
                <w:ilvl w:val="0"/>
                <w:numId w:val="14"/>
              </w:numPr>
              <w:snapToGrid w:val="0"/>
              <w:rPr>
                <w:b/>
                <w:color w:val="FF0000"/>
                <w:sz w:val="24"/>
                <w:szCs w:val="24"/>
              </w:rPr>
            </w:pPr>
          </w:p>
        </w:tc>
        <w:tc>
          <w:tcPr>
            <w:tcW w:w="5828" w:type="dxa"/>
          </w:tcPr>
          <w:p w:rsidR="00777ABF" w:rsidRDefault="00777ABF" w:rsidP="00F57898">
            <w:pPr>
              <w:pStyle w:val="Sadrajitablice"/>
              <w:snapToGrid w:val="0"/>
              <w:jc w:val="center"/>
              <w:rPr>
                <w:b/>
                <w:sz w:val="24"/>
                <w:szCs w:val="24"/>
              </w:rPr>
            </w:pPr>
            <w:r>
              <w:rPr>
                <w:b/>
                <w:sz w:val="24"/>
                <w:szCs w:val="24"/>
              </w:rPr>
              <w:t>Modernizacija javne rasvjete</w:t>
            </w:r>
          </w:p>
        </w:tc>
        <w:tc>
          <w:tcPr>
            <w:tcW w:w="1570" w:type="dxa"/>
          </w:tcPr>
          <w:p w:rsidR="00777ABF" w:rsidRDefault="00777ABF" w:rsidP="00F57898">
            <w:pPr>
              <w:pStyle w:val="Sadrajitablice"/>
              <w:snapToGrid w:val="0"/>
              <w:jc w:val="center"/>
              <w:rPr>
                <w:b/>
                <w:color w:val="000000"/>
                <w:sz w:val="24"/>
                <w:szCs w:val="24"/>
              </w:rPr>
            </w:pPr>
            <w:r>
              <w:rPr>
                <w:b/>
                <w:color w:val="000000"/>
                <w:sz w:val="24"/>
                <w:szCs w:val="24"/>
              </w:rPr>
              <w:t>20.000,00</w:t>
            </w:r>
          </w:p>
        </w:tc>
      </w:tr>
      <w:tr w:rsidR="00777ABF" w:rsidTr="00F57898">
        <w:trPr>
          <w:trHeight w:val="276"/>
        </w:trPr>
        <w:tc>
          <w:tcPr>
            <w:tcW w:w="911" w:type="dxa"/>
          </w:tcPr>
          <w:p w:rsidR="00777ABF" w:rsidRDefault="00777ABF" w:rsidP="00F57898">
            <w:pPr>
              <w:pStyle w:val="Sadrajitablice"/>
              <w:snapToGrid w:val="0"/>
              <w:jc w:val="center"/>
              <w:rPr>
                <w:bCs/>
                <w:color w:val="000000"/>
                <w:sz w:val="24"/>
                <w:szCs w:val="24"/>
              </w:rPr>
            </w:pPr>
          </w:p>
        </w:tc>
        <w:tc>
          <w:tcPr>
            <w:tcW w:w="5828" w:type="dxa"/>
          </w:tcPr>
          <w:p w:rsidR="00777ABF" w:rsidRDefault="00777ABF" w:rsidP="00F57898">
            <w:pPr>
              <w:pStyle w:val="Sadrajitablice"/>
              <w:snapToGrid w:val="0"/>
              <w:jc w:val="center"/>
              <w:rPr>
                <w:bCs/>
                <w:color w:val="000000"/>
                <w:sz w:val="24"/>
                <w:szCs w:val="24"/>
              </w:rPr>
            </w:pPr>
            <w:r>
              <w:rPr>
                <w:bCs/>
                <w:color w:val="000000"/>
                <w:sz w:val="24"/>
                <w:szCs w:val="24"/>
              </w:rPr>
              <w:t>Ukupno:</w:t>
            </w:r>
          </w:p>
        </w:tc>
        <w:tc>
          <w:tcPr>
            <w:tcW w:w="1570" w:type="dxa"/>
          </w:tcPr>
          <w:p w:rsidR="00777ABF" w:rsidRDefault="00777ABF" w:rsidP="00F57898">
            <w:pPr>
              <w:pStyle w:val="Sadrajitablice"/>
              <w:snapToGrid w:val="0"/>
              <w:jc w:val="center"/>
              <w:rPr>
                <w:b/>
                <w:bCs/>
                <w:sz w:val="24"/>
                <w:szCs w:val="24"/>
              </w:rPr>
            </w:pPr>
            <w:r>
              <w:rPr>
                <w:b/>
                <w:bCs/>
                <w:sz w:val="24"/>
                <w:szCs w:val="24"/>
              </w:rPr>
              <w:t>20.000,00</w:t>
            </w:r>
          </w:p>
        </w:tc>
      </w:tr>
    </w:tbl>
    <w:p w:rsidR="00777ABF" w:rsidRDefault="00777ABF" w:rsidP="00777ABF">
      <w:pPr>
        <w:pStyle w:val="Tijeloteksta"/>
      </w:pPr>
    </w:p>
    <w:p w:rsidR="00777ABF" w:rsidRDefault="00777ABF" w:rsidP="00777ABF">
      <w:pPr>
        <w:pStyle w:val="Tijeloteksta"/>
        <w:jc w:val="center"/>
        <w:rPr>
          <w:b/>
          <w:bCs/>
        </w:rPr>
      </w:pPr>
    </w:p>
    <w:p w:rsidR="00777ABF" w:rsidRDefault="00777ABF" w:rsidP="00777ABF">
      <w:pPr>
        <w:pStyle w:val="Tijeloteksta"/>
        <w:jc w:val="center"/>
        <w:rPr>
          <w:b/>
          <w:bCs/>
        </w:rPr>
      </w:pPr>
    </w:p>
    <w:p w:rsidR="00777ABF" w:rsidRDefault="00777ABF" w:rsidP="00777ABF">
      <w:pPr>
        <w:pStyle w:val="Tijeloteksta"/>
        <w:jc w:val="center"/>
        <w:rPr>
          <w:b/>
          <w:bCs/>
        </w:rPr>
      </w:pPr>
      <w:r>
        <w:rPr>
          <w:b/>
          <w:bCs/>
        </w:rPr>
        <w:t>Članak 4.</w:t>
      </w:r>
    </w:p>
    <w:p w:rsidR="00777ABF" w:rsidRDefault="00777ABF" w:rsidP="00777ABF">
      <w:pPr>
        <w:pStyle w:val="Tijeloteksta"/>
        <w:jc w:val="center"/>
      </w:pPr>
    </w:p>
    <w:p w:rsidR="00777ABF" w:rsidRDefault="00777ABF" w:rsidP="00777ABF">
      <w:pPr>
        <w:pStyle w:val="Tijeloteksta"/>
      </w:pPr>
      <w:r>
        <w:t>Za realizaciju ovog Plana zadužuje se Općinski načelnik. Ovaj Plan dostaviti će se Ministarstvu prostornog uređenja, graditeljstva i državne imovine, te po završetku godine podnijeti Izvješće o utrošenim sredstvima za 2026. godinu.</w:t>
      </w:r>
    </w:p>
    <w:p w:rsidR="00777ABF" w:rsidRDefault="00777ABF" w:rsidP="00777ABF">
      <w:pPr>
        <w:pStyle w:val="Tijeloteksta"/>
      </w:pPr>
    </w:p>
    <w:p w:rsidR="00777ABF" w:rsidRDefault="00777ABF" w:rsidP="00777ABF">
      <w:pPr>
        <w:jc w:val="center"/>
        <w:rPr>
          <w:b/>
          <w:bCs/>
          <w:sz w:val="24"/>
          <w:szCs w:val="24"/>
        </w:rPr>
      </w:pPr>
      <w:r>
        <w:rPr>
          <w:b/>
          <w:bCs/>
          <w:sz w:val="24"/>
          <w:szCs w:val="24"/>
        </w:rPr>
        <w:t>Članak 5.</w:t>
      </w:r>
    </w:p>
    <w:p w:rsidR="00777ABF" w:rsidRDefault="00777ABF" w:rsidP="00777ABF">
      <w:pPr>
        <w:jc w:val="center"/>
        <w:rPr>
          <w:b/>
          <w:bCs/>
          <w:sz w:val="24"/>
          <w:szCs w:val="24"/>
        </w:rPr>
      </w:pPr>
    </w:p>
    <w:p w:rsidR="00777ABF" w:rsidRDefault="00777ABF" w:rsidP="00777ABF">
      <w:pPr>
        <w:pStyle w:val="Tijeloteksta"/>
        <w:rPr>
          <w:bCs/>
        </w:rPr>
      </w:pPr>
      <w:r>
        <w:rPr>
          <w:bCs/>
        </w:rPr>
        <w:t>Ovaj Program stupa na snagu osmi dan od dana objave u  “Službenom glasniku Općine Gornji Bogićevci“.</w:t>
      </w:r>
    </w:p>
    <w:p w:rsidR="00777ABF" w:rsidRDefault="00777ABF" w:rsidP="00777ABF">
      <w:pPr>
        <w:pStyle w:val="Tijeloteksta"/>
        <w:rPr>
          <w:bCs/>
        </w:rPr>
      </w:pPr>
    </w:p>
    <w:p w:rsidR="00777ABF" w:rsidRDefault="00777ABF" w:rsidP="00777ABF">
      <w:pPr>
        <w:pStyle w:val="Tijeloteksta"/>
        <w:jc w:val="center"/>
        <w:rPr>
          <w:bCs/>
        </w:rPr>
      </w:pPr>
      <w:r>
        <w:rPr>
          <w:b/>
          <w:iCs/>
        </w:rPr>
        <w:t>OPĆINSKO VIJEĆE</w:t>
      </w:r>
      <w:r>
        <w:rPr>
          <w:b/>
          <w:i/>
        </w:rPr>
        <w:t xml:space="preserve">  </w:t>
      </w:r>
      <w:r>
        <w:rPr>
          <w:b/>
          <w:iCs/>
        </w:rPr>
        <w:t>OPĆINE GORNJI BOGIĆEVCI</w:t>
      </w:r>
    </w:p>
    <w:p w:rsidR="00777ABF" w:rsidRDefault="00777ABF" w:rsidP="00777ABF">
      <w:pPr>
        <w:pStyle w:val="Tijeloteksta"/>
        <w:rPr>
          <w:bCs/>
        </w:rPr>
      </w:pPr>
    </w:p>
    <w:p w:rsidR="00777ABF" w:rsidRDefault="00777ABF" w:rsidP="00777ABF">
      <w:pPr>
        <w:jc w:val="both"/>
        <w:rPr>
          <w:bCs/>
          <w:sz w:val="24"/>
          <w:szCs w:val="24"/>
        </w:rPr>
      </w:pPr>
      <w:r>
        <w:rPr>
          <w:bCs/>
          <w:sz w:val="24"/>
          <w:szCs w:val="24"/>
        </w:rPr>
        <w:t>KLASA: 400-05-25-02-01</w:t>
      </w:r>
    </w:p>
    <w:p w:rsidR="00777ABF" w:rsidRDefault="00777ABF" w:rsidP="00777ABF">
      <w:pPr>
        <w:jc w:val="both"/>
        <w:rPr>
          <w:bCs/>
          <w:sz w:val="24"/>
          <w:szCs w:val="24"/>
        </w:rPr>
      </w:pPr>
      <w:r>
        <w:rPr>
          <w:bCs/>
          <w:sz w:val="24"/>
          <w:szCs w:val="24"/>
        </w:rPr>
        <w:t>URBROJ: 2178-22-03-25-01</w:t>
      </w:r>
    </w:p>
    <w:p w:rsidR="00777ABF" w:rsidRDefault="00777ABF" w:rsidP="00777ABF">
      <w:pPr>
        <w:jc w:val="both"/>
        <w:rPr>
          <w:bCs/>
          <w:color w:val="FF0000"/>
          <w:sz w:val="24"/>
          <w:szCs w:val="24"/>
        </w:rPr>
      </w:pPr>
      <w:r>
        <w:rPr>
          <w:bCs/>
          <w:sz w:val="24"/>
          <w:szCs w:val="24"/>
        </w:rPr>
        <w:t>Gornji Bogićevci, 22. prosinca 2025. godine</w:t>
      </w:r>
      <w:r>
        <w:rPr>
          <w:bCs/>
          <w:color w:val="FF0000"/>
          <w:sz w:val="24"/>
          <w:szCs w:val="24"/>
        </w:rPr>
        <w:tab/>
      </w:r>
      <w:r>
        <w:rPr>
          <w:bCs/>
          <w:color w:val="FF0000"/>
          <w:sz w:val="24"/>
          <w:szCs w:val="24"/>
        </w:rPr>
        <w:tab/>
      </w:r>
    </w:p>
    <w:p w:rsidR="00777ABF" w:rsidRDefault="00777ABF" w:rsidP="00777ABF">
      <w:pPr>
        <w:jc w:val="both"/>
        <w:rPr>
          <w:bCs/>
          <w:sz w:val="24"/>
          <w:szCs w:val="24"/>
        </w:rPr>
      </w:pPr>
    </w:p>
    <w:p w:rsidR="00777ABF" w:rsidRDefault="00777ABF" w:rsidP="00777ABF">
      <w:pPr>
        <w:jc w:val="both"/>
        <w:rPr>
          <w:bCs/>
          <w:sz w:val="24"/>
          <w:szCs w:val="24"/>
        </w:rPr>
      </w:pPr>
    </w:p>
    <w:p w:rsidR="00777ABF" w:rsidRDefault="00777ABF" w:rsidP="00777ABF">
      <w:pPr>
        <w:jc w:val="both"/>
        <w:rPr>
          <w:bCs/>
          <w:sz w:val="24"/>
          <w:szCs w:val="24"/>
        </w:rPr>
      </w:pPr>
    </w:p>
    <w:p w:rsidR="00777ABF" w:rsidRDefault="00777ABF" w:rsidP="00777ABF">
      <w:pPr>
        <w:jc w:val="both"/>
        <w:rPr>
          <w:bCs/>
          <w:sz w:val="24"/>
          <w:szCs w:val="24"/>
        </w:rPr>
      </w:pPr>
    </w:p>
    <w:p w:rsidR="00777ABF" w:rsidRDefault="00777ABF" w:rsidP="00777ABF">
      <w:pPr>
        <w:jc w:val="both"/>
        <w:rPr>
          <w:b/>
          <w:bCs/>
          <w:sz w:val="24"/>
          <w:szCs w:val="24"/>
        </w:rPr>
      </w:pPr>
      <w:r>
        <w:rPr>
          <w:bCs/>
          <w:sz w:val="24"/>
          <w:szCs w:val="24"/>
        </w:rPr>
        <w:tab/>
      </w:r>
      <w:r>
        <w:rPr>
          <w:bCs/>
          <w:sz w:val="24"/>
          <w:szCs w:val="24"/>
        </w:rPr>
        <w:tab/>
      </w:r>
      <w:r>
        <w:rPr>
          <w:bCs/>
          <w:sz w:val="24"/>
          <w:szCs w:val="24"/>
        </w:rPr>
        <w:tab/>
      </w:r>
      <w:r>
        <w:rPr>
          <w:b/>
          <w:bCs/>
          <w:sz w:val="24"/>
          <w:szCs w:val="24"/>
        </w:rPr>
        <w:tab/>
      </w:r>
    </w:p>
    <w:p w:rsidR="00777ABF" w:rsidRDefault="00777ABF" w:rsidP="00777ABF">
      <w:pPr>
        <w:jc w:val="right"/>
        <w:rPr>
          <w:sz w:val="24"/>
          <w:szCs w:val="24"/>
        </w:rPr>
      </w:pPr>
      <w:r>
        <w:rPr>
          <w:sz w:val="24"/>
          <w:szCs w:val="24"/>
        </w:rPr>
        <w:t xml:space="preserve">   PREDSJEDNIK OPĆINSKOG VIJEĆA</w:t>
      </w:r>
    </w:p>
    <w:p w:rsidR="00777ABF" w:rsidRDefault="00777ABF" w:rsidP="00777ABF">
      <w:pPr>
        <w:ind w:left="4956" w:firstLine="708"/>
        <w:jc w:val="center"/>
        <w:rPr>
          <w:sz w:val="24"/>
          <w:szCs w:val="24"/>
        </w:rPr>
      </w:pPr>
      <w:r>
        <w:rPr>
          <w:sz w:val="24"/>
          <w:szCs w:val="24"/>
        </w:rPr>
        <w:t>Željko Klarić</w:t>
      </w:r>
    </w:p>
    <w:p w:rsidR="00777ABF" w:rsidRDefault="00777ABF" w:rsidP="00777ABF">
      <w:pPr>
        <w:rPr>
          <w:sz w:val="24"/>
          <w:szCs w:val="24"/>
        </w:rPr>
      </w:pPr>
    </w:p>
    <w:p w:rsidR="00777ABF" w:rsidRDefault="00777ABF" w:rsidP="00777ABF">
      <w:pPr>
        <w:rPr>
          <w:sz w:val="24"/>
          <w:szCs w:val="24"/>
        </w:rPr>
      </w:pPr>
    </w:p>
    <w:p w:rsidR="00777ABF" w:rsidRDefault="00777ABF" w:rsidP="00777ABF">
      <w:pPr>
        <w:rPr>
          <w:sz w:val="24"/>
          <w:szCs w:val="24"/>
        </w:rPr>
      </w:pPr>
    </w:p>
    <w:p w:rsidR="00777ABF" w:rsidRDefault="00777ABF" w:rsidP="00777ABF">
      <w:pPr>
        <w:rPr>
          <w:sz w:val="24"/>
          <w:szCs w:val="24"/>
        </w:rPr>
      </w:pPr>
    </w:p>
    <w:p w:rsidR="00777ABF" w:rsidRDefault="00777ABF" w:rsidP="00777ABF">
      <w:pPr>
        <w:rPr>
          <w:sz w:val="24"/>
          <w:szCs w:val="24"/>
        </w:rPr>
      </w:pPr>
      <w:r>
        <w:rPr>
          <w:sz w:val="24"/>
          <w:szCs w:val="24"/>
        </w:rPr>
        <w:t>Dostaviti:</w:t>
      </w:r>
    </w:p>
    <w:p w:rsidR="00777ABF" w:rsidRDefault="009E4D5A" w:rsidP="009E4D5A">
      <w:pPr>
        <w:spacing w:line="240" w:lineRule="auto"/>
        <w:contextualSpacing/>
        <w:rPr>
          <w:sz w:val="24"/>
          <w:szCs w:val="24"/>
        </w:rPr>
      </w:pPr>
      <w:r>
        <w:rPr>
          <w:sz w:val="24"/>
          <w:szCs w:val="24"/>
        </w:rPr>
        <w:t>1.</w:t>
      </w:r>
      <w:r w:rsidR="00777ABF">
        <w:rPr>
          <w:sz w:val="24"/>
          <w:szCs w:val="24"/>
        </w:rPr>
        <w:t>Jedinstveni upravni odjel</w:t>
      </w:r>
    </w:p>
    <w:p w:rsidR="00777ABF" w:rsidRDefault="009E4D5A" w:rsidP="009E4D5A">
      <w:pPr>
        <w:spacing w:line="240" w:lineRule="auto"/>
        <w:contextualSpacing/>
        <w:rPr>
          <w:sz w:val="24"/>
          <w:szCs w:val="24"/>
        </w:rPr>
      </w:pPr>
      <w:r>
        <w:rPr>
          <w:sz w:val="24"/>
          <w:szCs w:val="24"/>
        </w:rPr>
        <w:t>2.</w:t>
      </w:r>
      <w:r w:rsidR="00777ABF">
        <w:rPr>
          <w:sz w:val="24"/>
          <w:szCs w:val="24"/>
        </w:rPr>
        <w:t>Službeni glasnik Općine Gornji Bogićevci</w:t>
      </w:r>
    </w:p>
    <w:p w:rsidR="00777ABF" w:rsidRDefault="009E4D5A" w:rsidP="009E4D5A">
      <w:pPr>
        <w:spacing w:line="240" w:lineRule="auto"/>
        <w:contextualSpacing/>
        <w:rPr>
          <w:sz w:val="24"/>
          <w:szCs w:val="24"/>
        </w:rPr>
      </w:pPr>
      <w:r>
        <w:rPr>
          <w:sz w:val="24"/>
          <w:szCs w:val="24"/>
        </w:rPr>
        <w:t>4.</w:t>
      </w:r>
      <w:r w:rsidR="00777ABF">
        <w:rPr>
          <w:sz w:val="24"/>
          <w:szCs w:val="24"/>
        </w:rPr>
        <w:t>Ministarstvo prostornog uređenja, graditeljstva i državne imovine</w:t>
      </w:r>
    </w:p>
    <w:p w:rsidR="00777ABF" w:rsidRDefault="009E4D5A" w:rsidP="009E4D5A">
      <w:pPr>
        <w:spacing w:line="240" w:lineRule="auto"/>
        <w:contextualSpacing/>
        <w:rPr>
          <w:sz w:val="24"/>
          <w:szCs w:val="24"/>
        </w:rPr>
      </w:pPr>
      <w:r>
        <w:rPr>
          <w:sz w:val="24"/>
          <w:szCs w:val="24"/>
        </w:rPr>
        <w:lastRenderedPageBreak/>
        <w:t>5.</w:t>
      </w:r>
      <w:r w:rsidR="00777ABF">
        <w:rPr>
          <w:sz w:val="24"/>
          <w:szCs w:val="24"/>
        </w:rPr>
        <w:t>Pismohrana.</w:t>
      </w:r>
    </w:p>
    <w:p w:rsidR="00777ABF" w:rsidRDefault="00777ABF" w:rsidP="00777ABF">
      <w:pPr>
        <w:jc w:val="both"/>
        <w:rPr>
          <w:b/>
          <w:bCs/>
          <w:sz w:val="24"/>
          <w:szCs w:val="24"/>
        </w:rPr>
      </w:pPr>
      <w:r>
        <w:rPr>
          <w:b/>
          <w:bCs/>
          <w:sz w:val="24"/>
          <w:szCs w:val="24"/>
        </w:rPr>
        <w:tab/>
        <w:t xml:space="preserve"> </w:t>
      </w:r>
    </w:p>
    <w:p w:rsidR="00777ABF" w:rsidRDefault="00777ABF" w:rsidP="00777ABF">
      <w:pPr>
        <w:rPr>
          <w:b/>
          <w:bCs/>
          <w:color w:val="000000"/>
          <w:sz w:val="24"/>
          <w:szCs w:val="24"/>
        </w:rPr>
      </w:pPr>
    </w:p>
    <w:p w:rsidR="00777ABF" w:rsidRDefault="00777ABF" w:rsidP="00777ABF">
      <w:pPr>
        <w:rPr>
          <w:b/>
          <w:bCs/>
          <w:color w:val="000000"/>
          <w:sz w:val="24"/>
          <w:szCs w:val="24"/>
        </w:rPr>
      </w:pPr>
    </w:p>
    <w:p w:rsidR="00777ABF" w:rsidRDefault="00777ABF" w:rsidP="00777ABF">
      <w:pPr>
        <w:rPr>
          <w:b/>
          <w:bCs/>
          <w:color w:val="000000"/>
          <w:sz w:val="24"/>
          <w:szCs w:val="24"/>
        </w:rPr>
      </w:pPr>
    </w:p>
    <w:p w:rsidR="00777ABF" w:rsidRDefault="00777ABF" w:rsidP="00777ABF">
      <w:pPr>
        <w:pStyle w:val="Podnaslov0"/>
        <w:rPr>
          <w:rStyle w:val="Istaknuto"/>
          <w:rFonts w:cs="Times New Roman"/>
          <w:b/>
          <w:bCs/>
          <w:i w:val="0"/>
          <w:iCs w:val="0"/>
          <w:color w:val="000000"/>
          <w:sz w:val="24"/>
          <w:szCs w:val="24"/>
        </w:rPr>
      </w:pPr>
      <w:r>
        <w:rPr>
          <w:rStyle w:val="Istaknuto"/>
          <w:rFonts w:cs="Times New Roman"/>
          <w:b/>
          <w:bCs/>
          <w:color w:val="000000"/>
          <w:sz w:val="24"/>
          <w:szCs w:val="24"/>
        </w:rPr>
        <w:t>OBRAZLOŽENJE PLANA UTROŠKA SREDSTAVA OD PRODAJE KUĆA I STANOVA U DRŽAVNOM VLASNIŠTVU NA PODRUČJU OPĆINE GORNJI BOGIĆEVCI U 2026. GODINI</w:t>
      </w:r>
    </w:p>
    <w:p w:rsidR="00777ABF" w:rsidRDefault="00777ABF" w:rsidP="00777ABF">
      <w:pPr>
        <w:rPr>
          <w:b/>
          <w:bCs/>
          <w:color w:val="000000"/>
          <w:sz w:val="24"/>
          <w:szCs w:val="24"/>
        </w:rPr>
      </w:pPr>
    </w:p>
    <w:p w:rsidR="00777ABF" w:rsidRDefault="00777ABF" w:rsidP="00777ABF">
      <w:pPr>
        <w:rPr>
          <w:color w:val="000000"/>
          <w:sz w:val="24"/>
          <w:szCs w:val="24"/>
        </w:rPr>
      </w:pPr>
      <w:r>
        <w:rPr>
          <w:color w:val="000000"/>
          <w:sz w:val="24"/>
          <w:szCs w:val="24"/>
        </w:rPr>
        <w:t xml:space="preserve">Zakonom o stambenom zbrinjavanju </w:t>
      </w:r>
      <w:r>
        <w:rPr>
          <w:bCs/>
          <w:color w:val="000000"/>
          <w:sz w:val="24"/>
          <w:szCs w:val="24"/>
        </w:rPr>
        <w:t xml:space="preserve">(“Narodne novine” broj 106/18, 98/19 i 82/23) te </w:t>
      </w:r>
      <w:r>
        <w:rPr>
          <w:color w:val="000000"/>
          <w:sz w:val="24"/>
          <w:szCs w:val="24"/>
        </w:rPr>
        <w:t xml:space="preserve">Uredbom o uvjetima za kupnju obiteljske kuće ili stana u državnom vlasništvu na potpomognutim područjima („Narodne novine“ broj 19/11, 56/11, 3/13 i 24/19) propisano je da su sredstva od prodaje kuća i stanova u vlasništvu RH prihod jedinice lokalne samouprave na području na kojem se kuća ili stan nalaze te da se navedena sredstva mogu koristiti za izgradnju i obnovu komunalne infrastrukture, stambeno zbrinjavanje, izgradnju socijalnih stanova i podizanje standarda stambenog fonda. </w:t>
      </w:r>
    </w:p>
    <w:p w:rsidR="00777ABF" w:rsidRDefault="00777ABF" w:rsidP="00777ABF">
      <w:pPr>
        <w:rPr>
          <w:sz w:val="24"/>
          <w:szCs w:val="24"/>
        </w:rPr>
      </w:pPr>
      <w:r>
        <w:rPr>
          <w:color w:val="000000"/>
          <w:sz w:val="24"/>
          <w:szCs w:val="24"/>
        </w:rPr>
        <w:t>Propisano je također da su jedinice lokalne samouprave dužne izraditi Plan utroška sredstava i dostaviti ga Ministarstvu prostornog uređenja, graditeljstva i državne imovine, te po završetku godine dostaviti Izvješće o utrošenim sredstvima.</w:t>
      </w:r>
    </w:p>
    <w:p w:rsidR="00777ABF" w:rsidRDefault="00777ABF" w:rsidP="00777ABF"/>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777ABF">
      <w:pPr>
        <w:pStyle w:val="Tijeloteksta"/>
      </w:pPr>
      <w:r>
        <w:lastRenderedPageBreak/>
        <w:t xml:space="preserve">                    </w:t>
      </w:r>
      <w:r>
        <w:rPr>
          <w:noProof/>
        </w:rPr>
        <w:drawing>
          <wp:inline distT="0" distB="0" distL="0" distR="0">
            <wp:extent cx="484505" cy="642620"/>
            <wp:effectExtent l="0" t="0" r="0" b="5080"/>
            <wp:docPr id="2067392479" name="Slika 2067392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777ABF" w:rsidRDefault="00777ABF" w:rsidP="00777ABF">
      <w:pPr>
        <w:pStyle w:val="Tijeloteksta"/>
        <w:ind w:firstLine="720"/>
      </w:pP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REPUBLIKA HRVATSKA</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BRODSKO-POSAVSKA ŽUPANIJA</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OPĆINA GORNJI BOGIĆEVCI</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OPĆINSKO VIJEĆE</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35429 Gornji Bogićevci</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OIB: 89414039518</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Tel: 035/375-056</w:t>
      </w:r>
    </w:p>
    <w:p w:rsidR="00777ABF" w:rsidRDefault="00777ABF" w:rsidP="00777ABF">
      <w:pPr>
        <w:spacing w:after="0"/>
        <w:rPr>
          <w:rFonts w:ascii="Times New Roman" w:hAnsi="Times New Roman" w:cs="Times New Roman"/>
          <w:sz w:val="24"/>
          <w:szCs w:val="24"/>
        </w:rPr>
      </w:pPr>
    </w:p>
    <w:p w:rsidR="00777ABF" w:rsidRDefault="00777ABF" w:rsidP="00777ABF">
      <w:pPr>
        <w:pStyle w:val="Tijeloteksta"/>
        <w:ind w:firstLine="708"/>
        <w:rPr>
          <w:b/>
        </w:rPr>
      </w:pPr>
      <w:r>
        <w:t>Na temelju članka 67. stavak 1. Zakona o komunalnom gospodarstvu (“Narodne novine” broj 68/18, 110/18 i 32/20), a u vezi s člankom 19. Zakona o lokalnoj i područnoj (regionalnoj) samoupravi („Narodne novine“ broj</w:t>
      </w:r>
      <w:r>
        <w:rPr>
          <w:rStyle w:val="apple-converted-space"/>
        </w:rPr>
        <w:t xml:space="preserve"> 33/01, 60/01, 129/05, 109/07, 125/08, 36/09, 36/09, 150/11, 144/12, 19/13, 137/15, 123/17, 98/19 i 144/20), </w:t>
      </w:r>
      <w:r>
        <w:t>te članka 39. stavak 5 Statuta općine Gornji Bogićevci („Službeni glasnik Općine Gornji Bogićevci“, broj 02/21, Općinsko vijeće općine Gornji Bogićevci na svojoj 5</w:t>
      </w:r>
      <w:r>
        <w:rPr>
          <w:color w:val="FF0000"/>
        </w:rPr>
        <w:t>.</w:t>
      </w:r>
      <w:r>
        <w:rPr>
          <w:color w:val="000000" w:themeColor="text1"/>
        </w:rPr>
        <w:t xml:space="preserve"> sjednici održanoj 22.12.2025. godine, </w:t>
      </w:r>
      <w:r>
        <w:t>donosi</w:t>
      </w:r>
    </w:p>
    <w:p w:rsidR="00777ABF" w:rsidRDefault="00777ABF" w:rsidP="00777ABF">
      <w:pPr>
        <w:spacing w:after="0" w:line="240" w:lineRule="auto"/>
        <w:jc w:val="center"/>
        <w:rPr>
          <w:rFonts w:ascii="Times New Roman" w:eastAsia="Times New Roman" w:hAnsi="Times New Roman" w:cs="Times New Roman"/>
          <w:b/>
          <w:sz w:val="24"/>
          <w:szCs w:val="24"/>
          <w:lang w:eastAsia="hr-HR"/>
        </w:rPr>
      </w:pPr>
    </w:p>
    <w:p w:rsidR="00777ABF" w:rsidRDefault="00777ABF" w:rsidP="00777ABF">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b/>
          <w:sz w:val="24"/>
          <w:szCs w:val="24"/>
          <w:lang w:eastAsia="hr-HR"/>
        </w:rPr>
        <w:t>PROGRAM GRAĐENJA KOMUNALNE INFRASTRUKTURE ZA 2026. GODINU</w:t>
      </w:r>
    </w:p>
    <w:p w:rsidR="00777ABF" w:rsidRDefault="00777ABF" w:rsidP="00777ABF">
      <w:pPr>
        <w:spacing w:after="0" w:line="240" w:lineRule="auto"/>
        <w:jc w:val="center"/>
        <w:rPr>
          <w:rFonts w:ascii="Times New Roman" w:hAnsi="Times New Roman" w:cs="Times New Roman"/>
          <w:b/>
          <w:sz w:val="24"/>
          <w:szCs w:val="24"/>
        </w:rPr>
      </w:pPr>
    </w:p>
    <w:p w:rsidR="00777ABF" w:rsidRDefault="00777ABF" w:rsidP="00777AB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1</w:t>
      </w:r>
      <w:r>
        <w:rPr>
          <w:rFonts w:ascii="Times New Roman" w:hAnsi="Times New Roman" w:cs="Times New Roman"/>
          <w:sz w:val="24"/>
          <w:szCs w:val="24"/>
        </w:rPr>
        <w:t>.</w:t>
      </w:r>
    </w:p>
    <w:p w:rsidR="00777ABF" w:rsidRDefault="00777ABF" w:rsidP="00777ABF">
      <w:pPr>
        <w:spacing w:after="0" w:line="240" w:lineRule="auto"/>
        <w:jc w:val="center"/>
        <w:rPr>
          <w:rFonts w:ascii="Times New Roman" w:hAnsi="Times New Roman" w:cs="Times New Roman"/>
          <w:sz w:val="24"/>
          <w:szCs w:val="24"/>
        </w:rPr>
      </w:pPr>
    </w:p>
    <w:p w:rsidR="00777ABF" w:rsidRDefault="00777ABF" w:rsidP="00777A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Programom građenja komunalne infrastrukture za 2026. godinu (u daljnjem tekstu: Program) određuje se:</w:t>
      </w:r>
    </w:p>
    <w:p w:rsidR="00777ABF" w:rsidRDefault="00777ABF"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Građevine komunalne infrastrukture koje će se graditi radi uređenja neuređenih dijelova građevinskih područja </w:t>
      </w:r>
    </w:p>
    <w:p w:rsidR="00777ABF" w:rsidRDefault="00777ABF"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graditi u uređenim dijelovima građevinskog područja</w:t>
      </w:r>
    </w:p>
    <w:p w:rsidR="00777ABF" w:rsidRDefault="00777ABF"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graditi izvan građevinskog područja</w:t>
      </w:r>
    </w:p>
    <w:p w:rsidR="00777ABF" w:rsidRDefault="00777ABF"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Postojeće građevine komunalne infrastrukture koje će se rekonstruirati i način rekonstrukcije</w:t>
      </w:r>
    </w:p>
    <w:p w:rsidR="00777ABF" w:rsidRDefault="00777ABF"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Građevine komunalne infrastrukture koje će se uklanjati</w:t>
      </w:r>
    </w:p>
    <w:p w:rsidR="00777ABF" w:rsidRDefault="00777ABF" w:rsidP="00A66748">
      <w:pPr>
        <w:numPr>
          <w:ilvl w:val="0"/>
          <w:numId w:val="16"/>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Druga pitanja određena Zakonom o komunalnom gospodarstvu (“Narodne novine” broj 68/18, 110/18 i 32/20)</w:t>
      </w:r>
    </w:p>
    <w:p w:rsidR="00777ABF" w:rsidRDefault="00777ABF" w:rsidP="00777ABF">
      <w:pPr>
        <w:spacing w:after="0" w:line="240" w:lineRule="auto"/>
        <w:ind w:left="360"/>
        <w:jc w:val="both"/>
        <w:rPr>
          <w:rFonts w:ascii="Times New Roman" w:eastAsia="Times New Roman" w:hAnsi="Times New Roman" w:cs="Times New Roman"/>
          <w:sz w:val="24"/>
          <w:szCs w:val="24"/>
          <w:lang w:eastAsia="hr-HR"/>
        </w:rPr>
      </w:pPr>
    </w:p>
    <w:p w:rsidR="00777ABF" w:rsidRDefault="00777ABF" w:rsidP="00777ABF">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Članak 2</w:t>
      </w:r>
      <w:r>
        <w:rPr>
          <w:rFonts w:ascii="Times New Roman" w:hAnsi="Times New Roman" w:cs="Times New Roman"/>
          <w:sz w:val="24"/>
          <w:szCs w:val="24"/>
        </w:rPr>
        <w:t>.</w:t>
      </w:r>
    </w:p>
    <w:p w:rsidR="00777ABF" w:rsidRDefault="00777ABF" w:rsidP="00777ABF">
      <w:pPr>
        <w:spacing w:after="0" w:line="240" w:lineRule="auto"/>
        <w:jc w:val="center"/>
        <w:rPr>
          <w:rFonts w:ascii="Times New Roman" w:hAnsi="Times New Roman" w:cs="Times New Roman"/>
          <w:sz w:val="24"/>
          <w:szCs w:val="24"/>
        </w:rPr>
      </w:pPr>
    </w:p>
    <w:p w:rsidR="00777ABF" w:rsidRDefault="00777ABF" w:rsidP="00777ABF">
      <w:pPr>
        <w:tabs>
          <w:tab w:val="left" w:pos="244"/>
        </w:tabs>
        <w:spacing w:line="276" w:lineRule="auto"/>
        <w:ind w:left="244"/>
        <w:rPr>
          <w:rFonts w:ascii="Times New Roman" w:hAnsi="Times New Roman" w:cs="Times New Roman"/>
          <w:sz w:val="24"/>
          <w:szCs w:val="24"/>
        </w:rPr>
      </w:pPr>
      <w:r>
        <w:rPr>
          <w:rFonts w:ascii="Times New Roman" w:hAnsi="Times New Roman" w:cs="Times New Roman"/>
          <w:sz w:val="24"/>
          <w:szCs w:val="24"/>
        </w:rPr>
        <w:t xml:space="preserve">     Građevine komunalne infrastrukture su:</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nerazvrstane ceste</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javne prometne površine na kojima nije dopušten promet motornih vozila (nogostupi, biciklističke staze, trgovi)</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javna parkirališta</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javne zelene površine (parkovi, drvoredi, dječja igrališta, športski i rekreacijski prostori)</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građevine i uređaji javne namjene (nadstrešnice, zdenci, fontane, javni zahodi, spomenici)</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javna rasvjeta</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t>groblja i krematoriji na grobljima,</w:t>
      </w:r>
    </w:p>
    <w:p w:rsidR="00777ABF" w:rsidRDefault="00777ABF" w:rsidP="00A66748">
      <w:pPr>
        <w:numPr>
          <w:ilvl w:val="0"/>
          <w:numId w:val="17"/>
        </w:numPr>
        <w:tabs>
          <w:tab w:val="left" w:pos="244"/>
        </w:tabs>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građevine namijenjene obavljanju javnog prijevoza.</w:t>
      </w:r>
    </w:p>
    <w:p w:rsidR="00777ABF" w:rsidRDefault="00777ABF" w:rsidP="00777ABF">
      <w:pPr>
        <w:spacing w:after="0" w:line="240" w:lineRule="auto"/>
        <w:rPr>
          <w:rFonts w:ascii="Times New Roman" w:eastAsia="Times New Roman" w:hAnsi="Times New Roman" w:cs="Times New Roman"/>
          <w:b/>
          <w:sz w:val="24"/>
          <w:szCs w:val="24"/>
          <w:lang w:eastAsia="hr-HR"/>
        </w:rPr>
      </w:pPr>
    </w:p>
    <w:p w:rsidR="00777ABF" w:rsidRDefault="00777ABF" w:rsidP="00777ABF">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Članak 3.</w:t>
      </w:r>
    </w:p>
    <w:p w:rsidR="00777ABF" w:rsidRDefault="00777ABF" w:rsidP="00777ABF">
      <w:pPr>
        <w:keepNext/>
        <w:spacing w:after="0" w:line="240" w:lineRule="auto"/>
        <w:jc w:val="both"/>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r>
    </w:p>
    <w:p w:rsidR="00777ABF" w:rsidRDefault="00777ABF" w:rsidP="00777ABF">
      <w:pPr>
        <w:keepNext/>
        <w:spacing w:after="0" w:line="240" w:lineRule="auto"/>
        <w:jc w:val="both"/>
        <w:outlineLvl w:val="0"/>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 2026. godini gradnja komunalne infrastrukture iz članka 2. ovog Programa obuhvaća slijedeće:</w:t>
      </w:r>
    </w:p>
    <w:p w:rsidR="00777ABF" w:rsidRDefault="00777ABF" w:rsidP="00777ABF">
      <w:pPr>
        <w:keepNext/>
        <w:spacing w:after="0" w:line="240" w:lineRule="auto"/>
        <w:jc w:val="both"/>
        <w:outlineLvl w:val="0"/>
        <w:rPr>
          <w:rFonts w:ascii="Times New Roman" w:eastAsia="Times New Roman" w:hAnsi="Times New Roman" w:cs="Times New Roman"/>
          <w:sz w:val="24"/>
          <w:szCs w:val="24"/>
          <w:lang w:eastAsia="hr-HR"/>
        </w:rPr>
      </w:pPr>
    </w:p>
    <w:p w:rsidR="00777ABF" w:rsidRDefault="00777ABF" w:rsidP="00777ABF">
      <w:pPr>
        <w:keepNext/>
        <w:spacing w:after="0" w:line="240" w:lineRule="auto"/>
        <w:jc w:val="both"/>
        <w:outlineLvl w:val="0"/>
        <w:rPr>
          <w:rFonts w:ascii="Times New Roman" w:eastAsia="Times New Roman" w:hAnsi="Times New Roman" w:cs="Times New Roman"/>
          <w:sz w:val="24"/>
          <w:szCs w:val="24"/>
          <w:lang w:eastAsia="hr-HR"/>
        </w:rPr>
      </w:pPr>
    </w:p>
    <w:p w:rsidR="00777ABF" w:rsidRDefault="00777ABF" w:rsidP="00A66748">
      <w:pPr>
        <w:numPr>
          <w:ilvl w:val="0"/>
          <w:numId w:val="18"/>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Građevine komunalne infrastrukture koje će se graditi radi uređenja neuređenih dijelova građevinskih područja </w:t>
      </w:r>
    </w:p>
    <w:p w:rsidR="00777ABF" w:rsidRDefault="00777ABF" w:rsidP="00777ABF">
      <w:pPr>
        <w:pStyle w:val="Odlomakpopisa"/>
        <w:keepNext/>
        <w:spacing w:after="0" w:line="240" w:lineRule="auto"/>
        <w:jc w:val="both"/>
        <w:outlineLvl w:val="0"/>
        <w:rPr>
          <w:rFonts w:ascii="Times New Roman" w:eastAsia="Times New Roman" w:hAnsi="Times New Roman" w:cs="Times New Roman"/>
          <w:sz w:val="24"/>
          <w:szCs w:val="24"/>
          <w:lang w:eastAsia="hr-HR"/>
        </w:rPr>
      </w:pP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4602"/>
        <w:gridCol w:w="3463"/>
      </w:tblGrid>
      <w:tr w:rsidR="00777ABF" w:rsidTr="00F57898">
        <w:trPr>
          <w:trHeight w:val="373"/>
        </w:trPr>
        <w:tc>
          <w:tcPr>
            <w:tcW w:w="0" w:type="auto"/>
          </w:tcPr>
          <w:p w:rsidR="00777ABF" w:rsidRDefault="00777ABF" w:rsidP="00F57898">
            <w:pPr>
              <w:jc w:val="center"/>
              <w:rPr>
                <w:rFonts w:ascii="Times New Roman" w:hAnsi="Times New Roman" w:cs="Times New Roman"/>
                <w:sz w:val="24"/>
                <w:szCs w:val="24"/>
              </w:rPr>
            </w:pPr>
            <w:r>
              <w:rPr>
                <w:rFonts w:ascii="Times New Roman" w:hAnsi="Times New Roman" w:cs="Times New Roman"/>
                <w:sz w:val="24"/>
                <w:szCs w:val="24"/>
              </w:rPr>
              <w:t>1.</w:t>
            </w:r>
          </w:p>
        </w:tc>
        <w:tc>
          <w:tcPr>
            <w:tcW w:w="8065" w:type="dxa"/>
            <w:gridSpan w:val="2"/>
          </w:tcPr>
          <w:p w:rsidR="00777ABF" w:rsidRDefault="00777ABF" w:rsidP="00F57898">
            <w:pPr>
              <w:jc w:val="center"/>
              <w:rPr>
                <w:rFonts w:ascii="Times New Roman" w:hAnsi="Times New Roman" w:cs="Times New Roman"/>
                <w:sz w:val="24"/>
                <w:szCs w:val="24"/>
              </w:rPr>
            </w:pPr>
            <w:r>
              <w:rPr>
                <w:rFonts w:ascii="Times New Roman" w:hAnsi="Times New Roman" w:cs="Times New Roman"/>
                <w:b/>
                <w:bCs/>
                <w:sz w:val="24"/>
                <w:szCs w:val="24"/>
              </w:rPr>
              <w:t>GRAĐEVINE KOMUNALNE INFRASTRUKTURE KOJE ĆE SE GRADITI RADI UREĐENJA NEUREĐENIH DIJELOVA GRAĐEVINSKOG PODRUČJA</w:t>
            </w:r>
          </w:p>
        </w:tc>
      </w:tr>
      <w:tr w:rsidR="00777ABF" w:rsidTr="00F57898">
        <w:trPr>
          <w:trHeight w:val="373"/>
        </w:trPr>
        <w:tc>
          <w:tcPr>
            <w:tcW w:w="0" w:type="auto"/>
          </w:tcPr>
          <w:p w:rsidR="00777ABF" w:rsidRDefault="00777ABF" w:rsidP="00F57898">
            <w:pPr>
              <w:jc w:val="center"/>
              <w:rPr>
                <w:rFonts w:ascii="Times New Roman" w:hAnsi="Times New Roman" w:cs="Times New Roman"/>
                <w:sz w:val="24"/>
                <w:szCs w:val="24"/>
              </w:rPr>
            </w:pPr>
            <w:r>
              <w:rPr>
                <w:rFonts w:ascii="Times New Roman" w:hAnsi="Times New Roman" w:cs="Times New Roman"/>
                <w:sz w:val="24"/>
                <w:szCs w:val="24"/>
              </w:rPr>
              <w:t>1.1.</w:t>
            </w:r>
          </w:p>
        </w:tc>
        <w:tc>
          <w:tcPr>
            <w:tcW w:w="4602" w:type="dxa"/>
          </w:tcPr>
          <w:p w:rsidR="00777ABF" w:rsidRDefault="00777ABF" w:rsidP="00F57898">
            <w:pPr>
              <w:jc w:val="center"/>
              <w:rPr>
                <w:rFonts w:ascii="Times New Roman" w:hAnsi="Times New Roman" w:cs="Times New Roman"/>
                <w:b/>
                <w:bCs/>
                <w:sz w:val="24"/>
                <w:szCs w:val="24"/>
              </w:rPr>
            </w:pPr>
            <w:r>
              <w:rPr>
                <w:rFonts w:ascii="Times New Roman" w:hAnsi="Times New Roman" w:cs="Times New Roman"/>
                <w:b/>
                <w:bCs/>
                <w:sz w:val="24"/>
                <w:szCs w:val="24"/>
              </w:rPr>
              <w:t>NERAZVRSTANE CESTE</w:t>
            </w:r>
          </w:p>
        </w:tc>
        <w:tc>
          <w:tcPr>
            <w:tcW w:w="3463" w:type="dxa"/>
          </w:tcPr>
          <w:p w:rsidR="00777ABF" w:rsidRDefault="00777ABF" w:rsidP="00F57898">
            <w:pPr>
              <w:jc w:val="center"/>
              <w:rPr>
                <w:rFonts w:ascii="Times New Roman" w:hAnsi="Times New Roman" w:cs="Times New Roman"/>
                <w:sz w:val="24"/>
                <w:szCs w:val="24"/>
              </w:rPr>
            </w:pPr>
            <w:r>
              <w:rPr>
                <w:rFonts w:ascii="Times New Roman" w:hAnsi="Times New Roman" w:cs="Times New Roman"/>
                <w:sz w:val="24"/>
                <w:szCs w:val="24"/>
              </w:rPr>
              <w:t>PLANIRANO</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prilazne ceste i mosta na potoku Draževac</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40 Prihod od komunalne naknade: 20.000,00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20.000,00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ceste Stari kraj – groblje LU Vepar</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11 Opći prihodi i primici: 20.000,00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20.000,00</w:t>
            </w:r>
          </w:p>
        </w:tc>
      </w:tr>
      <w:tr w:rsidR="00777ABF" w:rsidTr="00F57898">
        <w:trPr>
          <w:trHeight w:val="381"/>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jc w:val="center"/>
              <w:rPr>
                <w:rFonts w:ascii="Times New Roman" w:hAnsi="Times New Roman" w:cs="Times New Roman"/>
                <w:b/>
                <w:bCs/>
                <w:sz w:val="24"/>
                <w:szCs w:val="24"/>
              </w:rPr>
            </w:pPr>
            <w:r>
              <w:rPr>
                <w:rFonts w:ascii="Times New Roman" w:hAnsi="Times New Roman" w:cs="Times New Roman"/>
                <w:b/>
                <w:bCs/>
                <w:sz w:val="24"/>
                <w:szCs w:val="24"/>
              </w:rPr>
              <w:t>UKUPNO</w:t>
            </w:r>
          </w:p>
        </w:tc>
        <w:tc>
          <w:tcPr>
            <w:tcW w:w="3463" w:type="dxa"/>
          </w:tcPr>
          <w:p w:rsidR="00777ABF" w:rsidRDefault="00777ABF" w:rsidP="00F57898">
            <w:pPr>
              <w:jc w:val="right"/>
              <w:rPr>
                <w:rFonts w:ascii="Times New Roman" w:hAnsi="Times New Roman" w:cs="Times New Roman"/>
                <w:b/>
                <w:bCs/>
                <w:sz w:val="24"/>
                <w:szCs w:val="24"/>
              </w:rPr>
            </w:pPr>
            <w:r>
              <w:rPr>
                <w:rFonts w:ascii="Times New Roman" w:hAnsi="Times New Roman" w:cs="Times New Roman"/>
                <w:b/>
                <w:bCs/>
                <w:sz w:val="24"/>
                <w:szCs w:val="24"/>
              </w:rPr>
              <w:t>40.000,00</w:t>
            </w:r>
          </w:p>
        </w:tc>
      </w:tr>
    </w:tbl>
    <w:p w:rsidR="00777ABF" w:rsidRDefault="00777ABF" w:rsidP="00777ABF">
      <w:pPr>
        <w:keepNext/>
        <w:spacing w:after="0" w:line="240" w:lineRule="auto"/>
        <w:jc w:val="both"/>
        <w:outlineLvl w:val="0"/>
        <w:rPr>
          <w:rFonts w:ascii="Times New Roman" w:eastAsia="Times New Roman" w:hAnsi="Times New Roman" w:cs="Times New Roman"/>
          <w:sz w:val="24"/>
          <w:szCs w:val="24"/>
          <w:lang w:eastAsia="hr-HR"/>
        </w:rPr>
      </w:pPr>
    </w:p>
    <w:p w:rsidR="00777ABF" w:rsidRDefault="00777ABF" w:rsidP="00A66748">
      <w:pPr>
        <w:pStyle w:val="Odlomakpopisa"/>
        <w:numPr>
          <w:ilvl w:val="0"/>
          <w:numId w:val="18"/>
        </w:numPr>
        <w:spacing w:after="0" w:line="240" w:lineRule="auto"/>
        <w:jc w:val="both"/>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Građevine komunalne infrastrukture koje će se graditi u uređenim dijelovima građevinskog područja</w:t>
      </w:r>
    </w:p>
    <w:p w:rsidR="00777ABF" w:rsidRDefault="00777ABF" w:rsidP="00777ABF">
      <w:pPr>
        <w:spacing w:after="0" w:line="240" w:lineRule="auto"/>
        <w:jc w:val="both"/>
        <w:rPr>
          <w:rFonts w:ascii="Times New Roman" w:eastAsia="Times New Roman" w:hAnsi="Times New Roman" w:cs="Times New Roman"/>
          <w:b/>
          <w:bCs/>
          <w:sz w:val="24"/>
          <w:szCs w:val="24"/>
          <w:lang w:eastAsia="hr-HR"/>
        </w:rPr>
      </w:pPr>
    </w:p>
    <w:tbl>
      <w:tblPr>
        <w:tblW w:w="8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0"/>
        <w:gridCol w:w="4602"/>
        <w:gridCol w:w="3463"/>
      </w:tblGrid>
      <w:tr w:rsidR="00777ABF" w:rsidTr="00F57898">
        <w:trPr>
          <w:trHeight w:val="373"/>
        </w:trPr>
        <w:tc>
          <w:tcPr>
            <w:tcW w:w="0" w:type="auto"/>
          </w:tcPr>
          <w:p w:rsidR="00777ABF" w:rsidRDefault="00777ABF" w:rsidP="00F57898">
            <w:pPr>
              <w:jc w:val="center"/>
              <w:rPr>
                <w:rFonts w:ascii="Times New Roman" w:hAnsi="Times New Roman" w:cs="Times New Roman"/>
                <w:sz w:val="24"/>
                <w:szCs w:val="24"/>
              </w:rPr>
            </w:pPr>
            <w:r>
              <w:rPr>
                <w:rFonts w:ascii="Times New Roman" w:hAnsi="Times New Roman" w:cs="Times New Roman"/>
                <w:sz w:val="24"/>
                <w:szCs w:val="24"/>
              </w:rPr>
              <w:t>2.</w:t>
            </w:r>
          </w:p>
        </w:tc>
        <w:tc>
          <w:tcPr>
            <w:tcW w:w="8065" w:type="dxa"/>
            <w:gridSpan w:val="2"/>
          </w:tcPr>
          <w:p w:rsidR="00777ABF" w:rsidRDefault="00777ABF" w:rsidP="00F57898">
            <w:pPr>
              <w:jc w:val="center"/>
              <w:rPr>
                <w:rFonts w:ascii="Times New Roman" w:hAnsi="Times New Roman" w:cs="Times New Roman"/>
                <w:sz w:val="24"/>
                <w:szCs w:val="24"/>
              </w:rPr>
            </w:pPr>
            <w:r>
              <w:rPr>
                <w:rFonts w:ascii="Times New Roman" w:hAnsi="Times New Roman" w:cs="Times New Roman"/>
                <w:b/>
                <w:bCs/>
                <w:sz w:val="24"/>
                <w:szCs w:val="24"/>
              </w:rPr>
              <w:t>GRAĐEVINE KOMUNALNE INFRASTRUKTURE KOJE ĆE SE GRADITI U UREĐENIM DIJELOVIMA GRAĐEVINSKOG PODRUČJA</w:t>
            </w:r>
          </w:p>
        </w:tc>
      </w:tr>
      <w:tr w:rsidR="00777ABF" w:rsidTr="00F57898">
        <w:trPr>
          <w:trHeight w:val="373"/>
        </w:trPr>
        <w:tc>
          <w:tcPr>
            <w:tcW w:w="0" w:type="auto"/>
          </w:tcPr>
          <w:p w:rsidR="00777ABF" w:rsidRDefault="00777ABF" w:rsidP="00F57898">
            <w:pPr>
              <w:jc w:val="center"/>
              <w:rPr>
                <w:rFonts w:ascii="Times New Roman" w:hAnsi="Times New Roman" w:cs="Times New Roman"/>
                <w:sz w:val="24"/>
                <w:szCs w:val="24"/>
              </w:rPr>
            </w:pPr>
            <w:r>
              <w:rPr>
                <w:rFonts w:ascii="Times New Roman" w:hAnsi="Times New Roman" w:cs="Times New Roman"/>
                <w:sz w:val="24"/>
                <w:szCs w:val="24"/>
              </w:rPr>
              <w:t>2.1.</w:t>
            </w:r>
          </w:p>
        </w:tc>
        <w:tc>
          <w:tcPr>
            <w:tcW w:w="4602" w:type="dxa"/>
          </w:tcPr>
          <w:p w:rsidR="00777ABF" w:rsidRDefault="00777ABF" w:rsidP="00F57898">
            <w:pPr>
              <w:jc w:val="center"/>
              <w:rPr>
                <w:rFonts w:ascii="Times New Roman" w:hAnsi="Times New Roman" w:cs="Times New Roman"/>
                <w:b/>
                <w:bCs/>
                <w:sz w:val="24"/>
                <w:szCs w:val="24"/>
              </w:rPr>
            </w:pPr>
            <w:r>
              <w:rPr>
                <w:rFonts w:ascii="Times New Roman" w:hAnsi="Times New Roman" w:cs="Times New Roman"/>
                <w:b/>
                <w:bCs/>
                <w:sz w:val="24"/>
                <w:szCs w:val="24"/>
              </w:rPr>
              <w:t>JAVNE ZELENE POVRŠINE</w:t>
            </w:r>
          </w:p>
        </w:tc>
        <w:tc>
          <w:tcPr>
            <w:tcW w:w="3463" w:type="dxa"/>
          </w:tcPr>
          <w:p w:rsidR="00777ABF" w:rsidRDefault="00777ABF" w:rsidP="00F57898">
            <w:pPr>
              <w:jc w:val="center"/>
              <w:rPr>
                <w:rFonts w:ascii="Times New Roman" w:hAnsi="Times New Roman" w:cs="Times New Roman"/>
                <w:sz w:val="24"/>
                <w:szCs w:val="24"/>
              </w:rPr>
            </w:pPr>
            <w:r>
              <w:rPr>
                <w:rFonts w:ascii="Times New Roman" w:hAnsi="Times New Roman" w:cs="Times New Roman"/>
                <w:sz w:val="24"/>
                <w:szCs w:val="24"/>
              </w:rPr>
              <w:t>PLANIRANO</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dječjeg igrališta u naselju Trnava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11 Opći prihodi i primici: 55.000,00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41 Prihodi za posebne namjene: 2.500,00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57.500,00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 xml:space="preserve">   </w:t>
            </w: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Uređenje okoliša Društvenog doma Smrtić-Ratkovac i izgradnja nadstrešnice</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lastRenderedPageBreak/>
              <w:t>Izvor 50 Pomoći iz državnog proračuna 19.200,00</w:t>
            </w:r>
          </w:p>
          <w:p w:rsidR="00777ABF" w:rsidRDefault="00777ABF" w:rsidP="00F57898">
            <w:pPr>
              <w:rPr>
                <w:rFonts w:ascii="Times New Roman" w:hAnsi="Times New Roman" w:cs="Times New Roman"/>
                <w:sz w:val="24"/>
                <w:szCs w:val="24"/>
              </w:rPr>
            </w:pP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lastRenderedPageBreak/>
              <w:t>19.200,00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 xml:space="preserve">Zelena infrastruktura – javne površine </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nadzor,proejtkna dokumentacija)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40 Prihod od komunalne naknade: 30.000,00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44 Prihod od grobne naknade: 10.000,00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40.000,00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 xml:space="preserve">Ulaganje u prometnu infrastrukturu </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nadzor,projetkna dokumentacija)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50 Pomoći iz državnog proračuna: 18.000,00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11 Opći prihodi i primici: 2.000,00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 xml:space="preserve">Izvor 50 Pomoći iz državnog proračuna: </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5.000,00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25.000,00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2.2.</w:t>
            </w: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GRAĐEVINE I UREĐAJI JAVNE NAMJENE</w:t>
            </w:r>
          </w:p>
        </w:tc>
        <w:tc>
          <w:tcPr>
            <w:tcW w:w="3463" w:type="dxa"/>
          </w:tcPr>
          <w:p w:rsidR="00777ABF" w:rsidRDefault="00777ABF" w:rsidP="00F57898">
            <w:pPr>
              <w:jc w:val="right"/>
              <w:rPr>
                <w:rFonts w:ascii="Times New Roman" w:hAnsi="Times New Roman" w:cs="Times New Roman"/>
                <w:sz w:val="24"/>
                <w:szCs w:val="24"/>
              </w:rPr>
            </w:pP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Uređenje centra Općine (završetak radova)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50 Pomoći: 50.000,00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50,000,00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i opremanje dječjeg vrtića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(izgradnja, nadzor)</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11 Opći prihodi i primici: 50.000,00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45 Prihodi od šumskog doprinosa: 10.000,00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71: Prihodi od prodaje ili zamjene nefinancijske imovine: 10.000,00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70.000,00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Uređenje parkirališta kod doma Kosovac</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41 Prihodi za posebne namjene: 15.310,00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40 Prihod od komunalne naknade: 15.000,00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lastRenderedPageBreak/>
              <w:t>Izvor 44 Prihod od grobne naknade: 1.690,00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50 Pomoći iz državnog proračuna: 20.000,00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50 Pomoći iz državnog proračuna: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24.000,00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lastRenderedPageBreak/>
              <w:t>76.000,00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Uređenje – Dom Smrtić</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50 Pomoći iz državnog proračuna: 10.000,00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10.000,00</w:t>
            </w:r>
          </w:p>
        </w:tc>
      </w:tr>
      <w:tr w:rsidR="00777ABF" w:rsidTr="00F57898">
        <w:trPr>
          <w:trHeight w:val="1072"/>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Uređenje – HSD GB</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50 Pomoći iz državnog proračuna: 20.000,00</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Izvor 52 Pomoći iz županijskog proračuna:</w:t>
            </w:r>
          </w:p>
          <w:p w:rsidR="00777ABF" w:rsidRDefault="00777ABF" w:rsidP="00F57898">
            <w:pPr>
              <w:rPr>
                <w:rFonts w:ascii="Times New Roman" w:hAnsi="Times New Roman" w:cs="Times New Roman"/>
                <w:sz w:val="24"/>
                <w:szCs w:val="24"/>
              </w:rPr>
            </w:pPr>
            <w:r>
              <w:rPr>
                <w:rFonts w:ascii="Times New Roman" w:hAnsi="Times New Roman" w:cs="Times New Roman"/>
                <w:sz w:val="24"/>
                <w:szCs w:val="24"/>
              </w:rPr>
              <w:t>40.000,00</w:t>
            </w:r>
          </w:p>
        </w:tc>
        <w:tc>
          <w:tcPr>
            <w:tcW w:w="3463" w:type="dxa"/>
          </w:tcPr>
          <w:p w:rsidR="00777ABF" w:rsidRDefault="00777ABF" w:rsidP="00F57898">
            <w:pPr>
              <w:jc w:val="right"/>
              <w:rPr>
                <w:rFonts w:ascii="Times New Roman" w:hAnsi="Times New Roman" w:cs="Times New Roman"/>
                <w:sz w:val="24"/>
                <w:szCs w:val="24"/>
              </w:rPr>
            </w:pPr>
            <w:r>
              <w:rPr>
                <w:rFonts w:ascii="Times New Roman" w:hAnsi="Times New Roman" w:cs="Times New Roman"/>
                <w:sz w:val="24"/>
                <w:szCs w:val="24"/>
              </w:rPr>
              <w:t>60.000,00</w:t>
            </w:r>
          </w:p>
        </w:tc>
      </w:tr>
      <w:tr w:rsidR="00777ABF" w:rsidTr="00F57898">
        <w:trPr>
          <w:trHeight w:val="381"/>
        </w:trPr>
        <w:tc>
          <w:tcPr>
            <w:tcW w:w="0" w:type="auto"/>
          </w:tcPr>
          <w:p w:rsidR="00777ABF" w:rsidRDefault="00777ABF" w:rsidP="00F57898">
            <w:pPr>
              <w:rPr>
                <w:rFonts w:ascii="Times New Roman" w:hAnsi="Times New Roman" w:cs="Times New Roman"/>
                <w:sz w:val="24"/>
                <w:szCs w:val="24"/>
              </w:rPr>
            </w:pPr>
          </w:p>
        </w:tc>
        <w:tc>
          <w:tcPr>
            <w:tcW w:w="4602" w:type="dxa"/>
          </w:tcPr>
          <w:p w:rsidR="00777ABF" w:rsidRDefault="00777ABF" w:rsidP="00F57898">
            <w:pPr>
              <w:jc w:val="center"/>
              <w:rPr>
                <w:rFonts w:ascii="Times New Roman" w:hAnsi="Times New Roman" w:cs="Times New Roman"/>
                <w:b/>
                <w:bCs/>
                <w:sz w:val="24"/>
                <w:szCs w:val="24"/>
              </w:rPr>
            </w:pPr>
            <w:r>
              <w:rPr>
                <w:rFonts w:ascii="Times New Roman" w:hAnsi="Times New Roman" w:cs="Times New Roman"/>
                <w:b/>
                <w:bCs/>
                <w:sz w:val="24"/>
                <w:szCs w:val="24"/>
              </w:rPr>
              <w:t>UKUPNO</w:t>
            </w:r>
          </w:p>
        </w:tc>
        <w:tc>
          <w:tcPr>
            <w:tcW w:w="3463" w:type="dxa"/>
          </w:tcPr>
          <w:p w:rsidR="00777ABF" w:rsidRDefault="00777ABF" w:rsidP="00F57898">
            <w:pPr>
              <w:jc w:val="right"/>
              <w:rPr>
                <w:rFonts w:ascii="Times New Roman" w:hAnsi="Times New Roman" w:cs="Times New Roman"/>
                <w:b/>
                <w:bCs/>
                <w:sz w:val="24"/>
                <w:szCs w:val="24"/>
              </w:rPr>
            </w:pPr>
            <w:r>
              <w:rPr>
                <w:rFonts w:ascii="Times New Roman" w:hAnsi="Times New Roman" w:cs="Times New Roman"/>
                <w:b/>
                <w:bCs/>
                <w:sz w:val="24"/>
                <w:szCs w:val="24"/>
              </w:rPr>
              <w:t>407.700,00</w:t>
            </w:r>
          </w:p>
        </w:tc>
      </w:tr>
    </w:tbl>
    <w:p w:rsidR="00777ABF" w:rsidRDefault="00777ABF" w:rsidP="00777ABF">
      <w:pPr>
        <w:spacing w:after="0" w:line="240" w:lineRule="auto"/>
        <w:jc w:val="both"/>
        <w:rPr>
          <w:rFonts w:ascii="Times New Roman" w:eastAsia="Times New Roman" w:hAnsi="Times New Roman" w:cs="Times New Roman"/>
          <w:b/>
          <w:bCs/>
          <w:sz w:val="24"/>
          <w:szCs w:val="24"/>
          <w:lang w:eastAsia="hr-HR"/>
        </w:rPr>
      </w:pPr>
    </w:p>
    <w:tbl>
      <w:tblPr>
        <w:tblStyle w:val="Reetkatablice"/>
        <w:tblW w:w="0" w:type="auto"/>
        <w:tblLook w:val="04A0"/>
      </w:tblPr>
      <w:tblGrid>
        <w:gridCol w:w="846"/>
        <w:gridCol w:w="5812"/>
        <w:gridCol w:w="2402"/>
      </w:tblGrid>
      <w:tr w:rsidR="00777ABF" w:rsidTr="00F57898">
        <w:tc>
          <w:tcPr>
            <w:tcW w:w="846" w:type="dxa"/>
          </w:tcPr>
          <w:p w:rsidR="00777ABF" w:rsidRDefault="00777ABF" w:rsidP="00F57898">
            <w:pPr>
              <w:jc w:val="center"/>
              <w:rPr>
                <w:rFonts w:ascii="Times New Roman" w:hAnsi="Times New Roman"/>
                <w:b/>
                <w:bCs/>
                <w:sz w:val="24"/>
                <w:szCs w:val="24"/>
              </w:rPr>
            </w:pPr>
            <w:r>
              <w:rPr>
                <w:rFonts w:ascii="Times New Roman" w:hAnsi="Times New Roman"/>
                <w:b/>
                <w:bCs/>
                <w:sz w:val="24"/>
                <w:szCs w:val="24"/>
              </w:rPr>
              <w:t>3.</w:t>
            </w:r>
          </w:p>
        </w:tc>
        <w:tc>
          <w:tcPr>
            <w:tcW w:w="5812" w:type="dxa"/>
          </w:tcPr>
          <w:p w:rsidR="00777ABF" w:rsidRDefault="00777ABF" w:rsidP="00F57898">
            <w:pPr>
              <w:rPr>
                <w:rFonts w:ascii="Times New Roman" w:hAnsi="Times New Roman"/>
                <w:b/>
                <w:bCs/>
                <w:sz w:val="24"/>
                <w:szCs w:val="24"/>
              </w:rPr>
            </w:pPr>
            <w:r>
              <w:rPr>
                <w:rFonts w:ascii="Times New Roman" w:hAnsi="Times New Roman"/>
                <w:b/>
                <w:bCs/>
                <w:sz w:val="24"/>
                <w:szCs w:val="24"/>
                <w:lang w:eastAsia="hr-HR"/>
              </w:rPr>
              <w:t>POSTOJEĆE GRAĐEVINE KOMUNALNE INFRASTRUKTURE KOJE ĆE SE REKONSTRUIRATI I NAČIN REKONSTRUKCIJE</w:t>
            </w:r>
          </w:p>
        </w:tc>
        <w:tc>
          <w:tcPr>
            <w:tcW w:w="2402" w:type="dxa"/>
          </w:tcPr>
          <w:p w:rsidR="00777ABF" w:rsidRDefault="00777ABF" w:rsidP="00F57898">
            <w:pPr>
              <w:jc w:val="center"/>
              <w:rPr>
                <w:rFonts w:ascii="Times New Roman" w:hAnsi="Times New Roman"/>
                <w:b/>
                <w:bCs/>
                <w:sz w:val="24"/>
                <w:szCs w:val="24"/>
              </w:rPr>
            </w:pPr>
            <w:r>
              <w:rPr>
                <w:rFonts w:ascii="Times New Roman" w:hAnsi="Times New Roman"/>
                <w:b/>
                <w:bCs/>
                <w:sz w:val="24"/>
                <w:szCs w:val="24"/>
              </w:rPr>
              <w:t>Plan za 2025.</w:t>
            </w:r>
          </w:p>
        </w:tc>
      </w:tr>
      <w:tr w:rsidR="00777ABF" w:rsidTr="00F57898">
        <w:tc>
          <w:tcPr>
            <w:tcW w:w="846" w:type="dxa"/>
          </w:tcPr>
          <w:p w:rsidR="00777ABF" w:rsidRDefault="00777ABF" w:rsidP="00F57898">
            <w:pPr>
              <w:jc w:val="center"/>
              <w:rPr>
                <w:rFonts w:ascii="Times New Roman" w:hAnsi="Times New Roman"/>
                <w:sz w:val="24"/>
                <w:szCs w:val="24"/>
              </w:rPr>
            </w:pPr>
            <w:r>
              <w:rPr>
                <w:rFonts w:ascii="Times New Roman" w:hAnsi="Times New Roman"/>
                <w:sz w:val="24"/>
                <w:szCs w:val="24"/>
              </w:rPr>
              <w:t>3.1.</w:t>
            </w:r>
          </w:p>
        </w:tc>
        <w:tc>
          <w:tcPr>
            <w:tcW w:w="5812" w:type="dxa"/>
          </w:tcPr>
          <w:p w:rsidR="00777ABF" w:rsidRDefault="00777ABF" w:rsidP="00F57898">
            <w:pPr>
              <w:rPr>
                <w:rFonts w:ascii="Times New Roman" w:hAnsi="Times New Roman"/>
                <w:sz w:val="24"/>
                <w:szCs w:val="24"/>
              </w:rPr>
            </w:pPr>
            <w:r>
              <w:rPr>
                <w:rFonts w:ascii="Times New Roman" w:hAnsi="Times New Roman"/>
                <w:sz w:val="24"/>
                <w:szCs w:val="24"/>
              </w:rPr>
              <w:t>JAVNA RASVJETA</w:t>
            </w:r>
          </w:p>
        </w:tc>
        <w:tc>
          <w:tcPr>
            <w:tcW w:w="2402" w:type="dxa"/>
          </w:tcPr>
          <w:p w:rsidR="00777ABF" w:rsidRDefault="00777ABF" w:rsidP="00F57898">
            <w:pPr>
              <w:jc w:val="right"/>
              <w:rPr>
                <w:rFonts w:ascii="Times New Roman" w:hAnsi="Times New Roman"/>
                <w:sz w:val="24"/>
                <w:szCs w:val="24"/>
              </w:rPr>
            </w:pPr>
            <w:r>
              <w:rPr>
                <w:rFonts w:ascii="Times New Roman" w:hAnsi="Times New Roman"/>
                <w:sz w:val="24"/>
                <w:szCs w:val="24"/>
              </w:rPr>
              <w:t>PLANIRANO</w:t>
            </w:r>
          </w:p>
        </w:tc>
      </w:tr>
      <w:tr w:rsidR="00777ABF" w:rsidTr="00F57898">
        <w:tc>
          <w:tcPr>
            <w:tcW w:w="846" w:type="dxa"/>
          </w:tcPr>
          <w:p w:rsidR="00777ABF" w:rsidRDefault="00777ABF" w:rsidP="00F57898">
            <w:pPr>
              <w:jc w:val="center"/>
              <w:rPr>
                <w:rFonts w:ascii="Times New Roman" w:hAnsi="Times New Roman"/>
                <w:sz w:val="24"/>
                <w:szCs w:val="24"/>
              </w:rPr>
            </w:pPr>
          </w:p>
        </w:tc>
        <w:tc>
          <w:tcPr>
            <w:tcW w:w="5812" w:type="dxa"/>
          </w:tcPr>
          <w:p w:rsidR="00777ABF" w:rsidRDefault="00777ABF" w:rsidP="00F57898">
            <w:pPr>
              <w:spacing w:line="276" w:lineRule="auto"/>
              <w:rPr>
                <w:rFonts w:ascii="Times New Roman" w:hAnsi="Times New Roman"/>
                <w:sz w:val="24"/>
                <w:szCs w:val="24"/>
              </w:rPr>
            </w:pPr>
            <w:r>
              <w:rPr>
                <w:rFonts w:ascii="Times New Roman" w:hAnsi="Times New Roman"/>
                <w:sz w:val="24"/>
                <w:szCs w:val="24"/>
              </w:rPr>
              <w:t>Modernizacija javne rasvjete</w:t>
            </w:r>
          </w:p>
          <w:p w:rsidR="00777ABF" w:rsidRDefault="00777ABF" w:rsidP="00F57898">
            <w:pPr>
              <w:rPr>
                <w:rFonts w:ascii="Times New Roman" w:hAnsi="Times New Roman"/>
                <w:sz w:val="24"/>
                <w:szCs w:val="24"/>
              </w:rPr>
            </w:pPr>
            <w:r>
              <w:rPr>
                <w:rFonts w:ascii="Times New Roman" w:hAnsi="Times New Roman"/>
                <w:sz w:val="24"/>
                <w:szCs w:val="24"/>
              </w:rPr>
              <w:t>(radovi, nadzor)</w:t>
            </w:r>
          </w:p>
          <w:p w:rsidR="00777ABF" w:rsidRDefault="00777ABF" w:rsidP="00F57898">
            <w:pPr>
              <w:rPr>
                <w:rFonts w:ascii="Times New Roman" w:hAnsi="Times New Roman"/>
                <w:sz w:val="24"/>
                <w:szCs w:val="24"/>
              </w:rPr>
            </w:pPr>
          </w:p>
          <w:p w:rsidR="00777ABF" w:rsidRDefault="00777ABF" w:rsidP="00F57898">
            <w:pPr>
              <w:rPr>
                <w:rFonts w:ascii="Times New Roman" w:hAnsi="Times New Roman"/>
                <w:sz w:val="24"/>
                <w:szCs w:val="24"/>
              </w:rPr>
            </w:pPr>
            <w:r>
              <w:rPr>
                <w:rFonts w:ascii="Times New Roman" w:hAnsi="Times New Roman"/>
                <w:sz w:val="24"/>
                <w:szCs w:val="24"/>
              </w:rPr>
              <w:t>Izvor 5</w:t>
            </w:r>
            <w:r>
              <w:rPr>
                <w:rFonts w:ascii="Times New Roman" w:hAnsi="Times New Roman"/>
                <w:sz w:val="24"/>
                <w:szCs w:val="24"/>
                <w:lang w:val="hr-HR"/>
              </w:rPr>
              <w:t>0</w:t>
            </w:r>
            <w:r>
              <w:rPr>
                <w:rFonts w:ascii="Times New Roman" w:hAnsi="Times New Roman"/>
                <w:sz w:val="24"/>
                <w:szCs w:val="24"/>
              </w:rPr>
              <w:t xml:space="preserve"> Pomoći: 75.396,25</w:t>
            </w:r>
          </w:p>
          <w:p w:rsidR="00777ABF" w:rsidRDefault="00777ABF" w:rsidP="00F57898">
            <w:pPr>
              <w:rPr>
                <w:rFonts w:ascii="Times New Roman" w:hAnsi="Times New Roman"/>
                <w:sz w:val="24"/>
                <w:szCs w:val="24"/>
              </w:rPr>
            </w:pPr>
          </w:p>
        </w:tc>
        <w:tc>
          <w:tcPr>
            <w:tcW w:w="2402" w:type="dxa"/>
          </w:tcPr>
          <w:p w:rsidR="00777ABF" w:rsidRDefault="00777ABF" w:rsidP="00F57898">
            <w:pPr>
              <w:jc w:val="right"/>
              <w:rPr>
                <w:rFonts w:ascii="Times New Roman" w:hAnsi="Times New Roman"/>
                <w:sz w:val="24"/>
                <w:szCs w:val="24"/>
              </w:rPr>
            </w:pPr>
            <w:r>
              <w:rPr>
                <w:rFonts w:ascii="Times New Roman" w:hAnsi="Times New Roman"/>
                <w:sz w:val="24"/>
                <w:szCs w:val="24"/>
              </w:rPr>
              <w:t>75.396,25</w:t>
            </w:r>
          </w:p>
        </w:tc>
      </w:tr>
      <w:tr w:rsidR="00777ABF" w:rsidTr="00F57898">
        <w:tc>
          <w:tcPr>
            <w:tcW w:w="6658" w:type="dxa"/>
            <w:gridSpan w:val="2"/>
          </w:tcPr>
          <w:p w:rsidR="00777ABF" w:rsidRDefault="00777ABF" w:rsidP="00F57898">
            <w:pPr>
              <w:jc w:val="right"/>
              <w:rPr>
                <w:rFonts w:ascii="Times New Roman" w:hAnsi="Times New Roman"/>
                <w:b/>
                <w:bCs/>
                <w:sz w:val="24"/>
                <w:szCs w:val="24"/>
              </w:rPr>
            </w:pPr>
            <w:r>
              <w:rPr>
                <w:rFonts w:ascii="Times New Roman" w:hAnsi="Times New Roman"/>
                <w:b/>
                <w:bCs/>
                <w:sz w:val="24"/>
                <w:szCs w:val="24"/>
              </w:rPr>
              <w:t>UKUPNO:</w:t>
            </w:r>
          </w:p>
        </w:tc>
        <w:tc>
          <w:tcPr>
            <w:tcW w:w="2402" w:type="dxa"/>
          </w:tcPr>
          <w:p w:rsidR="00777ABF" w:rsidRDefault="00777ABF" w:rsidP="00F57898">
            <w:pPr>
              <w:jc w:val="right"/>
              <w:rPr>
                <w:rFonts w:ascii="Times New Roman" w:hAnsi="Times New Roman"/>
                <w:b/>
                <w:bCs/>
                <w:sz w:val="24"/>
                <w:szCs w:val="24"/>
              </w:rPr>
            </w:pPr>
            <w:r>
              <w:rPr>
                <w:rFonts w:ascii="Times New Roman" w:hAnsi="Times New Roman"/>
                <w:b/>
                <w:bCs/>
                <w:sz w:val="24"/>
                <w:szCs w:val="24"/>
              </w:rPr>
              <w:t>75.396,25</w:t>
            </w:r>
          </w:p>
        </w:tc>
      </w:tr>
    </w:tbl>
    <w:p w:rsidR="00777ABF" w:rsidRDefault="00777ABF" w:rsidP="00777ABF">
      <w:pPr>
        <w:spacing w:after="0" w:line="240" w:lineRule="auto"/>
        <w:jc w:val="both"/>
        <w:rPr>
          <w:rFonts w:ascii="Times New Roman" w:eastAsia="Times New Roman" w:hAnsi="Times New Roman" w:cs="Times New Roman"/>
          <w:b/>
          <w:bCs/>
          <w:sz w:val="24"/>
          <w:szCs w:val="24"/>
          <w:lang w:eastAsia="hr-HR"/>
        </w:rPr>
      </w:pPr>
    </w:p>
    <w:p w:rsidR="00777ABF" w:rsidRDefault="00777ABF" w:rsidP="00777ABF">
      <w:pPr>
        <w:spacing w:after="0" w:line="240" w:lineRule="auto"/>
        <w:jc w:val="both"/>
        <w:rPr>
          <w:rFonts w:ascii="Times New Roman" w:eastAsia="Times New Roman" w:hAnsi="Times New Roman" w:cs="Times New Roman"/>
          <w:b/>
          <w:bCs/>
          <w:sz w:val="24"/>
          <w:szCs w:val="24"/>
          <w:lang w:eastAsia="hr-HR"/>
        </w:rPr>
      </w:pPr>
    </w:p>
    <w:p w:rsidR="00777ABF" w:rsidRDefault="00777ABF" w:rsidP="00777ABF">
      <w:pPr>
        <w:spacing w:after="0" w:line="240" w:lineRule="auto"/>
        <w:jc w:val="both"/>
        <w:rPr>
          <w:rFonts w:ascii="Times New Roman" w:eastAsia="Times New Roman" w:hAnsi="Times New Roman" w:cs="Times New Roman"/>
          <w:b/>
          <w:bCs/>
          <w:sz w:val="24"/>
          <w:szCs w:val="24"/>
          <w:lang w:eastAsia="hr-HR"/>
        </w:rPr>
      </w:pPr>
    </w:p>
    <w:p w:rsidR="00777ABF" w:rsidRDefault="00777ABF" w:rsidP="00777ABF">
      <w:pPr>
        <w:spacing w:after="0" w:line="240" w:lineRule="auto"/>
        <w:ind w:firstLine="360"/>
        <w:jc w:val="center"/>
        <w:rPr>
          <w:rFonts w:ascii="Times New Roman" w:eastAsia="Times New Roman" w:hAnsi="Times New Roman" w:cs="Times New Roman"/>
          <w:b/>
          <w:sz w:val="24"/>
          <w:szCs w:val="24"/>
          <w:lang w:eastAsia="hr-HR"/>
        </w:rPr>
      </w:pPr>
    </w:p>
    <w:p w:rsidR="00777ABF" w:rsidRDefault="00777ABF" w:rsidP="00777ABF">
      <w:pPr>
        <w:spacing w:after="0" w:line="240" w:lineRule="auto"/>
        <w:ind w:firstLine="360"/>
        <w:jc w:val="center"/>
        <w:rPr>
          <w:rFonts w:ascii="Times New Roman" w:eastAsia="Times New Roman" w:hAnsi="Times New Roman" w:cs="Times New Roman"/>
          <w:b/>
          <w:sz w:val="24"/>
          <w:szCs w:val="24"/>
          <w:lang w:eastAsia="hr-HR"/>
        </w:rPr>
      </w:pPr>
    </w:p>
    <w:p w:rsidR="00777ABF" w:rsidRDefault="00777ABF" w:rsidP="00777ABF">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 xml:space="preserve">                                                                       Članak 5.</w:t>
      </w:r>
    </w:p>
    <w:p w:rsidR="00777ABF" w:rsidRDefault="00777ABF" w:rsidP="00777ABF">
      <w:pPr>
        <w:spacing w:after="0" w:line="240" w:lineRule="auto"/>
        <w:rPr>
          <w:rFonts w:ascii="Times New Roman" w:eastAsia="Times New Roman" w:hAnsi="Times New Roman" w:cs="Times New Roman"/>
          <w:b/>
          <w:sz w:val="24"/>
          <w:szCs w:val="24"/>
          <w:lang w:eastAsia="hr-HR"/>
        </w:rPr>
      </w:pPr>
    </w:p>
    <w:p w:rsidR="00777ABF" w:rsidRDefault="00777ABF" w:rsidP="00777ABF">
      <w:pPr>
        <w:keepNext/>
        <w:keepLines/>
        <w:spacing w:before="40" w:after="0" w:line="240" w:lineRule="auto"/>
        <w:ind w:firstLine="708"/>
        <w:jc w:val="both"/>
        <w:outlineLvl w:val="4"/>
        <w:rPr>
          <w:rFonts w:ascii="Times New Roman" w:eastAsiaTheme="majorEastAsia" w:hAnsi="Times New Roman" w:cs="Times New Roman"/>
          <w:sz w:val="24"/>
          <w:szCs w:val="24"/>
          <w:lang w:eastAsia="hr-HR"/>
        </w:rPr>
      </w:pPr>
      <w:r>
        <w:rPr>
          <w:rFonts w:ascii="Times New Roman" w:eastAsiaTheme="majorEastAsia" w:hAnsi="Times New Roman" w:cs="Times New Roman"/>
          <w:sz w:val="24"/>
          <w:szCs w:val="24"/>
          <w:lang w:eastAsia="hr-HR"/>
        </w:rPr>
        <w:t>Ovaj Program stupa na snagu osmi dan od dana objave u Službenom glasniku Općine Gornji Bogićevci</w:t>
      </w:r>
    </w:p>
    <w:p w:rsidR="00777ABF" w:rsidRDefault="00777ABF" w:rsidP="00777ABF">
      <w:pPr>
        <w:keepNext/>
        <w:keepLines/>
        <w:spacing w:before="40" w:after="0" w:line="240" w:lineRule="auto"/>
        <w:ind w:firstLine="708"/>
        <w:jc w:val="both"/>
        <w:outlineLvl w:val="4"/>
        <w:rPr>
          <w:rFonts w:ascii="Times New Roman" w:eastAsiaTheme="majorEastAsia" w:hAnsi="Times New Roman" w:cs="Times New Roman"/>
          <w:sz w:val="24"/>
          <w:szCs w:val="24"/>
          <w:lang w:eastAsia="hr-HR"/>
        </w:rPr>
      </w:pPr>
    </w:p>
    <w:p w:rsidR="00777ABF" w:rsidRDefault="00777ABF" w:rsidP="00777ABF">
      <w:pPr>
        <w:spacing w:after="0" w:line="240" w:lineRule="auto"/>
        <w:rPr>
          <w:rFonts w:ascii="Times New Roman" w:hAnsi="Times New Roman" w:cs="Times New Roman"/>
          <w:b/>
          <w:iCs/>
          <w:sz w:val="24"/>
          <w:szCs w:val="24"/>
        </w:rPr>
      </w:pPr>
      <w:r>
        <w:rPr>
          <w:rFonts w:ascii="Times New Roman" w:hAnsi="Times New Roman" w:cs="Times New Roman"/>
          <w:b/>
          <w:i/>
          <w:sz w:val="24"/>
          <w:szCs w:val="24"/>
        </w:rPr>
        <w:t xml:space="preserve">                                  </w:t>
      </w:r>
      <w:r>
        <w:rPr>
          <w:rFonts w:ascii="Times New Roman" w:hAnsi="Times New Roman" w:cs="Times New Roman"/>
          <w:b/>
          <w:iCs/>
          <w:sz w:val="24"/>
          <w:szCs w:val="24"/>
        </w:rPr>
        <w:t>OPĆINSKO VIJEĆE</w:t>
      </w:r>
      <w:r>
        <w:rPr>
          <w:rFonts w:ascii="Times New Roman" w:hAnsi="Times New Roman" w:cs="Times New Roman"/>
          <w:b/>
          <w:i/>
          <w:sz w:val="24"/>
          <w:szCs w:val="24"/>
        </w:rPr>
        <w:t xml:space="preserve">  </w:t>
      </w:r>
      <w:r>
        <w:rPr>
          <w:rFonts w:ascii="Times New Roman" w:hAnsi="Times New Roman" w:cs="Times New Roman"/>
          <w:b/>
          <w:iCs/>
          <w:sz w:val="24"/>
          <w:szCs w:val="24"/>
        </w:rPr>
        <w:t>OPĆINE GORNJI BOGIĆEVCI</w:t>
      </w:r>
    </w:p>
    <w:p w:rsidR="00777ABF" w:rsidRDefault="00777ABF" w:rsidP="00777ABF">
      <w:pPr>
        <w:spacing w:after="0" w:line="240" w:lineRule="auto"/>
        <w:rPr>
          <w:rFonts w:ascii="Times New Roman" w:hAnsi="Times New Roman" w:cs="Times New Roman"/>
          <w:b/>
          <w:iCs/>
          <w:sz w:val="24"/>
          <w:szCs w:val="24"/>
        </w:rPr>
      </w:pPr>
    </w:p>
    <w:p w:rsidR="00777ABF" w:rsidRDefault="00777ABF" w:rsidP="00777ABF">
      <w:pPr>
        <w:spacing w:after="0" w:line="240" w:lineRule="auto"/>
        <w:rPr>
          <w:rFonts w:ascii="Times New Roman" w:hAnsi="Times New Roman" w:cs="Times New Roman"/>
          <w:b/>
          <w:iCs/>
          <w:color w:val="000000" w:themeColor="text1"/>
          <w:sz w:val="24"/>
          <w:szCs w:val="24"/>
        </w:rPr>
      </w:pPr>
    </w:p>
    <w:p w:rsidR="00777ABF" w:rsidRDefault="00777ABF" w:rsidP="00777AB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400-05-25-02-01</w:t>
      </w:r>
    </w:p>
    <w:p w:rsidR="00777ABF" w:rsidRDefault="00777ABF" w:rsidP="00777AB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2178-22-03-25-02</w:t>
      </w:r>
    </w:p>
    <w:p w:rsidR="00777ABF" w:rsidRDefault="00777ABF" w:rsidP="00777ABF">
      <w:pPr>
        <w:spacing w:after="0"/>
        <w:rPr>
          <w:rFonts w:ascii="Times New Roman" w:hAnsi="Times New Roman" w:cs="Times New Roman"/>
          <w:b/>
          <w:i/>
          <w:color w:val="000000" w:themeColor="text1"/>
          <w:sz w:val="24"/>
          <w:szCs w:val="24"/>
        </w:rPr>
      </w:pPr>
      <w:r>
        <w:rPr>
          <w:rFonts w:ascii="Times New Roman" w:hAnsi="Times New Roman" w:cs="Times New Roman"/>
          <w:color w:val="000000" w:themeColor="text1"/>
          <w:sz w:val="24"/>
          <w:szCs w:val="24"/>
        </w:rPr>
        <w:t>Gornji Bogićevci, 22.12.2025. godine</w:t>
      </w:r>
    </w:p>
    <w:p w:rsidR="00777ABF" w:rsidRDefault="00777ABF" w:rsidP="00777ABF">
      <w:pPr>
        <w:spacing w:after="0"/>
        <w:jc w:val="right"/>
        <w:rPr>
          <w:rFonts w:ascii="Times New Roman" w:hAnsi="Times New Roman" w:cs="Times New Roman"/>
          <w:sz w:val="24"/>
          <w:szCs w:val="24"/>
        </w:rPr>
      </w:pPr>
      <w:r>
        <w:rPr>
          <w:rFonts w:ascii="Times New Roman" w:hAnsi="Times New Roman" w:cs="Times New Roman"/>
          <w:sz w:val="24"/>
          <w:szCs w:val="24"/>
        </w:rPr>
        <w:t xml:space="preserve">      </w:t>
      </w:r>
    </w:p>
    <w:p w:rsidR="00777ABF" w:rsidRDefault="00777ABF" w:rsidP="00777ABF">
      <w:pPr>
        <w:spacing w:after="0"/>
        <w:jc w:val="right"/>
        <w:rPr>
          <w:rFonts w:ascii="Times New Roman" w:hAnsi="Times New Roman" w:cs="Times New Roman"/>
          <w:sz w:val="24"/>
          <w:szCs w:val="24"/>
        </w:rPr>
      </w:pPr>
    </w:p>
    <w:p w:rsidR="00777ABF" w:rsidRDefault="00777ABF" w:rsidP="00777ABF">
      <w:pPr>
        <w:spacing w:after="0"/>
        <w:jc w:val="right"/>
        <w:rPr>
          <w:rFonts w:ascii="Times New Roman" w:hAnsi="Times New Roman" w:cs="Times New Roman"/>
          <w:sz w:val="24"/>
          <w:szCs w:val="24"/>
        </w:rPr>
      </w:pPr>
      <w:r>
        <w:rPr>
          <w:rFonts w:ascii="Times New Roman" w:hAnsi="Times New Roman" w:cs="Times New Roman"/>
          <w:sz w:val="24"/>
          <w:szCs w:val="24"/>
        </w:rPr>
        <w:t xml:space="preserve">  PREDSJEDNIK OPĆINSKOG VIJEĆA</w:t>
      </w:r>
    </w:p>
    <w:p w:rsidR="00777ABF" w:rsidRDefault="00777ABF" w:rsidP="00777ABF">
      <w:pPr>
        <w:ind w:left="4956" w:firstLine="708"/>
        <w:jc w:val="center"/>
        <w:rPr>
          <w:rFonts w:ascii="Times New Roman" w:hAnsi="Times New Roman" w:cs="Times New Roman"/>
          <w:sz w:val="24"/>
          <w:szCs w:val="24"/>
        </w:rPr>
      </w:pPr>
      <w:r>
        <w:rPr>
          <w:rFonts w:ascii="Times New Roman" w:hAnsi="Times New Roman" w:cs="Times New Roman"/>
          <w:sz w:val="24"/>
          <w:szCs w:val="24"/>
        </w:rPr>
        <w:t>Željko Klarić</w:t>
      </w: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r>
        <w:rPr>
          <w:rFonts w:ascii="Times New Roman" w:hAnsi="Times New Roman" w:cs="Times New Roman"/>
          <w:sz w:val="24"/>
          <w:szCs w:val="24"/>
        </w:rPr>
        <w:t>Dostaviti:</w:t>
      </w:r>
    </w:p>
    <w:p w:rsidR="00777ABF" w:rsidRPr="009E4D5A" w:rsidRDefault="009E4D5A" w:rsidP="009E4D5A">
      <w:pPr>
        <w:spacing w:line="240" w:lineRule="auto"/>
        <w:rPr>
          <w:rFonts w:ascii="Times New Roman" w:hAnsi="Times New Roman" w:cs="Times New Roman"/>
          <w:sz w:val="24"/>
          <w:szCs w:val="24"/>
        </w:rPr>
      </w:pPr>
      <w:r>
        <w:rPr>
          <w:rFonts w:ascii="Times New Roman" w:hAnsi="Times New Roman" w:cs="Times New Roman"/>
          <w:sz w:val="24"/>
          <w:szCs w:val="24"/>
        </w:rPr>
        <w:t>1.</w:t>
      </w:r>
      <w:r w:rsidR="00777ABF" w:rsidRPr="009E4D5A">
        <w:rPr>
          <w:rFonts w:ascii="Times New Roman" w:hAnsi="Times New Roman" w:cs="Times New Roman"/>
          <w:sz w:val="24"/>
          <w:szCs w:val="24"/>
        </w:rPr>
        <w:t>Jedinstveni upravni odjel</w:t>
      </w:r>
    </w:p>
    <w:p w:rsidR="00777ABF" w:rsidRPr="009E4D5A" w:rsidRDefault="009E4D5A" w:rsidP="009E4D5A">
      <w:pPr>
        <w:spacing w:line="240" w:lineRule="auto"/>
        <w:rPr>
          <w:rFonts w:ascii="Times New Roman" w:hAnsi="Times New Roman" w:cs="Times New Roman"/>
          <w:sz w:val="24"/>
          <w:szCs w:val="24"/>
        </w:rPr>
      </w:pPr>
      <w:r>
        <w:rPr>
          <w:rFonts w:ascii="Times New Roman" w:hAnsi="Times New Roman" w:cs="Times New Roman"/>
          <w:sz w:val="24"/>
          <w:szCs w:val="24"/>
        </w:rPr>
        <w:t>2.</w:t>
      </w:r>
      <w:r w:rsidR="00777ABF" w:rsidRPr="009E4D5A">
        <w:rPr>
          <w:rFonts w:ascii="Times New Roman" w:hAnsi="Times New Roman" w:cs="Times New Roman"/>
          <w:sz w:val="24"/>
          <w:szCs w:val="24"/>
        </w:rPr>
        <w:t>Službeni glasnik Općine Gornji Bogićevci</w:t>
      </w:r>
    </w:p>
    <w:p w:rsidR="00777ABF" w:rsidRDefault="009E4D5A" w:rsidP="009E4D5A">
      <w:pPr>
        <w:spacing w:line="240" w:lineRule="auto"/>
        <w:contextualSpacing/>
        <w:rPr>
          <w:rFonts w:ascii="Times New Roman" w:hAnsi="Times New Roman" w:cs="Times New Roman"/>
          <w:sz w:val="24"/>
          <w:szCs w:val="24"/>
        </w:rPr>
      </w:pPr>
      <w:r>
        <w:rPr>
          <w:rFonts w:ascii="Times New Roman" w:hAnsi="Times New Roman" w:cs="Times New Roman"/>
          <w:sz w:val="24"/>
          <w:szCs w:val="24"/>
        </w:rPr>
        <w:t>3.</w:t>
      </w:r>
      <w:r w:rsidR="00777ABF">
        <w:rPr>
          <w:rFonts w:ascii="Times New Roman" w:hAnsi="Times New Roman" w:cs="Times New Roman"/>
          <w:sz w:val="24"/>
          <w:szCs w:val="24"/>
        </w:rPr>
        <w:t>Ministarstvo prostornog uređenja, graditeljstva i državne imovine</w:t>
      </w:r>
    </w:p>
    <w:p w:rsidR="00777ABF" w:rsidRDefault="009E4D5A" w:rsidP="009E4D5A">
      <w:pPr>
        <w:spacing w:line="240" w:lineRule="auto"/>
        <w:contextualSpacing/>
        <w:rPr>
          <w:rFonts w:ascii="Times New Roman" w:hAnsi="Times New Roman" w:cs="Times New Roman"/>
          <w:sz w:val="24"/>
          <w:szCs w:val="24"/>
        </w:rPr>
      </w:pPr>
      <w:r>
        <w:rPr>
          <w:rFonts w:ascii="Times New Roman" w:hAnsi="Times New Roman" w:cs="Times New Roman"/>
          <w:sz w:val="24"/>
          <w:szCs w:val="24"/>
        </w:rPr>
        <w:t>4.</w:t>
      </w:r>
      <w:r w:rsidR="00777ABF">
        <w:rPr>
          <w:rFonts w:ascii="Times New Roman" w:hAnsi="Times New Roman" w:cs="Times New Roman"/>
          <w:sz w:val="24"/>
          <w:szCs w:val="24"/>
        </w:rPr>
        <w:t>Pismohrana.</w:t>
      </w:r>
    </w:p>
    <w:p w:rsidR="00777ABF" w:rsidRDefault="00777ABF" w:rsidP="00777ABF">
      <w:pPr>
        <w:rPr>
          <w:rFonts w:ascii="Times New Roman" w:hAnsi="Times New Roman" w:cs="Times New Roman"/>
          <w:sz w:val="24"/>
          <w:szCs w:val="24"/>
        </w:rPr>
      </w:pPr>
    </w:p>
    <w:p w:rsidR="00777ABF" w:rsidRDefault="00777ABF" w:rsidP="00777ABF">
      <w:pPr>
        <w:spacing w:after="0" w:line="240" w:lineRule="auto"/>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b/>
          <w:sz w:val="24"/>
          <w:szCs w:val="24"/>
        </w:rPr>
      </w:pPr>
    </w:p>
    <w:p w:rsidR="00777ABF" w:rsidRDefault="00777ABF" w:rsidP="00777ABF">
      <w:pPr>
        <w:rPr>
          <w:rFonts w:ascii="Times New Roman" w:hAnsi="Times New Roman" w:cs="Times New Roman"/>
          <w:sz w:val="24"/>
          <w:szCs w:val="24"/>
        </w:rPr>
      </w:pPr>
    </w:p>
    <w:p w:rsidR="00777ABF" w:rsidRDefault="00777ABF" w:rsidP="00777ABF">
      <w:pPr>
        <w:pStyle w:val="Tijeloteksta"/>
      </w:pPr>
      <w:r>
        <w:t xml:space="preserve">                    </w:t>
      </w:r>
      <w:r>
        <w:rPr>
          <w:noProof/>
        </w:rPr>
        <w:drawing>
          <wp:inline distT="0" distB="0" distL="0" distR="0">
            <wp:extent cx="484505" cy="642620"/>
            <wp:effectExtent l="0" t="0" r="0" b="5080"/>
            <wp:docPr id="1475262630" name="Slika 1475262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777ABF" w:rsidRDefault="00777ABF" w:rsidP="00777ABF">
      <w:pPr>
        <w:pStyle w:val="Tijeloteksta"/>
        <w:ind w:firstLine="720"/>
      </w:pP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REPUBLIKA HRVATSKA</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BRODSKO-POSAVSKA ŽUPANIJA</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OPĆINA GORNJI BOGIĆEVCI</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OPĆINSKO VIJEĆE</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35429 Gornji Bogićevci</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OIB: 89414039518</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Tel: 035/375-056</w:t>
      </w: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color w:val="000000" w:themeColor="text1"/>
          <w:sz w:val="24"/>
          <w:szCs w:val="24"/>
        </w:rPr>
      </w:pPr>
      <w:r>
        <w:rPr>
          <w:rFonts w:ascii="Times New Roman" w:hAnsi="Times New Roman" w:cs="Times New Roman"/>
          <w:sz w:val="24"/>
          <w:szCs w:val="24"/>
        </w:rPr>
        <w:tab/>
        <w:t>Na temelju članka 6. stavak 2. Zakona o kulturnim vijećima i financiranju javnih potreba u kulturi („Narodne novine“ broj 83/22), Zakona o udrugama („Narodne novine“ broj 74/14, 70/17, 98/19 i 151/22), članka 17. Zakona o pravnom položaju vjerskih zajednica („Narodne novine“ broj 83/02, 73/13), članka 75. Zakona o sportu („Narodne novine“ broj 141/22), članka 2. Zakona o financiranju jedinica lokalne i područne (regionalne) samouprave („Narodne novine“ broj 127/17, 138/20, 151/22 i 114/23) i članka 39. stavak 5 Statuta općine Gornji Bogićevci („Službeni glasnik Općine Go</w:t>
      </w:r>
      <w:r>
        <w:rPr>
          <w:rFonts w:ascii="Times New Roman" w:hAnsi="Times New Roman" w:cs="Times New Roman"/>
          <w:color w:val="000000" w:themeColor="text1"/>
          <w:sz w:val="24"/>
          <w:szCs w:val="24"/>
        </w:rPr>
        <w:t>rnji Bogićevci“, broj 02/21, Općinsko vijeće općine Gornji Bogićevci na svojoj 5. sjednici održanoj 22. prosinca 2025. godine, donosi</w:t>
      </w:r>
    </w:p>
    <w:p w:rsidR="00777ABF" w:rsidRDefault="00777ABF" w:rsidP="00777ABF">
      <w:pPr>
        <w:jc w:val="center"/>
        <w:rPr>
          <w:rFonts w:ascii="Times New Roman" w:hAnsi="Times New Roman" w:cs="Times New Roman"/>
          <w:sz w:val="24"/>
          <w:szCs w:val="24"/>
        </w:rPr>
      </w:pPr>
      <w:r>
        <w:rPr>
          <w:rFonts w:ascii="Times New Roman" w:hAnsi="Times New Roman" w:cs="Times New Roman"/>
          <w:b/>
          <w:sz w:val="24"/>
          <w:szCs w:val="24"/>
        </w:rPr>
        <w:lastRenderedPageBreak/>
        <w:t>PROGRAM JAVNIH POTREBA U KULTURI, SPORTU, VJERSKIM ZAJEDNICAMA I OSTALO NA PODRUČJU OPĆINE GORNJI BOGIĆEVCI ZA 2026. GODINU</w:t>
      </w:r>
    </w:p>
    <w:p w:rsidR="00777ABF" w:rsidRDefault="00777ABF" w:rsidP="00777ABF">
      <w:pPr>
        <w:jc w:val="center"/>
        <w:rPr>
          <w:rFonts w:ascii="Times New Roman" w:hAnsi="Times New Roman" w:cs="Times New Roman"/>
          <w:b/>
          <w:bCs/>
          <w:sz w:val="24"/>
          <w:szCs w:val="24"/>
        </w:rPr>
      </w:pPr>
      <w:r>
        <w:rPr>
          <w:rFonts w:ascii="Times New Roman" w:hAnsi="Times New Roman" w:cs="Times New Roman"/>
          <w:b/>
          <w:bCs/>
          <w:sz w:val="24"/>
          <w:szCs w:val="24"/>
        </w:rPr>
        <w:t>I. PROGRAM JAVNIH POTREBA U KULTURI</w:t>
      </w:r>
    </w:p>
    <w:p w:rsidR="00777ABF" w:rsidRDefault="00777ABF" w:rsidP="00777ABF">
      <w:pPr>
        <w:jc w:val="center"/>
        <w:rPr>
          <w:rFonts w:ascii="Times New Roman" w:hAnsi="Times New Roman" w:cs="Times New Roman"/>
          <w:b/>
          <w:bCs/>
          <w:sz w:val="24"/>
          <w:szCs w:val="24"/>
        </w:rPr>
      </w:pPr>
      <w:r>
        <w:rPr>
          <w:rFonts w:ascii="Times New Roman" w:hAnsi="Times New Roman" w:cs="Times New Roman"/>
          <w:b/>
          <w:bCs/>
          <w:sz w:val="24"/>
          <w:szCs w:val="24"/>
        </w:rPr>
        <w:t>Članak 1.</w:t>
      </w:r>
    </w:p>
    <w:p w:rsidR="00777ABF" w:rsidRDefault="00777ABF" w:rsidP="00777ABF">
      <w:pPr>
        <w:rPr>
          <w:rFonts w:ascii="Times New Roman" w:hAnsi="Times New Roman" w:cs="Times New Roman"/>
          <w:sz w:val="24"/>
          <w:szCs w:val="24"/>
        </w:rPr>
      </w:pPr>
      <w:r>
        <w:rPr>
          <w:rFonts w:ascii="Times New Roman" w:hAnsi="Times New Roman" w:cs="Times New Roman"/>
          <w:sz w:val="24"/>
          <w:szCs w:val="24"/>
        </w:rPr>
        <w:t>Programom javnih potreba u kulturi na području općine Gornji Bogićevci u 2026. godini (u daljnjem tekstu: Program) utvrđuju se aktivnosti, poslovi i djelatnosti u kulturi od značaja za Općinu Gornji Bogićevci koje će se financirati iz Proračuna Općine Gornji Bogićevci za 2026. godinu (u daljnjem tekstu: Proračun).</w:t>
      </w:r>
    </w:p>
    <w:p w:rsidR="00777ABF" w:rsidRDefault="00777ABF" w:rsidP="00777ABF">
      <w:pPr>
        <w:jc w:val="center"/>
        <w:rPr>
          <w:rFonts w:ascii="Times New Roman" w:hAnsi="Times New Roman" w:cs="Times New Roman"/>
          <w:b/>
          <w:bCs/>
          <w:sz w:val="24"/>
          <w:szCs w:val="24"/>
        </w:rPr>
      </w:pPr>
      <w:r>
        <w:rPr>
          <w:rFonts w:ascii="Times New Roman" w:hAnsi="Times New Roman" w:cs="Times New Roman"/>
          <w:b/>
          <w:bCs/>
          <w:sz w:val="24"/>
          <w:szCs w:val="24"/>
        </w:rPr>
        <w:t>Članak 2.</w:t>
      </w:r>
    </w:p>
    <w:p w:rsidR="00777ABF" w:rsidRDefault="00777ABF" w:rsidP="00777ABF">
      <w:pPr>
        <w:rPr>
          <w:rFonts w:ascii="Times New Roman" w:hAnsi="Times New Roman" w:cs="Times New Roman"/>
          <w:sz w:val="24"/>
          <w:szCs w:val="24"/>
        </w:rPr>
      </w:pPr>
      <w:r>
        <w:rPr>
          <w:rFonts w:ascii="Times New Roman" w:hAnsi="Times New Roman" w:cs="Times New Roman"/>
          <w:sz w:val="24"/>
          <w:szCs w:val="24"/>
        </w:rPr>
        <w:t>Javne potrebe u kulturi na području općine gornji Bogićevci ostvarit će se:</w:t>
      </w:r>
    </w:p>
    <w:p w:rsidR="00777ABF" w:rsidRDefault="00777ABF" w:rsidP="00777ABF">
      <w:pPr>
        <w:pStyle w:val="Tijeloteksta"/>
        <w:tabs>
          <w:tab w:val="left" w:pos="16800"/>
        </w:tabs>
      </w:pPr>
      <w:r>
        <w:t>- financiranjem matičnih ustanova kulture u općini</w:t>
      </w:r>
    </w:p>
    <w:p w:rsidR="00777ABF" w:rsidRDefault="00777ABF" w:rsidP="00777ABF">
      <w:pPr>
        <w:pStyle w:val="Tijeloteksta"/>
        <w:tabs>
          <w:tab w:val="left" w:pos="16800"/>
        </w:tabs>
      </w:pPr>
      <w:r>
        <w:t>- djelovanjem ustanova kulture, udruženja i udruga u kulturi</w:t>
      </w:r>
    </w:p>
    <w:p w:rsidR="00777ABF" w:rsidRDefault="00777ABF" w:rsidP="00777ABF">
      <w:pPr>
        <w:pStyle w:val="Tijeloteksta"/>
        <w:tabs>
          <w:tab w:val="left" w:pos="16800"/>
        </w:tabs>
      </w:pPr>
      <w:r>
        <w:t xml:space="preserve">- pomaganjem i poticanjem umjetničkog i kulturnog stvaralaštva </w:t>
      </w:r>
    </w:p>
    <w:p w:rsidR="00777ABF" w:rsidRDefault="00777ABF" w:rsidP="00777ABF">
      <w:pPr>
        <w:pStyle w:val="Tijeloteksta"/>
        <w:tabs>
          <w:tab w:val="left" w:pos="16800"/>
        </w:tabs>
      </w:pPr>
      <w:r>
        <w:t>- akcijama  i manifestacijama u kulturi koje će pridonijeti razvitku i promicanju kulturnog života</w:t>
      </w:r>
    </w:p>
    <w:p w:rsidR="00777ABF" w:rsidRDefault="00777ABF" w:rsidP="00777ABF">
      <w:pPr>
        <w:pStyle w:val="Tijeloteksta"/>
        <w:tabs>
          <w:tab w:val="left" w:pos="16800"/>
        </w:tabs>
      </w:pPr>
      <w:r>
        <w:tab/>
      </w:r>
    </w:p>
    <w:p w:rsidR="00777ABF" w:rsidRDefault="00777ABF" w:rsidP="00777ABF">
      <w:pPr>
        <w:pStyle w:val="Tijeloteksta"/>
        <w:tabs>
          <w:tab w:val="left" w:pos="1245"/>
          <w:tab w:val="left" w:pos="5280"/>
        </w:tabs>
        <w:jc w:val="center"/>
        <w:rPr>
          <w:b/>
          <w:bCs/>
        </w:rPr>
      </w:pPr>
      <w:r>
        <w:rPr>
          <w:b/>
          <w:bCs/>
        </w:rPr>
        <w:t>Članak 3.</w:t>
      </w:r>
    </w:p>
    <w:p w:rsidR="00777ABF" w:rsidRDefault="00777ABF" w:rsidP="00777ABF">
      <w:pPr>
        <w:pStyle w:val="Tijeloteksta"/>
        <w:tabs>
          <w:tab w:val="left" w:pos="5280"/>
        </w:tabs>
      </w:pPr>
    </w:p>
    <w:p w:rsidR="00777ABF" w:rsidRDefault="00777ABF" w:rsidP="00777ABF">
      <w:pPr>
        <w:pStyle w:val="Tijeloteksta"/>
        <w:tabs>
          <w:tab w:val="left" w:pos="5280"/>
        </w:tabs>
      </w:pPr>
      <w:r>
        <w:t>Za javne potrebe u kulturi u  Proračunu za 2026.g. utvrđuju se slijedeći iznosi:</w:t>
      </w:r>
    </w:p>
    <w:p w:rsidR="00777ABF" w:rsidRDefault="00777ABF" w:rsidP="00777ABF">
      <w:pPr>
        <w:pStyle w:val="Tijeloteksta"/>
        <w:tabs>
          <w:tab w:val="left" w:pos="5280"/>
        </w:tabs>
      </w:pPr>
    </w:p>
    <w:tbl>
      <w:tblPr>
        <w:tblStyle w:val="Reetkatablice"/>
        <w:tblpPr w:leftFromText="180" w:rightFromText="180" w:vertAnchor="text" w:horzAnchor="margin" w:tblpY="76"/>
        <w:tblW w:w="14328" w:type="dxa"/>
        <w:tblLayout w:type="fixed"/>
        <w:tblLook w:val="04A0"/>
      </w:tblPr>
      <w:tblGrid>
        <w:gridCol w:w="846"/>
        <w:gridCol w:w="1984"/>
        <w:gridCol w:w="4678"/>
        <w:gridCol w:w="1701"/>
        <w:gridCol w:w="1843"/>
        <w:gridCol w:w="1559"/>
        <w:gridCol w:w="1717"/>
      </w:tblGrid>
      <w:tr w:rsidR="00777ABF" w:rsidTr="00F57898">
        <w:tc>
          <w:tcPr>
            <w:tcW w:w="846" w:type="dxa"/>
            <w:shd w:val="clear" w:color="auto" w:fill="CCFFFF"/>
          </w:tcPr>
          <w:p w:rsidR="00777ABF" w:rsidRDefault="00777ABF" w:rsidP="00F57898">
            <w:pPr>
              <w:pStyle w:val="Tijeloteksta"/>
              <w:tabs>
                <w:tab w:val="left" w:pos="5280"/>
              </w:tabs>
              <w:jc w:val="center"/>
            </w:pPr>
          </w:p>
        </w:tc>
        <w:tc>
          <w:tcPr>
            <w:tcW w:w="1984" w:type="dxa"/>
            <w:shd w:val="clear" w:color="auto" w:fill="CCFFFF"/>
          </w:tcPr>
          <w:p w:rsidR="00777ABF" w:rsidRDefault="00777ABF" w:rsidP="00F57898">
            <w:pPr>
              <w:pStyle w:val="Tijeloteksta"/>
              <w:tabs>
                <w:tab w:val="left" w:pos="5280"/>
              </w:tabs>
              <w:jc w:val="center"/>
            </w:pPr>
          </w:p>
        </w:tc>
        <w:tc>
          <w:tcPr>
            <w:tcW w:w="4678" w:type="dxa"/>
            <w:shd w:val="clear" w:color="auto" w:fill="CCFFFF"/>
          </w:tcPr>
          <w:p w:rsidR="00777ABF" w:rsidRDefault="00777ABF" w:rsidP="00F57898">
            <w:pPr>
              <w:pStyle w:val="Tijeloteksta"/>
              <w:tabs>
                <w:tab w:val="left" w:pos="5280"/>
              </w:tabs>
              <w:jc w:val="center"/>
            </w:pPr>
          </w:p>
        </w:tc>
        <w:tc>
          <w:tcPr>
            <w:tcW w:w="5103" w:type="dxa"/>
            <w:gridSpan w:val="3"/>
            <w:shd w:val="clear" w:color="auto" w:fill="CCFFFF"/>
          </w:tcPr>
          <w:p w:rsidR="00777ABF" w:rsidRDefault="00777ABF" w:rsidP="00F57898">
            <w:pPr>
              <w:pStyle w:val="Tijeloteksta"/>
              <w:tabs>
                <w:tab w:val="left" w:pos="5280"/>
              </w:tabs>
              <w:jc w:val="center"/>
            </w:pPr>
            <w:r>
              <w:t>Iznos</w:t>
            </w:r>
          </w:p>
        </w:tc>
        <w:tc>
          <w:tcPr>
            <w:tcW w:w="1717" w:type="dxa"/>
            <w:shd w:val="clear" w:color="auto" w:fill="CCFFFF"/>
          </w:tcPr>
          <w:p w:rsidR="00777ABF" w:rsidRDefault="00777ABF" w:rsidP="00F57898">
            <w:pPr>
              <w:pStyle w:val="Tijeloteksta"/>
              <w:tabs>
                <w:tab w:val="left" w:pos="5280"/>
              </w:tabs>
              <w:jc w:val="center"/>
            </w:pPr>
          </w:p>
        </w:tc>
      </w:tr>
      <w:tr w:rsidR="00777ABF" w:rsidTr="00F57898">
        <w:tc>
          <w:tcPr>
            <w:tcW w:w="846" w:type="dxa"/>
            <w:shd w:val="clear" w:color="auto" w:fill="CCFFFF"/>
          </w:tcPr>
          <w:p w:rsidR="00777ABF" w:rsidRDefault="00777ABF" w:rsidP="00F57898">
            <w:pPr>
              <w:pStyle w:val="Tijeloteksta"/>
              <w:tabs>
                <w:tab w:val="left" w:pos="5280"/>
              </w:tabs>
              <w:jc w:val="center"/>
            </w:pPr>
            <w:r>
              <w:t>Redni</w:t>
            </w:r>
          </w:p>
          <w:p w:rsidR="00777ABF" w:rsidRDefault="00777ABF" w:rsidP="00F57898">
            <w:pPr>
              <w:pStyle w:val="Tijeloteksta"/>
              <w:tabs>
                <w:tab w:val="left" w:pos="5280"/>
              </w:tabs>
              <w:jc w:val="center"/>
            </w:pPr>
            <w:r>
              <w:t>broj</w:t>
            </w:r>
          </w:p>
        </w:tc>
        <w:tc>
          <w:tcPr>
            <w:tcW w:w="1984" w:type="dxa"/>
            <w:shd w:val="clear" w:color="auto" w:fill="CCFFFF"/>
          </w:tcPr>
          <w:p w:rsidR="00777ABF" w:rsidRDefault="00777ABF" w:rsidP="00F57898">
            <w:pPr>
              <w:pStyle w:val="Tijeloteksta"/>
              <w:tabs>
                <w:tab w:val="left" w:pos="5280"/>
              </w:tabs>
              <w:jc w:val="center"/>
            </w:pPr>
            <w:r>
              <w:t>Aktivnost</w:t>
            </w:r>
          </w:p>
        </w:tc>
        <w:tc>
          <w:tcPr>
            <w:tcW w:w="4678" w:type="dxa"/>
            <w:shd w:val="clear" w:color="auto" w:fill="CCFFFF"/>
          </w:tcPr>
          <w:p w:rsidR="00777ABF" w:rsidRDefault="00777ABF" w:rsidP="00F57898">
            <w:pPr>
              <w:pStyle w:val="Tijeloteksta"/>
              <w:tabs>
                <w:tab w:val="left" w:pos="5280"/>
              </w:tabs>
              <w:jc w:val="center"/>
            </w:pPr>
            <w:r>
              <w:t>Opis</w:t>
            </w:r>
          </w:p>
        </w:tc>
        <w:tc>
          <w:tcPr>
            <w:tcW w:w="1701" w:type="dxa"/>
            <w:shd w:val="clear" w:color="auto" w:fill="CCFFFF"/>
          </w:tcPr>
          <w:p w:rsidR="00777ABF" w:rsidRDefault="00777ABF" w:rsidP="00F57898">
            <w:pPr>
              <w:pStyle w:val="Tijeloteksta"/>
              <w:tabs>
                <w:tab w:val="left" w:pos="990"/>
                <w:tab w:val="right" w:pos="4887"/>
              </w:tabs>
              <w:jc w:val="center"/>
            </w:pPr>
            <w:r>
              <w:t>Općina Gornji Bogićevci</w:t>
            </w:r>
          </w:p>
        </w:tc>
        <w:tc>
          <w:tcPr>
            <w:tcW w:w="1843" w:type="dxa"/>
            <w:shd w:val="clear" w:color="auto" w:fill="CCFFFF"/>
          </w:tcPr>
          <w:p w:rsidR="00777ABF" w:rsidRDefault="00777ABF" w:rsidP="00F57898">
            <w:pPr>
              <w:pStyle w:val="Tijeloteksta"/>
              <w:tabs>
                <w:tab w:val="left" w:pos="990"/>
                <w:tab w:val="right" w:pos="4887"/>
              </w:tabs>
              <w:jc w:val="center"/>
            </w:pPr>
            <w:r>
              <w:t>Ministarstvo kulture i županija</w:t>
            </w:r>
          </w:p>
        </w:tc>
        <w:tc>
          <w:tcPr>
            <w:tcW w:w="1559" w:type="dxa"/>
            <w:shd w:val="clear" w:color="auto" w:fill="CCFFFF"/>
          </w:tcPr>
          <w:p w:rsidR="00777ABF" w:rsidRDefault="00777ABF" w:rsidP="00F57898">
            <w:pPr>
              <w:pStyle w:val="Tijeloteksta"/>
              <w:tabs>
                <w:tab w:val="left" w:pos="990"/>
                <w:tab w:val="right" w:pos="4887"/>
              </w:tabs>
              <w:jc w:val="center"/>
            </w:pPr>
            <w:r>
              <w:t>Vlastiti</w:t>
            </w:r>
          </w:p>
          <w:p w:rsidR="00777ABF" w:rsidRDefault="00777ABF" w:rsidP="00F57898">
            <w:pPr>
              <w:pStyle w:val="Tijeloteksta"/>
              <w:tabs>
                <w:tab w:val="left" w:pos="990"/>
                <w:tab w:val="right" w:pos="4887"/>
              </w:tabs>
              <w:jc w:val="center"/>
            </w:pPr>
            <w:r>
              <w:t>prihodi</w:t>
            </w:r>
          </w:p>
        </w:tc>
        <w:tc>
          <w:tcPr>
            <w:tcW w:w="1717" w:type="dxa"/>
            <w:shd w:val="clear" w:color="auto" w:fill="CCFFFF"/>
          </w:tcPr>
          <w:p w:rsidR="00777ABF" w:rsidRDefault="00777ABF" w:rsidP="00F57898">
            <w:pPr>
              <w:pStyle w:val="Tijeloteksta"/>
              <w:tabs>
                <w:tab w:val="left" w:pos="5280"/>
              </w:tabs>
              <w:jc w:val="center"/>
            </w:pPr>
            <w:r>
              <w:t>Ukupno</w:t>
            </w:r>
          </w:p>
          <w:p w:rsidR="00777ABF" w:rsidRDefault="00777ABF" w:rsidP="00F57898">
            <w:pPr>
              <w:pStyle w:val="Tijeloteksta"/>
              <w:tabs>
                <w:tab w:val="left" w:pos="5280"/>
              </w:tabs>
              <w:jc w:val="center"/>
            </w:pPr>
            <w:r>
              <w:t>(EUR)</w:t>
            </w:r>
          </w:p>
        </w:tc>
      </w:tr>
      <w:tr w:rsidR="00777ABF" w:rsidTr="00F57898">
        <w:tc>
          <w:tcPr>
            <w:tcW w:w="846" w:type="dxa"/>
          </w:tcPr>
          <w:p w:rsidR="00777ABF" w:rsidRDefault="00777ABF" w:rsidP="00F57898">
            <w:pPr>
              <w:pStyle w:val="Tijeloteksta"/>
              <w:tabs>
                <w:tab w:val="left" w:pos="5280"/>
              </w:tabs>
            </w:pPr>
            <w:r>
              <w:t>1.</w:t>
            </w:r>
          </w:p>
        </w:tc>
        <w:tc>
          <w:tcPr>
            <w:tcW w:w="1984" w:type="dxa"/>
          </w:tcPr>
          <w:p w:rsidR="00777ABF" w:rsidRDefault="00777ABF" w:rsidP="00F57898">
            <w:pPr>
              <w:pStyle w:val="Tijeloteksta"/>
              <w:tabs>
                <w:tab w:val="left" w:pos="5280"/>
              </w:tabs>
              <w:rPr>
                <w:color w:val="000000" w:themeColor="text1"/>
              </w:rPr>
            </w:pPr>
            <w:r>
              <w:rPr>
                <w:color w:val="000000" w:themeColor="text1"/>
              </w:rPr>
              <w:t>Narodna knjižnica i čitaonica Gornji Bogićevci</w:t>
            </w:r>
          </w:p>
        </w:tc>
        <w:tc>
          <w:tcPr>
            <w:tcW w:w="4678" w:type="dxa"/>
          </w:tcPr>
          <w:p w:rsidR="00777ABF" w:rsidRDefault="00777ABF" w:rsidP="00F57898">
            <w:pPr>
              <w:pStyle w:val="Tijeloteksta"/>
              <w:tabs>
                <w:tab w:val="left" w:pos="5280"/>
              </w:tabs>
              <w:rPr>
                <w:color w:val="000000" w:themeColor="text1"/>
              </w:rPr>
            </w:pPr>
            <w:r>
              <w:rPr>
                <w:color w:val="000000" w:themeColor="text1"/>
              </w:rPr>
              <w:t>redovna djelatnost te nabavka knjiga, uredskog namještaja i opreme</w:t>
            </w:r>
          </w:p>
        </w:tc>
        <w:tc>
          <w:tcPr>
            <w:tcW w:w="1701" w:type="dxa"/>
          </w:tcPr>
          <w:p w:rsidR="00777ABF" w:rsidRDefault="00777ABF" w:rsidP="00F57898">
            <w:pPr>
              <w:pStyle w:val="Tijeloteksta"/>
              <w:tabs>
                <w:tab w:val="left" w:pos="5280"/>
              </w:tabs>
              <w:jc w:val="center"/>
            </w:pPr>
          </w:p>
          <w:p w:rsidR="00777ABF" w:rsidRDefault="00777ABF" w:rsidP="00F57898">
            <w:pPr>
              <w:pStyle w:val="Tijeloteksta"/>
              <w:tabs>
                <w:tab w:val="left" w:pos="5280"/>
              </w:tabs>
              <w:jc w:val="center"/>
            </w:pPr>
            <w:r>
              <w:t>38.454,28</w:t>
            </w:r>
          </w:p>
        </w:tc>
        <w:tc>
          <w:tcPr>
            <w:tcW w:w="1843" w:type="dxa"/>
          </w:tcPr>
          <w:p w:rsidR="00777ABF" w:rsidRDefault="00777ABF" w:rsidP="00F57898">
            <w:pPr>
              <w:pStyle w:val="Tijeloteksta"/>
              <w:tabs>
                <w:tab w:val="left" w:pos="5280"/>
              </w:tabs>
              <w:jc w:val="center"/>
            </w:pPr>
          </w:p>
          <w:p w:rsidR="00777ABF" w:rsidRDefault="00777ABF" w:rsidP="00F57898">
            <w:pPr>
              <w:pStyle w:val="Tijeloteksta"/>
              <w:tabs>
                <w:tab w:val="left" w:pos="5280"/>
              </w:tabs>
              <w:jc w:val="center"/>
            </w:pPr>
            <w:r>
              <w:t>15.467,50</w:t>
            </w:r>
          </w:p>
        </w:tc>
        <w:tc>
          <w:tcPr>
            <w:tcW w:w="1559" w:type="dxa"/>
          </w:tcPr>
          <w:p w:rsidR="00777ABF" w:rsidRDefault="00777ABF" w:rsidP="00F57898">
            <w:pPr>
              <w:pStyle w:val="Tijeloteksta"/>
              <w:tabs>
                <w:tab w:val="left" w:pos="5280"/>
              </w:tabs>
              <w:jc w:val="center"/>
            </w:pPr>
          </w:p>
          <w:p w:rsidR="00777ABF" w:rsidRDefault="00777ABF" w:rsidP="00F57898">
            <w:pPr>
              <w:pStyle w:val="Tijeloteksta"/>
              <w:tabs>
                <w:tab w:val="left" w:pos="5280"/>
              </w:tabs>
              <w:jc w:val="center"/>
            </w:pPr>
            <w:r>
              <w:t>500,00</w:t>
            </w:r>
          </w:p>
          <w:p w:rsidR="00777ABF" w:rsidRDefault="00777ABF" w:rsidP="00F57898">
            <w:pPr>
              <w:pStyle w:val="Tijeloteksta"/>
              <w:tabs>
                <w:tab w:val="left" w:pos="5280"/>
              </w:tabs>
              <w:jc w:val="center"/>
            </w:pPr>
          </w:p>
        </w:tc>
        <w:tc>
          <w:tcPr>
            <w:tcW w:w="1717" w:type="dxa"/>
          </w:tcPr>
          <w:p w:rsidR="00777ABF" w:rsidRDefault="00777ABF" w:rsidP="00F57898">
            <w:pPr>
              <w:pStyle w:val="Tijeloteksta"/>
              <w:tabs>
                <w:tab w:val="left" w:pos="5280"/>
              </w:tabs>
              <w:jc w:val="center"/>
            </w:pPr>
          </w:p>
          <w:p w:rsidR="00777ABF" w:rsidRDefault="00777ABF" w:rsidP="00F57898">
            <w:pPr>
              <w:pStyle w:val="Tijeloteksta"/>
              <w:tabs>
                <w:tab w:val="left" w:pos="5280"/>
              </w:tabs>
              <w:jc w:val="center"/>
            </w:pPr>
            <w:r>
              <w:t>54.421,78</w:t>
            </w:r>
          </w:p>
        </w:tc>
      </w:tr>
      <w:tr w:rsidR="00777ABF" w:rsidTr="00F57898">
        <w:tc>
          <w:tcPr>
            <w:tcW w:w="846" w:type="dxa"/>
          </w:tcPr>
          <w:p w:rsidR="00777ABF" w:rsidRDefault="00777ABF" w:rsidP="00F57898">
            <w:pPr>
              <w:pStyle w:val="Tijeloteksta"/>
              <w:tabs>
                <w:tab w:val="left" w:pos="5280"/>
              </w:tabs>
            </w:pPr>
            <w:r>
              <w:t>2.</w:t>
            </w:r>
          </w:p>
        </w:tc>
        <w:tc>
          <w:tcPr>
            <w:tcW w:w="1984" w:type="dxa"/>
          </w:tcPr>
          <w:p w:rsidR="00777ABF" w:rsidRDefault="00777ABF" w:rsidP="00F57898">
            <w:pPr>
              <w:pStyle w:val="Tijeloteksta"/>
              <w:tabs>
                <w:tab w:val="left" w:pos="5280"/>
              </w:tabs>
            </w:pPr>
            <w:r>
              <w:t>Djelatnost ustanova i udruga u kulturi</w:t>
            </w:r>
          </w:p>
        </w:tc>
        <w:tc>
          <w:tcPr>
            <w:tcW w:w="4678" w:type="dxa"/>
          </w:tcPr>
          <w:p w:rsidR="00777ABF" w:rsidRDefault="00777ABF" w:rsidP="00F57898">
            <w:pPr>
              <w:pStyle w:val="Tijeloteksta"/>
              <w:tabs>
                <w:tab w:val="left" w:pos="5280"/>
              </w:tabs>
            </w:pPr>
            <w:r>
              <w:t>Financiranje udruženja i udruga u kulturi koje su od interesa za općinu Gornji Bogićevci te Radio „Bljeska“</w:t>
            </w:r>
          </w:p>
        </w:tc>
        <w:tc>
          <w:tcPr>
            <w:tcW w:w="1701" w:type="dxa"/>
          </w:tcPr>
          <w:p w:rsidR="00777ABF" w:rsidRDefault="00777ABF" w:rsidP="00F57898">
            <w:pPr>
              <w:pStyle w:val="Tijeloteksta"/>
              <w:tabs>
                <w:tab w:val="left" w:pos="5280"/>
              </w:tabs>
              <w:jc w:val="center"/>
              <w:rPr>
                <w:color w:val="000000" w:themeColor="text1"/>
              </w:rPr>
            </w:pPr>
          </w:p>
          <w:p w:rsidR="00777ABF" w:rsidRDefault="00777ABF" w:rsidP="00F57898">
            <w:pPr>
              <w:pStyle w:val="Tijeloteksta"/>
              <w:tabs>
                <w:tab w:val="left" w:pos="5280"/>
              </w:tabs>
              <w:jc w:val="center"/>
              <w:rPr>
                <w:color w:val="000000" w:themeColor="text1"/>
              </w:rPr>
            </w:pPr>
            <w:r>
              <w:rPr>
                <w:color w:val="000000" w:themeColor="text1"/>
              </w:rPr>
              <w:t>1</w:t>
            </w:r>
            <w:r>
              <w:rPr>
                <w:color w:val="000000" w:themeColor="text1"/>
                <w:lang w:val="hr-HR"/>
              </w:rPr>
              <w:t>8</w:t>
            </w:r>
            <w:r>
              <w:rPr>
                <w:color w:val="000000" w:themeColor="text1"/>
              </w:rPr>
              <w:t>.300,00</w:t>
            </w:r>
          </w:p>
        </w:tc>
        <w:tc>
          <w:tcPr>
            <w:tcW w:w="1843" w:type="dxa"/>
          </w:tcPr>
          <w:p w:rsidR="00777ABF" w:rsidRDefault="00777ABF" w:rsidP="00F57898">
            <w:pPr>
              <w:pStyle w:val="Tijeloteksta"/>
              <w:tabs>
                <w:tab w:val="left" w:pos="5280"/>
              </w:tabs>
              <w:jc w:val="center"/>
              <w:rPr>
                <w:color w:val="000000" w:themeColor="text1"/>
              </w:rPr>
            </w:pPr>
          </w:p>
          <w:p w:rsidR="00777ABF" w:rsidRDefault="00777ABF" w:rsidP="00F57898">
            <w:pPr>
              <w:pStyle w:val="Tijeloteksta"/>
              <w:tabs>
                <w:tab w:val="left" w:pos="5280"/>
              </w:tabs>
              <w:jc w:val="center"/>
              <w:rPr>
                <w:color w:val="000000" w:themeColor="text1"/>
              </w:rPr>
            </w:pPr>
            <w:r>
              <w:rPr>
                <w:color w:val="000000" w:themeColor="text1"/>
              </w:rPr>
              <w:t>-</w:t>
            </w:r>
          </w:p>
        </w:tc>
        <w:tc>
          <w:tcPr>
            <w:tcW w:w="1559" w:type="dxa"/>
          </w:tcPr>
          <w:p w:rsidR="00777ABF" w:rsidRDefault="00777ABF" w:rsidP="00F57898">
            <w:pPr>
              <w:pStyle w:val="Tijeloteksta"/>
              <w:tabs>
                <w:tab w:val="left" w:pos="5280"/>
              </w:tabs>
              <w:jc w:val="center"/>
              <w:rPr>
                <w:color w:val="000000" w:themeColor="text1"/>
              </w:rPr>
            </w:pPr>
          </w:p>
          <w:p w:rsidR="00777ABF" w:rsidRDefault="00777ABF" w:rsidP="00F57898">
            <w:pPr>
              <w:pStyle w:val="Tijeloteksta"/>
              <w:tabs>
                <w:tab w:val="left" w:pos="5280"/>
              </w:tabs>
              <w:jc w:val="center"/>
              <w:rPr>
                <w:color w:val="000000" w:themeColor="text1"/>
              </w:rPr>
            </w:pPr>
            <w:r>
              <w:rPr>
                <w:color w:val="000000" w:themeColor="text1"/>
              </w:rPr>
              <w:t>-</w:t>
            </w:r>
          </w:p>
        </w:tc>
        <w:tc>
          <w:tcPr>
            <w:tcW w:w="1717" w:type="dxa"/>
          </w:tcPr>
          <w:p w:rsidR="00777ABF" w:rsidRDefault="00777ABF" w:rsidP="00F57898">
            <w:pPr>
              <w:pStyle w:val="Tijeloteksta"/>
              <w:tabs>
                <w:tab w:val="left" w:pos="5280"/>
              </w:tabs>
              <w:jc w:val="center"/>
              <w:rPr>
                <w:color w:val="000000" w:themeColor="text1"/>
              </w:rPr>
            </w:pPr>
          </w:p>
          <w:p w:rsidR="00777ABF" w:rsidRDefault="00777ABF" w:rsidP="00F57898">
            <w:pPr>
              <w:pStyle w:val="Tijeloteksta"/>
              <w:tabs>
                <w:tab w:val="left" w:pos="5280"/>
              </w:tabs>
              <w:jc w:val="center"/>
              <w:rPr>
                <w:color w:val="000000" w:themeColor="text1"/>
              </w:rPr>
            </w:pPr>
            <w:r>
              <w:rPr>
                <w:color w:val="000000" w:themeColor="text1"/>
              </w:rPr>
              <w:t>1</w:t>
            </w:r>
            <w:r>
              <w:rPr>
                <w:color w:val="000000" w:themeColor="text1"/>
                <w:lang w:val="hr-HR"/>
              </w:rPr>
              <w:t>8</w:t>
            </w:r>
            <w:r>
              <w:rPr>
                <w:color w:val="000000" w:themeColor="text1"/>
              </w:rPr>
              <w:t>.300,00</w:t>
            </w:r>
          </w:p>
        </w:tc>
      </w:tr>
      <w:tr w:rsidR="00777ABF" w:rsidTr="00F57898">
        <w:tc>
          <w:tcPr>
            <w:tcW w:w="846" w:type="dxa"/>
            <w:tcBorders>
              <w:bottom w:val="single" w:sz="4" w:space="0" w:color="auto"/>
            </w:tcBorders>
          </w:tcPr>
          <w:p w:rsidR="00777ABF" w:rsidRDefault="00777ABF" w:rsidP="00F57898">
            <w:pPr>
              <w:pStyle w:val="Tijeloteksta"/>
              <w:tabs>
                <w:tab w:val="left" w:pos="5280"/>
              </w:tabs>
            </w:pPr>
            <w:r>
              <w:t>3.</w:t>
            </w:r>
          </w:p>
        </w:tc>
        <w:tc>
          <w:tcPr>
            <w:tcW w:w="1984" w:type="dxa"/>
            <w:tcBorders>
              <w:bottom w:val="single" w:sz="4" w:space="0" w:color="auto"/>
            </w:tcBorders>
          </w:tcPr>
          <w:p w:rsidR="00777ABF" w:rsidRDefault="00777ABF" w:rsidP="00F57898">
            <w:pPr>
              <w:pStyle w:val="Tijeloteksta"/>
              <w:tabs>
                <w:tab w:val="left" w:pos="5280"/>
              </w:tabs>
            </w:pPr>
            <w:r>
              <w:t>Utvrda Bedem</w:t>
            </w:r>
          </w:p>
        </w:tc>
        <w:tc>
          <w:tcPr>
            <w:tcW w:w="4678" w:type="dxa"/>
            <w:tcBorders>
              <w:bottom w:val="single" w:sz="4" w:space="0" w:color="auto"/>
            </w:tcBorders>
          </w:tcPr>
          <w:p w:rsidR="00777ABF" w:rsidRDefault="00777ABF" w:rsidP="00F57898">
            <w:pPr>
              <w:pStyle w:val="Tijeloteksta"/>
              <w:tabs>
                <w:tab w:val="left" w:pos="5280"/>
              </w:tabs>
            </w:pPr>
            <w:r>
              <w:t>Kapitalni projekt</w:t>
            </w:r>
          </w:p>
        </w:tc>
        <w:tc>
          <w:tcPr>
            <w:tcW w:w="1701" w:type="dxa"/>
            <w:tcBorders>
              <w:bottom w:val="single" w:sz="4" w:space="0" w:color="auto"/>
            </w:tcBorders>
          </w:tcPr>
          <w:p w:rsidR="00777ABF" w:rsidRDefault="00777ABF" w:rsidP="00F57898">
            <w:pPr>
              <w:pStyle w:val="Tijeloteksta"/>
              <w:tabs>
                <w:tab w:val="left" w:pos="5280"/>
              </w:tabs>
              <w:jc w:val="center"/>
            </w:pPr>
            <w:r>
              <w:t>-</w:t>
            </w:r>
          </w:p>
        </w:tc>
        <w:tc>
          <w:tcPr>
            <w:tcW w:w="1843" w:type="dxa"/>
            <w:tcBorders>
              <w:bottom w:val="single" w:sz="4" w:space="0" w:color="auto"/>
            </w:tcBorders>
          </w:tcPr>
          <w:p w:rsidR="00777ABF" w:rsidRDefault="00777ABF" w:rsidP="00F57898">
            <w:pPr>
              <w:pStyle w:val="Tijeloteksta"/>
              <w:tabs>
                <w:tab w:val="left" w:pos="5280"/>
              </w:tabs>
              <w:jc w:val="center"/>
            </w:pPr>
            <w:r>
              <w:t>12.000,00</w:t>
            </w:r>
          </w:p>
        </w:tc>
        <w:tc>
          <w:tcPr>
            <w:tcW w:w="1559" w:type="dxa"/>
            <w:tcBorders>
              <w:bottom w:val="single" w:sz="4" w:space="0" w:color="auto"/>
            </w:tcBorders>
          </w:tcPr>
          <w:p w:rsidR="00777ABF" w:rsidRDefault="00777ABF" w:rsidP="00F57898">
            <w:pPr>
              <w:pStyle w:val="Tijeloteksta"/>
              <w:tabs>
                <w:tab w:val="left" w:pos="5280"/>
              </w:tabs>
              <w:jc w:val="center"/>
            </w:pPr>
            <w:r>
              <w:t>-</w:t>
            </w:r>
          </w:p>
        </w:tc>
        <w:tc>
          <w:tcPr>
            <w:tcW w:w="1717" w:type="dxa"/>
            <w:tcBorders>
              <w:bottom w:val="single" w:sz="4" w:space="0" w:color="auto"/>
            </w:tcBorders>
          </w:tcPr>
          <w:p w:rsidR="00777ABF" w:rsidRDefault="00777ABF" w:rsidP="00F57898">
            <w:pPr>
              <w:pStyle w:val="Tijeloteksta"/>
              <w:tabs>
                <w:tab w:val="left" w:pos="5280"/>
              </w:tabs>
              <w:jc w:val="center"/>
            </w:pPr>
            <w:r>
              <w:t>12.000,00</w:t>
            </w:r>
          </w:p>
        </w:tc>
      </w:tr>
      <w:tr w:rsidR="00777ABF" w:rsidTr="00F57898">
        <w:tc>
          <w:tcPr>
            <w:tcW w:w="12611" w:type="dxa"/>
            <w:gridSpan w:val="6"/>
            <w:shd w:val="clear" w:color="auto" w:fill="CCFFFF"/>
          </w:tcPr>
          <w:p w:rsidR="00777ABF" w:rsidRDefault="00777ABF" w:rsidP="00F57898">
            <w:pPr>
              <w:pStyle w:val="Tijeloteksta"/>
              <w:tabs>
                <w:tab w:val="left" w:pos="5280"/>
              </w:tabs>
              <w:jc w:val="center"/>
              <w:rPr>
                <w:b/>
              </w:rPr>
            </w:pPr>
          </w:p>
          <w:p w:rsidR="00777ABF" w:rsidRDefault="00777ABF" w:rsidP="00F57898">
            <w:pPr>
              <w:pStyle w:val="Tijeloteksta"/>
              <w:tabs>
                <w:tab w:val="left" w:pos="5280"/>
              </w:tabs>
              <w:jc w:val="center"/>
              <w:rPr>
                <w:b/>
              </w:rPr>
            </w:pPr>
            <w:r>
              <w:rPr>
                <w:b/>
              </w:rPr>
              <w:t>UKUPNO PROGRAM JAVNIH POTREBA U KULTURI:</w:t>
            </w:r>
          </w:p>
        </w:tc>
        <w:tc>
          <w:tcPr>
            <w:tcW w:w="1717" w:type="dxa"/>
            <w:shd w:val="clear" w:color="auto" w:fill="CCFFFF"/>
          </w:tcPr>
          <w:p w:rsidR="00777ABF" w:rsidRDefault="00777ABF" w:rsidP="00F57898">
            <w:pPr>
              <w:pStyle w:val="Tijeloteksta"/>
              <w:tabs>
                <w:tab w:val="left" w:pos="5280"/>
              </w:tabs>
              <w:jc w:val="center"/>
              <w:rPr>
                <w:b/>
              </w:rPr>
            </w:pPr>
          </w:p>
          <w:p w:rsidR="00777ABF" w:rsidRDefault="00777ABF" w:rsidP="00F57898">
            <w:pPr>
              <w:pStyle w:val="Tijeloteksta"/>
              <w:tabs>
                <w:tab w:val="left" w:pos="5280"/>
              </w:tabs>
              <w:jc w:val="center"/>
              <w:rPr>
                <w:b/>
              </w:rPr>
            </w:pPr>
            <w:r>
              <w:rPr>
                <w:b/>
                <w:lang w:val="hr-HR"/>
              </w:rPr>
              <w:t>84.721,78</w:t>
            </w:r>
          </w:p>
        </w:tc>
      </w:tr>
    </w:tbl>
    <w:p w:rsidR="00777ABF" w:rsidRDefault="00777ABF" w:rsidP="00777ABF">
      <w:pPr>
        <w:pStyle w:val="Tijeloteksta"/>
        <w:tabs>
          <w:tab w:val="left" w:pos="5280"/>
        </w:tabs>
        <w:jc w:val="center"/>
        <w:rPr>
          <w:b/>
          <w:bCs/>
        </w:rPr>
      </w:pPr>
    </w:p>
    <w:p w:rsidR="00777ABF" w:rsidRDefault="00777ABF" w:rsidP="00777ABF">
      <w:pPr>
        <w:pStyle w:val="Tijeloteksta"/>
        <w:tabs>
          <w:tab w:val="left" w:pos="5280"/>
        </w:tabs>
        <w:jc w:val="center"/>
        <w:rPr>
          <w:b/>
          <w:bCs/>
        </w:rPr>
      </w:pPr>
    </w:p>
    <w:p w:rsidR="00777ABF" w:rsidRDefault="00777ABF" w:rsidP="00777ABF">
      <w:pPr>
        <w:pStyle w:val="Tijeloteksta"/>
        <w:tabs>
          <w:tab w:val="left" w:pos="5280"/>
        </w:tabs>
        <w:jc w:val="center"/>
        <w:rPr>
          <w:b/>
          <w:bCs/>
        </w:rPr>
      </w:pPr>
      <w:r>
        <w:rPr>
          <w:b/>
          <w:bCs/>
        </w:rPr>
        <w:t>II. DJELATNOST VJERSKIH ZAJEDNICA</w:t>
      </w:r>
    </w:p>
    <w:p w:rsidR="00777ABF" w:rsidRDefault="00777ABF" w:rsidP="00777ABF">
      <w:pPr>
        <w:pStyle w:val="Tijeloteksta"/>
        <w:tabs>
          <w:tab w:val="left" w:pos="5280"/>
        </w:tabs>
        <w:jc w:val="center"/>
        <w:rPr>
          <w:b/>
          <w:bCs/>
        </w:rPr>
      </w:pPr>
    </w:p>
    <w:p w:rsidR="00777ABF" w:rsidRDefault="00777ABF" w:rsidP="00777ABF">
      <w:pPr>
        <w:pStyle w:val="Tijeloteksta"/>
        <w:tabs>
          <w:tab w:val="left" w:pos="5280"/>
        </w:tabs>
        <w:jc w:val="center"/>
        <w:rPr>
          <w:b/>
        </w:rPr>
      </w:pPr>
      <w:r>
        <w:rPr>
          <w:b/>
          <w:bCs/>
        </w:rPr>
        <w:t>Članak</w:t>
      </w:r>
      <w:r>
        <w:t xml:space="preserve"> </w:t>
      </w:r>
      <w:r>
        <w:rPr>
          <w:b/>
          <w:bCs/>
        </w:rPr>
        <w:t>4</w:t>
      </w:r>
      <w:r>
        <w:rPr>
          <w:b/>
        </w:rPr>
        <w:t>.</w:t>
      </w:r>
    </w:p>
    <w:p w:rsidR="00777ABF" w:rsidRDefault="00777ABF" w:rsidP="00777ABF">
      <w:pPr>
        <w:pStyle w:val="Tijeloteksta"/>
        <w:tabs>
          <w:tab w:val="left" w:pos="5280"/>
        </w:tabs>
        <w:jc w:val="center"/>
        <w:rPr>
          <w:b/>
        </w:rPr>
      </w:pPr>
    </w:p>
    <w:p w:rsidR="00777ABF" w:rsidRDefault="00777ABF" w:rsidP="00777ABF">
      <w:pPr>
        <w:rPr>
          <w:rFonts w:ascii="Times New Roman" w:hAnsi="Times New Roman" w:cs="Times New Roman"/>
          <w:sz w:val="24"/>
          <w:szCs w:val="24"/>
        </w:rPr>
      </w:pPr>
      <w:r>
        <w:rPr>
          <w:rFonts w:ascii="Times New Roman" w:hAnsi="Times New Roman" w:cs="Times New Roman"/>
          <w:sz w:val="24"/>
          <w:szCs w:val="24"/>
        </w:rPr>
        <w:t>Djelatnost rada vjerskih zajednica na području općine Gornji Bogićevci:</w:t>
      </w:r>
    </w:p>
    <w:tbl>
      <w:tblPr>
        <w:tblStyle w:val="Reetkatablice"/>
        <w:tblW w:w="0" w:type="auto"/>
        <w:tblLook w:val="04A0"/>
      </w:tblPr>
      <w:tblGrid>
        <w:gridCol w:w="1116"/>
        <w:gridCol w:w="2043"/>
        <w:gridCol w:w="3744"/>
        <w:gridCol w:w="1511"/>
        <w:gridCol w:w="1440"/>
      </w:tblGrid>
      <w:tr w:rsidR="00777ABF" w:rsidTr="00F57898">
        <w:tc>
          <w:tcPr>
            <w:tcW w:w="704"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Redni broj</w:t>
            </w:r>
          </w:p>
        </w:tc>
        <w:tc>
          <w:tcPr>
            <w:tcW w:w="2917"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Aktivnost</w:t>
            </w:r>
          </w:p>
        </w:tc>
        <w:tc>
          <w:tcPr>
            <w:tcW w:w="6304"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Aktivnost</w:t>
            </w:r>
          </w:p>
        </w:tc>
        <w:tc>
          <w:tcPr>
            <w:tcW w:w="1843"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Iznos</w:t>
            </w:r>
          </w:p>
        </w:tc>
        <w:tc>
          <w:tcPr>
            <w:tcW w:w="1701"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Ukupno</w:t>
            </w:r>
          </w:p>
        </w:tc>
      </w:tr>
      <w:tr w:rsidR="00777ABF" w:rsidTr="00F57898">
        <w:trPr>
          <w:trHeight w:val="547"/>
        </w:trPr>
        <w:tc>
          <w:tcPr>
            <w:tcW w:w="704" w:type="dxa"/>
          </w:tcPr>
          <w:p w:rsidR="00777ABF" w:rsidRDefault="00777ABF" w:rsidP="00F57898">
            <w:pPr>
              <w:ind w:left="720"/>
              <w:jc w:val="both"/>
              <w:rPr>
                <w:rFonts w:ascii="Times New Roman" w:hAnsi="Times New Roman"/>
                <w:sz w:val="24"/>
                <w:szCs w:val="24"/>
              </w:rPr>
            </w:pPr>
            <w:r>
              <w:rPr>
                <w:rFonts w:ascii="Times New Roman" w:hAnsi="Times New Roman"/>
                <w:sz w:val="24"/>
                <w:szCs w:val="24"/>
              </w:rPr>
              <w:t>1.</w:t>
            </w:r>
          </w:p>
        </w:tc>
        <w:tc>
          <w:tcPr>
            <w:tcW w:w="2917" w:type="dxa"/>
          </w:tcPr>
          <w:p w:rsidR="00777ABF" w:rsidRDefault="00777ABF" w:rsidP="00F57898">
            <w:pPr>
              <w:rPr>
                <w:rFonts w:ascii="Times New Roman" w:hAnsi="Times New Roman"/>
                <w:sz w:val="24"/>
                <w:szCs w:val="24"/>
              </w:rPr>
            </w:pPr>
            <w:r>
              <w:rPr>
                <w:rFonts w:ascii="Times New Roman" w:hAnsi="Times New Roman"/>
                <w:sz w:val="24"/>
                <w:szCs w:val="24"/>
              </w:rPr>
              <w:t>Tekuće donacije</w:t>
            </w:r>
          </w:p>
        </w:tc>
        <w:tc>
          <w:tcPr>
            <w:tcW w:w="6304" w:type="dxa"/>
          </w:tcPr>
          <w:p w:rsidR="00777ABF" w:rsidRDefault="00777ABF" w:rsidP="00F57898">
            <w:pPr>
              <w:rPr>
                <w:rFonts w:ascii="Times New Roman" w:hAnsi="Times New Roman"/>
                <w:sz w:val="24"/>
                <w:szCs w:val="24"/>
              </w:rPr>
            </w:pPr>
            <w:r>
              <w:rPr>
                <w:rFonts w:ascii="Times New Roman" w:hAnsi="Times New Roman"/>
                <w:sz w:val="24"/>
                <w:szCs w:val="24"/>
              </w:rPr>
              <w:t>Tekuće donacije</w:t>
            </w:r>
          </w:p>
        </w:tc>
        <w:tc>
          <w:tcPr>
            <w:tcW w:w="1843" w:type="dxa"/>
          </w:tcPr>
          <w:p w:rsidR="00777ABF" w:rsidRDefault="00777ABF" w:rsidP="00F57898">
            <w:pPr>
              <w:rPr>
                <w:rFonts w:ascii="Times New Roman" w:hAnsi="Times New Roman"/>
                <w:sz w:val="24"/>
                <w:szCs w:val="24"/>
              </w:rPr>
            </w:pPr>
          </w:p>
          <w:p w:rsidR="00777ABF" w:rsidRDefault="00777ABF" w:rsidP="00F57898">
            <w:pPr>
              <w:rPr>
                <w:rFonts w:ascii="Times New Roman" w:hAnsi="Times New Roman"/>
                <w:sz w:val="24"/>
                <w:szCs w:val="24"/>
              </w:rPr>
            </w:pPr>
            <w:r>
              <w:rPr>
                <w:rFonts w:ascii="Times New Roman" w:hAnsi="Times New Roman"/>
                <w:sz w:val="24"/>
                <w:szCs w:val="24"/>
              </w:rPr>
              <w:t>4.600,00</w:t>
            </w:r>
          </w:p>
        </w:tc>
        <w:tc>
          <w:tcPr>
            <w:tcW w:w="1701" w:type="dxa"/>
          </w:tcPr>
          <w:p w:rsidR="00777ABF" w:rsidRDefault="00777ABF" w:rsidP="00F57898">
            <w:pPr>
              <w:rPr>
                <w:rFonts w:ascii="Times New Roman" w:hAnsi="Times New Roman"/>
                <w:sz w:val="24"/>
                <w:szCs w:val="24"/>
              </w:rPr>
            </w:pPr>
          </w:p>
          <w:p w:rsidR="00777ABF" w:rsidRDefault="00777ABF" w:rsidP="00F57898">
            <w:pPr>
              <w:rPr>
                <w:rFonts w:ascii="Times New Roman" w:hAnsi="Times New Roman"/>
                <w:sz w:val="24"/>
                <w:szCs w:val="24"/>
              </w:rPr>
            </w:pPr>
            <w:r>
              <w:rPr>
                <w:rFonts w:ascii="Times New Roman" w:hAnsi="Times New Roman"/>
                <w:sz w:val="24"/>
                <w:szCs w:val="24"/>
              </w:rPr>
              <w:t>4.600,00</w:t>
            </w:r>
          </w:p>
        </w:tc>
      </w:tr>
      <w:tr w:rsidR="00777ABF" w:rsidTr="00F57898">
        <w:tc>
          <w:tcPr>
            <w:tcW w:w="704" w:type="dxa"/>
            <w:tcBorders>
              <w:bottom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2.</w:t>
            </w:r>
          </w:p>
        </w:tc>
        <w:tc>
          <w:tcPr>
            <w:tcW w:w="2917" w:type="dxa"/>
            <w:tcBorders>
              <w:bottom w:val="single" w:sz="4" w:space="0" w:color="auto"/>
            </w:tcBorders>
          </w:tcPr>
          <w:p w:rsidR="00777ABF" w:rsidRDefault="00777ABF" w:rsidP="00F57898">
            <w:pPr>
              <w:rPr>
                <w:rFonts w:ascii="Times New Roman" w:hAnsi="Times New Roman"/>
                <w:sz w:val="24"/>
                <w:szCs w:val="24"/>
              </w:rPr>
            </w:pPr>
            <w:r>
              <w:rPr>
                <w:rFonts w:ascii="Times New Roman" w:hAnsi="Times New Roman"/>
                <w:sz w:val="24"/>
                <w:szCs w:val="24"/>
              </w:rPr>
              <w:t>Kapitalne donacije</w:t>
            </w:r>
          </w:p>
        </w:tc>
        <w:tc>
          <w:tcPr>
            <w:tcW w:w="6304" w:type="dxa"/>
            <w:tcBorders>
              <w:bottom w:val="single" w:sz="4" w:space="0" w:color="auto"/>
            </w:tcBorders>
          </w:tcPr>
          <w:p w:rsidR="00777ABF" w:rsidRDefault="00777ABF" w:rsidP="00F57898">
            <w:pPr>
              <w:rPr>
                <w:rFonts w:ascii="Times New Roman" w:hAnsi="Times New Roman"/>
                <w:sz w:val="24"/>
                <w:szCs w:val="24"/>
              </w:rPr>
            </w:pPr>
            <w:r>
              <w:rPr>
                <w:rFonts w:ascii="Times New Roman" w:hAnsi="Times New Roman"/>
                <w:sz w:val="24"/>
                <w:szCs w:val="24"/>
              </w:rPr>
              <w:t>za zaštitu, očuvanje i obnovu vjerskih objekata na području Općine</w:t>
            </w:r>
          </w:p>
        </w:tc>
        <w:tc>
          <w:tcPr>
            <w:tcW w:w="1843" w:type="dxa"/>
            <w:tcBorders>
              <w:bottom w:val="single" w:sz="4" w:space="0" w:color="auto"/>
            </w:tcBorders>
          </w:tcPr>
          <w:p w:rsidR="00777ABF" w:rsidRDefault="00777ABF" w:rsidP="00F57898">
            <w:pPr>
              <w:rPr>
                <w:rFonts w:ascii="Times New Roman" w:hAnsi="Times New Roman"/>
                <w:sz w:val="24"/>
                <w:szCs w:val="24"/>
              </w:rPr>
            </w:pPr>
            <w:r>
              <w:rPr>
                <w:rFonts w:ascii="Times New Roman" w:hAnsi="Times New Roman"/>
                <w:sz w:val="24"/>
                <w:szCs w:val="24"/>
              </w:rPr>
              <w:t>15.000,00</w:t>
            </w:r>
          </w:p>
        </w:tc>
        <w:tc>
          <w:tcPr>
            <w:tcW w:w="1701" w:type="dxa"/>
            <w:tcBorders>
              <w:bottom w:val="single" w:sz="4" w:space="0" w:color="auto"/>
            </w:tcBorders>
          </w:tcPr>
          <w:p w:rsidR="00777ABF" w:rsidRDefault="00777ABF" w:rsidP="00F57898">
            <w:pPr>
              <w:rPr>
                <w:rFonts w:ascii="Times New Roman" w:hAnsi="Times New Roman"/>
                <w:sz w:val="24"/>
                <w:szCs w:val="24"/>
              </w:rPr>
            </w:pPr>
            <w:r>
              <w:rPr>
                <w:rFonts w:ascii="Times New Roman" w:hAnsi="Times New Roman"/>
                <w:sz w:val="24"/>
                <w:szCs w:val="24"/>
              </w:rPr>
              <w:t>15.000,00</w:t>
            </w:r>
          </w:p>
        </w:tc>
      </w:tr>
      <w:tr w:rsidR="00777ABF" w:rsidTr="00F57898">
        <w:tc>
          <w:tcPr>
            <w:tcW w:w="11768" w:type="dxa"/>
            <w:gridSpan w:val="4"/>
            <w:shd w:val="clear" w:color="auto" w:fill="CCFFFF"/>
          </w:tcPr>
          <w:p w:rsidR="00777ABF" w:rsidRDefault="00777ABF" w:rsidP="00F57898">
            <w:pPr>
              <w:rPr>
                <w:rFonts w:ascii="Times New Roman" w:hAnsi="Times New Roman"/>
                <w:b/>
                <w:sz w:val="24"/>
                <w:szCs w:val="24"/>
              </w:rPr>
            </w:pPr>
          </w:p>
          <w:p w:rsidR="00777ABF" w:rsidRDefault="00777ABF" w:rsidP="00F57898">
            <w:pPr>
              <w:rPr>
                <w:rFonts w:ascii="Times New Roman" w:hAnsi="Times New Roman"/>
                <w:sz w:val="24"/>
                <w:szCs w:val="24"/>
              </w:rPr>
            </w:pPr>
            <w:r>
              <w:rPr>
                <w:rFonts w:ascii="Times New Roman" w:hAnsi="Times New Roman"/>
                <w:b/>
                <w:sz w:val="24"/>
                <w:szCs w:val="24"/>
              </w:rPr>
              <w:t>Ukupno Program rada vjerskih zajednica</w:t>
            </w:r>
          </w:p>
        </w:tc>
        <w:tc>
          <w:tcPr>
            <w:tcW w:w="1701" w:type="dxa"/>
            <w:shd w:val="clear" w:color="auto" w:fill="CCFFFF"/>
          </w:tcPr>
          <w:p w:rsidR="00777ABF" w:rsidRDefault="00777ABF" w:rsidP="00F57898">
            <w:pPr>
              <w:rPr>
                <w:rFonts w:ascii="Times New Roman" w:hAnsi="Times New Roman"/>
                <w:b/>
                <w:sz w:val="24"/>
                <w:szCs w:val="24"/>
              </w:rPr>
            </w:pPr>
          </w:p>
          <w:p w:rsidR="00777ABF" w:rsidRDefault="00777ABF" w:rsidP="00F57898">
            <w:pPr>
              <w:rPr>
                <w:rFonts w:ascii="Times New Roman" w:hAnsi="Times New Roman"/>
                <w:b/>
                <w:sz w:val="24"/>
                <w:szCs w:val="24"/>
              </w:rPr>
            </w:pPr>
            <w:r>
              <w:rPr>
                <w:rFonts w:ascii="Times New Roman" w:hAnsi="Times New Roman"/>
                <w:b/>
                <w:sz w:val="24"/>
                <w:szCs w:val="24"/>
              </w:rPr>
              <w:t>19.600,00</w:t>
            </w:r>
          </w:p>
        </w:tc>
      </w:tr>
    </w:tbl>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r>
        <w:rPr>
          <w:b/>
        </w:rPr>
        <w:lastRenderedPageBreak/>
        <w:t xml:space="preserve">III. OSTALE POTREBE </w:t>
      </w:r>
    </w:p>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r>
        <w:rPr>
          <w:b/>
        </w:rPr>
        <w:t>Članak 5.</w:t>
      </w:r>
    </w:p>
    <w:p w:rsidR="00777ABF" w:rsidRDefault="00777ABF" w:rsidP="00777ABF">
      <w:pPr>
        <w:pStyle w:val="Tijeloteksta"/>
        <w:tabs>
          <w:tab w:val="left" w:pos="5280"/>
        </w:tabs>
        <w:jc w:val="center"/>
        <w:rPr>
          <w:b/>
        </w:rPr>
      </w:pPr>
    </w:p>
    <w:p w:rsidR="00777ABF" w:rsidRDefault="00777ABF" w:rsidP="00777ABF">
      <w:pPr>
        <w:rPr>
          <w:rFonts w:ascii="Times New Roman" w:hAnsi="Times New Roman" w:cs="Times New Roman"/>
          <w:bCs/>
          <w:sz w:val="24"/>
          <w:szCs w:val="24"/>
        </w:rPr>
      </w:pPr>
      <w:r>
        <w:rPr>
          <w:rFonts w:ascii="Times New Roman" w:hAnsi="Times New Roman" w:cs="Times New Roman"/>
          <w:bCs/>
          <w:sz w:val="24"/>
          <w:szCs w:val="24"/>
        </w:rPr>
        <w:t>Program ostalih javnih potreba udruga građana na području općine Gornji Bogićevci:</w:t>
      </w:r>
    </w:p>
    <w:tbl>
      <w:tblPr>
        <w:tblStyle w:val="Reetkatablice"/>
        <w:tblW w:w="0" w:type="auto"/>
        <w:tblLook w:val="04A0"/>
      </w:tblPr>
      <w:tblGrid>
        <w:gridCol w:w="914"/>
        <w:gridCol w:w="2177"/>
        <w:gridCol w:w="5118"/>
        <w:gridCol w:w="1645"/>
      </w:tblGrid>
      <w:tr w:rsidR="00777ABF" w:rsidTr="00F57898">
        <w:tc>
          <w:tcPr>
            <w:tcW w:w="955"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Redni broj</w:t>
            </w:r>
          </w:p>
        </w:tc>
        <w:tc>
          <w:tcPr>
            <w:tcW w:w="2517"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Aktivnost</w:t>
            </w:r>
          </w:p>
        </w:tc>
        <w:tc>
          <w:tcPr>
            <w:tcW w:w="6304"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Aktivnost</w:t>
            </w:r>
          </w:p>
        </w:tc>
        <w:tc>
          <w:tcPr>
            <w:tcW w:w="1843" w:type="dxa"/>
            <w:shd w:val="clear" w:color="auto" w:fill="CCFFFF"/>
          </w:tcPr>
          <w:p w:rsidR="00777ABF" w:rsidRDefault="00777ABF" w:rsidP="00F57898">
            <w:pPr>
              <w:rPr>
                <w:rFonts w:ascii="Times New Roman" w:hAnsi="Times New Roman"/>
                <w:sz w:val="24"/>
                <w:szCs w:val="24"/>
              </w:rPr>
            </w:pPr>
            <w:r>
              <w:rPr>
                <w:rFonts w:ascii="Times New Roman" w:hAnsi="Times New Roman"/>
                <w:sz w:val="24"/>
                <w:szCs w:val="24"/>
              </w:rPr>
              <w:t>Iznos</w:t>
            </w:r>
          </w:p>
        </w:tc>
      </w:tr>
      <w:tr w:rsidR="00777ABF" w:rsidTr="00F57898">
        <w:tc>
          <w:tcPr>
            <w:tcW w:w="955" w:type="dxa"/>
          </w:tcPr>
          <w:p w:rsidR="00777ABF" w:rsidRDefault="00777ABF" w:rsidP="00F57898">
            <w:pPr>
              <w:rPr>
                <w:rFonts w:ascii="Times New Roman" w:hAnsi="Times New Roman"/>
                <w:sz w:val="24"/>
                <w:szCs w:val="24"/>
              </w:rPr>
            </w:pPr>
            <w:r>
              <w:rPr>
                <w:rFonts w:ascii="Times New Roman" w:hAnsi="Times New Roman"/>
                <w:sz w:val="24"/>
                <w:szCs w:val="24"/>
              </w:rPr>
              <w:t>1.</w:t>
            </w:r>
          </w:p>
        </w:tc>
        <w:tc>
          <w:tcPr>
            <w:tcW w:w="2517" w:type="dxa"/>
          </w:tcPr>
          <w:p w:rsidR="00777ABF" w:rsidRDefault="00777ABF" w:rsidP="00F57898">
            <w:pPr>
              <w:rPr>
                <w:rFonts w:ascii="Times New Roman" w:hAnsi="Times New Roman"/>
                <w:sz w:val="24"/>
                <w:szCs w:val="24"/>
              </w:rPr>
            </w:pPr>
            <w:r>
              <w:rPr>
                <w:rFonts w:ascii="Times New Roman" w:hAnsi="Times New Roman"/>
                <w:sz w:val="24"/>
                <w:szCs w:val="24"/>
              </w:rPr>
              <w:t>Ostale udruge građana</w:t>
            </w:r>
          </w:p>
        </w:tc>
        <w:tc>
          <w:tcPr>
            <w:tcW w:w="6304" w:type="dxa"/>
          </w:tcPr>
          <w:p w:rsidR="00777ABF" w:rsidRDefault="00777ABF" w:rsidP="00F57898">
            <w:pPr>
              <w:rPr>
                <w:rFonts w:ascii="Times New Roman" w:hAnsi="Times New Roman"/>
                <w:sz w:val="24"/>
                <w:szCs w:val="24"/>
              </w:rPr>
            </w:pPr>
            <w:r>
              <w:rPr>
                <w:rFonts w:ascii="Times New Roman" w:hAnsi="Times New Roman"/>
                <w:sz w:val="24"/>
                <w:szCs w:val="24"/>
              </w:rPr>
              <w:t>Udruge iz Domovinskog rata</w:t>
            </w:r>
          </w:p>
        </w:tc>
        <w:tc>
          <w:tcPr>
            <w:tcW w:w="1843" w:type="dxa"/>
          </w:tcPr>
          <w:p w:rsidR="00777ABF" w:rsidRDefault="00777ABF" w:rsidP="00F57898">
            <w:pPr>
              <w:rPr>
                <w:rFonts w:ascii="Times New Roman" w:hAnsi="Times New Roman"/>
                <w:sz w:val="24"/>
                <w:szCs w:val="24"/>
              </w:rPr>
            </w:pPr>
            <w:r>
              <w:rPr>
                <w:rFonts w:ascii="Times New Roman" w:hAnsi="Times New Roman"/>
                <w:sz w:val="24"/>
                <w:szCs w:val="24"/>
              </w:rPr>
              <w:t>3.500,00</w:t>
            </w:r>
          </w:p>
        </w:tc>
      </w:tr>
      <w:tr w:rsidR="00777ABF" w:rsidTr="00F57898">
        <w:tc>
          <w:tcPr>
            <w:tcW w:w="9776" w:type="dxa"/>
            <w:gridSpan w:val="3"/>
            <w:shd w:val="clear" w:color="auto" w:fill="CCFFFF"/>
          </w:tcPr>
          <w:p w:rsidR="00777ABF" w:rsidRDefault="00777ABF" w:rsidP="00F57898">
            <w:pPr>
              <w:rPr>
                <w:rFonts w:ascii="Times New Roman" w:hAnsi="Times New Roman"/>
                <w:b/>
                <w:sz w:val="24"/>
                <w:szCs w:val="24"/>
              </w:rPr>
            </w:pPr>
            <w:r>
              <w:rPr>
                <w:rFonts w:ascii="Times New Roman" w:hAnsi="Times New Roman"/>
                <w:b/>
                <w:sz w:val="24"/>
                <w:szCs w:val="24"/>
              </w:rPr>
              <w:t>Ukupno Program ostalih javnih potreba udruga građana:</w:t>
            </w:r>
          </w:p>
        </w:tc>
        <w:tc>
          <w:tcPr>
            <w:tcW w:w="1843" w:type="dxa"/>
            <w:shd w:val="clear" w:color="auto" w:fill="CCFFFF"/>
          </w:tcPr>
          <w:p w:rsidR="00777ABF" w:rsidRDefault="00777ABF" w:rsidP="00F57898">
            <w:pPr>
              <w:rPr>
                <w:rFonts w:ascii="Times New Roman" w:hAnsi="Times New Roman"/>
                <w:b/>
                <w:bCs/>
                <w:sz w:val="24"/>
                <w:szCs w:val="24"/>
              </w:rPr>
            </w:pPr>
            <w:r>
              <w:rPr>
                <w:rFonts w:ascii="Times New Roman" w:hAnsi="Times New Roman"/>
                <w:b/>
                <w:bCs/>
                <w:sz w:val="24"/>
                <w:szCs w:val="24"/>
              </w:rPr>
              <w:t>3.500,00</w:t>
            </w:r>
          </w:p>
        </w:tc>
      </w:tr>
    </w:tbl>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r>
        <w:rPr>
          <w:b/>
        </w:rPr>
        <w:t>IV. SPORTSKE ZAJEDNICE</w:t>
      </w:r>
    </w:p>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r>
        <w:rPr>
          <w:b/>
        </w:rPr>
        <w:t>Članak 6.</w:t>
      </w:r>
    </w:p>
    <w:p w:rsidR="00777ABF" w:rsidRDefault="00777ABF" w:rsidP="00777ABF">
      <w:pPr>
        <w:pStyle w:val="Tijeloteksta"/>
        <w:tabs>
          <w:tab w:val="left" w:pos="5280"/>
        </w:tabs>
        <w:jc w:val="center"/>
        <w:rPr>
          <w:b/>
        </w:rPr>
      </w:pP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Javne potrebe u sportu su programi, aktivnosti, poslovi vezani u sportu od značaja za općinu Gornji Bogićevci za:</w:t>
      </w: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poticanje i promicanje sporta</w:t>
      </w: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djelovanje sportskih udruga, </w:t>
      </w: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 promicanje sportskih aktivnosti djece i mladeži, </w:t>
      </w: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razvijati sportsko-rekreacijske aktivnosti građana  i sl.</w:t>
      </w: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p w:rsid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Članak 7.</w:t>
      </w: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p w:rsid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Financijska sredstva javnih potreba u sportu raspodjeljuju se putem Natječaja za financiranje Udruga u sportu za 2024 godinu. Planirana sredstva za udruge u sportu za 2026.godinu iznose </w:t>
      </w:r>
      <w:r>
        <w:rPr>
          <w:rFonts w:ascii="Times New Roman" w:eastAsia="Times New Roman" w:hAnsi="Times New Roman" w:cs="Times New Roman"/>
          <w:b/>
          <w:bCs/>
          <w:sz w:val="24"/>
          <w:szCs w:val="24"/>
          <w:lang w:eastAsia="ar-SA"/>
        </w:rPr>
        <w:t>26.000,00 eura</w:t>
      </w:r>
      <w:r>
        <w:rPr>
          <w:rFonts w:ascii="Times New Roman" w:eastAsia="Times New Roman" w:hAnsi="Times New Roman" w:cs="Times New Roman"/>
          <w:sz w:val="24"/>
          <w:szCs w:val="24"/>
          <w:lang w:eastAsia="ar-SA"/>
        </w:rPr>
        <w:t>.</w:t>
      </w:r>
    </w:p>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r>
        <w:rPr>
          <w:b/>
        </w:rPr>
        <w:t xml:space="preserve">ZAKLJUČNO </w:t>
      </w:r>
    </w:p>
    <w:p w:rsidR="00777ABF" w:rsidRDefault="00777ABF" w:rsidP="00777ABF">
      <w:pPr>
        <w:pStyle w:val="Tijeloteksta"/>
        <w:tabs>
          <w:tab w:val="left" w:pos="5280"/>
        </w:tabs>
        <w:jc w:val="center"/>
        <w:rPr>
          <w:b/>
        </w:rPr>
      </w:pPr>
    </w:p>
    <w:p w:rsidR="00777ABF" w:rsidRDefault="00777ABF" w:rsidP="00777ABF">
      <w:pPr>
        <w:pStyle w:val="Tijeloteksta"/>
        <w:tabs>
          <w:tab w:val="left" w:pos="5280"/>
        </w:tabs>
        <w:jc w:val="center"/>
        <w:rPr>
          <w:b/>
        </w:rPr>
      </w:pPr>
      <w:r>
        <w:rPr>
          <w:b/>
        </w:rPr>
        <w:t>Članak 8.</w:t>
      </w:r>
    </w:p>
    <w:p w:rsidR="00777ABF" w:rsidRDefault="00777ABF" w:rsidP="00777ABF">
      <w:pPr>
        <w:pStyle w:val="Tijeloteksta"/>
        <w:tabs>
          <w:tab w:val="left" w:pos="5280"/>
        </w:tabs>
        <w:jc w:val="center"/>
        <w:rPr>
          <w:b/>
        </w:rPr>
      </w:pPr>
    </w:p>
    <w:p w:rsidR="00777ABF" w:rsidRDefault="00777ABF" w:rsidP="00777ABF">
      <w:pPr>
        <w:tabs>
          <w:tab w:val="left" w:pos="52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Ukupna sredstva za realizaciju Programa javnih potreba iznose </w:t>
      </w:r>
      <w:r>
        <w:rPr>
          <w:rFonts w:ascii="Times New Roman" w:hAnsi="Times New Roman" w:cs="Times New Roman"/>
          <w:b/>
          <w:sz w:val="24"/>
          <w:szCs w:val="24"/>
        </w:rPr>
        <w:t>84.721,78</w:t>
      </w:r>
      <w:r>
        <w:rPr>
          <w:rFonts w:ascii="Times New Roman" w:hAnsi="Times New Roman" w:cs="Times New Roman"/>
          <w:sz w:val="24"/>
          <w:szCs w:val="24"/>
        </w:rPr>
        <w:t xml:space="preserve"> </w:t>
      </w:r>
      <w:r>
        <w:rPr>
          <w:rFonts w:ascii="Times New Roman" w:hAnsi="Times New Roman" w:cs="Times New Roman"/>
          <w:b/>
          <w:bCs/>
          <w:color w:val="000000" w:themeColor="text1"/>
          <w:sz w:val="24"/>
          <w:szCs w:val="24"/>
        </w:rPr>
        <w:t>eura</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a raspoređuju se korisnicima na temelju provedenog javnog natječaja ili javnog poziva i pojedinačnih zahtjeva, a isplaćivat će se korisnicima na temelju ugovora kojima se utvrđuju međusobna prava i obveze davatelja i primatelja financijskih potpora, zahtjeva i priloženih računa. Sredstva utvrđena ovim Programom uplaćivat će se na žiro-račun korisnika sukladno sklopljenim ugovorima i odlukama Općinskog načelnika.</w:t>
      </w:r>
    </w:p>
    <w:p w:rsidR="00777ABF" w:rsidRDefault="00777ABF" w:rsidP="00777ABF">
      <w:pPr>
        <w:tabs>
          <w:tab w:val="left" w:pos="5820"/>
        </w:tabs>
        <w:suppressAutoHyphens/>
        <w:spacing w:after="0" w:line="240" w:lineRule="auto"/>
        <w:rPr>
          <w:rFonts w:ascii="Times New Roman" w:hAnsi="Times New Roman" w:cs="Times New Roman"/>
          <w:b/>
          <w:bCs/>
          <w:sz w:val="24"/>
          <w:szCs w:val="24"/>
        </w:rPr>
      </w:pPr>
      <w:r>
        <w:rPr>
          <w:rFonts w:ascii="Times New Roman" w:hAnsi="Times New Roman" w:cs="Times New Roman"/>
          <w:sz w:val="24"/>
          <w:szCs w:val="24"/>
        </w:rPr>
        <w:tab/>
      </w:r>
    </w:p>
    <w:p w:rsidR="00777ABF" w:rsidRDefault="00777ABF" w:rsidP="00777ABF">
      <w:pPr>
        <w:tabs>
          <w:tab w:val="left" w:pos="5280"/>
        </w:tabs>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9.</w:t>
      </w:r>
    </w:p>
    <w:p w:rsidR="00777ABF" w:rsidRDefault="00777ABF" w:rsidP="00777ABF">
      <w:pPr>
        <w:tabs>
          <w:tab w:val="left" w:pos="5280"/>
        </w:tabs>
        <w:suppressAutoHyphens/>
        <w:spacing w:after="0" w:line="240" w:lineRule="auto"/>
        <w:rPr>
          <w:rFonts w:ascii="Times New Roman" w:hAnsi="Times New Roman" w:cs="Times New Roman"/>
          <w:sz w:val="24"/>
          <w:szCs w:val="24"/>
        </w:rPr>
      </w:pPr>
    </w:p>
    <w:p w:rsidR="00777ABF" w:rsidRDefault="00777ABF" w:rsidP="00777ABF">
      <w:pPr>
        <w:tabs>
          <w:tab w:val="left" w:pos="5280"/>
        </w:tabs>
        <w:suppressAutoHyphens/>
        <w:spacing w:after="0" w:line="240" w:lineRule="auto"/>
        <w:rPr>
          <w:rFonts w:ascii="Times New Roman" w:hAnsi="Times New Roman" w:cs="Times New Roman"/>
          <w:sz w:val="24"/>
          <w:szCs w:val="24"/>
        </w:rPr>
      </w:pPr>
      <w:r>
        <w:rPr>
          <w:rFonts w:ascii="Times New Roman" w:hAnsi="Times New Roman" w:cs="Times New Roman"/>
          <w:sz w:val="24"/>
          <w:szCs w:val="24"/>
        </w:rPr>
        <w:t xml:space="preserve">O izvršenju ovog Programa korisnici sredstava Proračuna s kojima se zaključuje ugovor obvezni su Jedinstvenom upravnom odjelu Općine Gornji Bogićevci dostaviti izvješće o ostvarenju programa i utrošku sredstava za proteklu godinu sukladno sklopljenom ugovoru. </w:t>
      </w:r>
    </w:p>
    <w:p w:rsidR="00777ABF" w:rsidRDefault="00777ABF" w:rsidP="00777ABF">
      <w:pPr>
        <w:tabs>
          <w:tab w:val="left" w:pos="5280"/>
        </w:tabs>
        <w:suppressAutoHyphens/>
        <w:spacing w:after="0" w:line="240" w:lineRule="auto"/>
        <w:jc w:val="center"/>
        <w:rPr>
          <w:rFonts w:ascii="Times New Roman" w:hAnsi="Times New Roman" w:cs="Times New Roman"/>
          <w:b/>
          <w:bCs/>
          <w:sz w:val="24"/>
          <w:szCs w:val="24"/>
        </w:rPr>
      </w:pPr>
    </w:p>
    <w:p w:rsidR="00777ABF" w:rsidRDefault="00777ABF" w:rsidP="00777ABF">
      <w:pPr>
        <w:tabs>
          <w:tab w:val="left" w:pos="5280"/>
        </w:tabs>
        <w:suppressAutoHyphen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10.</w:t>
      </w:r>
    </w:p>
    <w:p w:rsidR="00777ABF" w:rsidRDefault="00777ABF" w:rsidP="00777ABF">
      <w:pPr>
        <w:tabs>
          <w:tab w:val="left" w:pos="5280"/>
        </w:tabs>
        <w:suppressAutoHyphens/>
        <w:spacing w:after="0" w:line="240" w:lineRule="auto"/>
        <w:jc w:val="center"/>
        <w:rPr>
          <w:rFonts w:ascii="Times New Roman" w:hAnsi="Times New Roman" w:cs="Times New Roman"/>
          <w:sz w:val="24"/>
          <w:szCs w:val="24"/>
        </w:rPr>
      </w:pPr>
    </w:p>
    <w:p w:rsidR="00777ABF" w:rsidRDefault="00777ABF" w:rsidP="00777ABF">
      <w:pPr>
        <w:pStyle w:val="Tijeloteksta"/>
        <w:tabs>
          <w:tab w:val="left" w:pos="19320"/>
        </w:tabs>
      </w:pPr>
      <w:r>
        <w:t>Ovaj Program stupa na snagu osmi dan od dana objave u "Službenom glasniku Općine Gornji Bogićevci“.</w:t>
      </w:r>
    </w:p>
    <w:p w:rsidR="00777ABF" w:rsidRDefault="00777ABF" w:rsidP="00777ABF">
      <w:pPr>
        <w:pStyle w:val="Tijeloteksta"/>
        <w:tabs>
          <w:tab w:val="left" w:pos="19320"/>
        </w:tabs>
        <w:ind w:left="1080" w:hanging="360"/>
      </w:pPr>
    </w:p>
    <w:p w:rsidR="00777ABF" w:rsidRDefault="00777ABF" w:rsidP="00777ABF">
      <w:pPr>
        <w:keepNext/>
        <w:keepLines/>
        <w:spacing w:before="40" w:after="0" w:line="240" w:lineRule="auto"/>
        <w:ind w:firstLine="708"/>
        <w:jc w:val="both"/>
        <w:outlineLvl w:val="4"/>
        <w:rPr>
          <w:rFonts w:ascii="Times New Roman" w:eastAsiaTheme="majorEastAsia" w:hAnsi="Times New Roman" w:cs="Times New Roman"/>
          <w:sz w:val="24"/>
          <w:szCs w:val="24"/>
          <w:lang w:eastAsia="hr-HR"/>
        </w:rPr>
      </w:pPr>
    </w:p>
    <w:p w:rsidR="00777ABF" w:rsidRDefault="00777ABF" w:rsidP="00777ABF">
      <w:pPr>
        <w:spacing w:after="0" w:line="240" w:lineRule="auto"/>
        <w:jc w:val="center"/>
        <w:rPr>
          <w:rFonts w:ascii="Times New Roman" w:hAnsi="Times New Roman" w:cs="Times New Roman"/>
          <w:b/>
          <w:iCs/>
          <w:sz w:val="24"/>
          <w:szCs w:val="24"/>
        </w:rPr>
      </w:pPr>
      <w:r>
        <w:rPr>
          <w:rFonts w:ascii="Times New Roman" w:hAnsi="Times New Roman" w:cs="Times New Roman"/>
          <w:b/>
          <w:iCs/>
          <w:sz w:val="24"/>
          <w:szCs w:val="24"/>
        </w:rPr>
        <w:t>OPĆINSKO VIJEĆE</w:t>
      </w:r>
      <w:r>
        <w:rPr>
          <w:rFonts w:ascii="Times New Roman" w:hAnsi="Times New Roman" w:cs="Times New Roman"/>
          <w:b/>
          <w:i/>
          <w:sz w:val="24"/>
          <w:szCs w:val="24"/>
        </w:rPr>
        <w:t xml:space="preserve">  </w:t>
      </w:r>
      <w:r>
        <w:rPr>
          <w:rFonts w:ascii="Times New Roman" w:hAnsi="Times New Roman" w:cs="Times New Roman"/>
          <w:b/>
          <w:iCs/>
          <w:sz w:val="24"/>
          <w:szCs w:val="24"/>
        </w:rPr>
        <w:t>OPĆINE GORNJI BOGIĆEVCI</w:t>
      </w:r>
    </w:p>
    <w:p w:rsidR="00777ABF" w:rsidRDefault="00777ABF" w:rsidP="00777ABF">
      <w:pPr>
        <w:spacing w:after="0" w:line="240" w:lineRule="auto"/>
        <w:rPr>
          <w:rFonts w:ascii="Times New Roman" w:hAnsi="Times New Roman" w:cs="Times New Roman"/>
          <w:b/>
          <w:iCs/>
          <w:sz w:val="24"/>
          <w:szCs w:val="24"/>
        </w:rPr>
      </w:pPr>
    </w:p>
    <w:p w:rsidR="00777ABF" w:rsidRDefault="00777ABF" w:rsidP="00777ABF">
      <w:pPr>
        <w:spacing w:after="0"/>
        <w:rPr>
          <w:rFonts w:ascii="Times New Roman" w:hAnsi="Times New Roman" w:cs="Times New Roman"/>
          <w:sz w:val="24"/>
          <w:szCs w:val="24"/>
        </w:rPr>
      </w:pPr>
    </w:p>
    <w:p w:rsidR="00777ABF" w:rsidRDefault="00777ABF" w:rsidP="00777ABF">
      <w:pPr>
        <w:spacing w:after="0"/>
        <w:rPr>
          <w:rFonts w:ascii="Times New Roman" w:hAnsi="Times New Roman" w:cs="Times New Roman"/>
          <w:color w:val="FF0000"/>
          <w:sz w:val="24"/>
          <w:szCs w:val="24"/>
        </w:rPr>
      </w:pPr>
    </w:p>
    <w:p w:rsidR="00777ABF" w:rsidRDefault="00777ABF" w:rsidP="00777AB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KLASA: 400-05-25-02-01</w:t>
      </w:r>
    </w:p>
    <w:p w:rsidR="00777ABF" w:rsidRDefault="00777ABF" w:rsidP="00777ABF">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URBROJ: 2178-22-03-25-03</w:t>
      </w:r>
    </w:p>
    <w:p w:rsidR="00777ABF" w:rsidRDefault="00777ABF" w:rsidP="00777ABF">
      <w:pPr>
        <w:spacing w:after="0"/>
        <w:rPr>
          <w:rFonts w:ascii="Times New Roman" w:hAnsi="Times New Roman" w:cs="Times New Roman"/>
          <w:b/>
          <w:i/>
          <w:color w:val="000000" w:themeColor="text1"/>
          <w:sz w:val="24"/>
          <w:szCs w:val="24"/>
        </w:rPr>
      </w:pPr>
      <w:r>
        <w:rPr>
          <w:rFonts w:ascii="Times New Roman" w:hAnsi="Times New Roman" w:cs="Times New Roman"/>
          <w:color w:val="000000" w:themeColor="text1"/>
          <w:sz w:val="24"/>
          <w:szCs w:val="24"/>
        </w:rPr>
        <w:t>Gornji Bogićevci, 22.12.2025. godine</w:t>
      </w:r>
    </w:p>
    <w:p w:rsidR="00777ABF" w:rsidRDefault="00777ABF" w:rsidP="009E4D5A">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777ABF" w:rsidRDefault="00777ABF" w:rsidP="00777ABF">
      <w:pPr>
        <w:spacing w:after="0"/>
        <w:jc w:val="right"/>
        <w:rPr>
          <w:rFonts w:ascii="Times New Roman" w:hAnsi="Times New Roman" w:cs="Times New Roman"/>
          <w:sz w:val="24"/>
          <w:szCs w:val="24"/>
        </w:rPr>
      </w:pPr>
      <w:r>
        <w:rPr>
          <w:rFonts w:ascii="Times New Roman" w:hAnsi="Times New Roman" w:cs="Times New Roman"/>
          <w:sz w:val="24"/>
          <w:szCs w:val="24"/>
        </w:rPr>
        <w:t xml:space="preserve">  PREDSJEDNIK OPĆINSKOG VIJEĆA</w:t>
      </w:r>
    </w:p>
    <w:p w:rsidR="00777ABF" w:rsidRDefault="00777ABF" w:rsidP="009E4D5A">
      <w:pPr>
        <w:ind w:left="4956" w:firstLine="708"/>
        <w:rPr>
          <w:rFonts w:ascii="Times New Roman" w:hAnsi="Times New Roman" w:cs="Times New Roman"/>
          <w:sz w:val="24"/>
          <w:szCs w:val="24"/>
        </w:rPr>
      </w:pPr>
      <w:r>
        <w:rPr>
          <w:rFonts w:ascii="Times New Roman" w:hAnsi="Times New Roman" w:cs="Times New Roman"/>
          <w:sz w:val="24"/>
          <w:szCs w:val="24"/>
        </w:rPr>
        <w:t>Željko Klarić</w:t>
      </w: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r>
        <w:rPr>
          <w:rFonts w:ascii="Times New Roman" w:hAnsi="Times New Roman" w:cs="Times New Roman"/>
          <w:sz w:val="24"/>
          <w:szCs w:val="24"/>
        </w:rPr>
        <w:t>Dostaviti:</w:t>
      </w:r>
    </w:p>
    <w:p w:rsidR="00777ABF" w:rsidRDefault="00777ABF" w:rsidP="00A66748">
      <w:pPr>
        <w:numPr>
          <w:ilvl w:val="0"/>
          <w:numId w:val="38"/>
        </w:numPr>
        <w:spacing w:line="240" w:lineRule="auto"/>
        <w:contextualSpacing/>
        <w:rPr>
          <w:rFonts w:ascii="Times New Roman" w:hAnsi="Times New Roman" w:cs="Times New Roman"/>
          <w:sz w:val="24"/>
          <w:szCs w:val="24"/>
        </w:rPr>
      </w:pPr>
      <w:r>
        <w:rPr>
          <w:rFonts w:ascii="Times New Roman" w:hAnsi="Times New Roman" w:cs="Times New Roman"/>
          <w:sz w:val="24"/>
          <w:szCs w:val="24"/>
        </w:rPr>
        <w:t>Jedinstveni upravni odjel</w:t>
      </w:r>
    </w:p>
    <w:p w:rsidR="00777ABF" w:rsidRDefault="00777ABF" w:rsidP="00A66748">
      <w:pPr>
        <w:numPr>
          <w:ilvl w:val="0"/>
          <w:numId w:val="38"/>
        </w:numPr>
        <w:spacing w:line="240" w:lineRule="auto"/>
        <w:contextualSpacing/>
        <w:rPr>
          <w:rFonts w:ascii="Times New Roman" w:hAnsi="Times New Roman" w:cs="Times New Roman"/>
          <w:sz w:val="24"/>
          <w:szCs w:val="24"/>
        </w:rPr>
      </w:pPr>
      <w:r>
        <w:rPr>
          <w:rFonts w:ascii="Times New Roman" w:hAnsi="Times New Roman" w:cs="Times New Roman"/>
          <w:sz w:val="24"/>
          <w:szCs w:val="24"/>
        </w:rPr>
        <w:t>Službeni glasnik Općine Gornji Bogićevci</w:t>
      </w:r>
    </w:p>
    <w:p w:rsidR="00777ABF" w:rsidRDefault="00777ABF" w:rsidP="00A66748">
      <w:pPr>
        <w:numPr>
          <w:ilvl w:val="0"/>
          <w:numId w:val="38"/>
        </w:numPr>
        <w:spacing w:line="240" w:lineRule="auto"/>
        <w:contextualSpacing/>
        <w:rPr>
          <w:rFonts w:ascii="Times New Roman" w:hAnsi="Times New Roman" w:cs="Times New Roman"/>
          <w:sz w:val="24"/>
          <w:szCs w:val="24"/>
        </w:rPr>
      </w:pPr>
      <w:r>
        <w:rPr>
          <w:rFonts w:ascii="Times New Roman" w:hAnsi="Times New Roman" w:cs="Times New Roman"/>
          <w:sz w:val="24"/>
          <w:szCs w:val="24"/>
        </w:rPr>
        <w:t>Pismohrana.</w:t>
      </w:r>
    </w:p>
    <w:p w:rsidR="00777ABF" w:rsidRDefault="00777ABF" w:rsidP="00777ABF">
      <w:pPr>
        <w:rPr>
          <w:rFonts w:ascii="Times New Roman" w:hAnsi="Times New Roman" w:cs="Times New Roman"/>
          <w:sz w:val="24"/>
          <w:szCs w:val="24"/>
        </w:rPr>
      </w:pPr>
    </w:p>
    <w:p w:rsidR="00777ABF" w:rsidRDefault="00777ABF" w:rsidP="00777ABF">
      <w:pPr>
        <w:pStyle w:val="Tijeloteksta"/>
        <w:tabs>
          <w:tab w:val="left" w:pos="5280"/>
        </w:tabs>
        <w:rPr>
          <w:b/>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noProof/>
          <w:sz w:val="24"/>
          <w:szCs w:val="24"/>
          <w:lang w:eastAsia="hr-HR"/>
        </w:rPr>
        <w:drawing>
          <wp:inline distT="0" distB="0" distL="0" distR="0">
            <wp:extent cx="485775" cy="647700"/>
            <wp:effectExtent l="0" t="0" r="0" b="0"/>
            <wp:docPr id="184264270"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777ABF" w:rsidRPr="00777ABF" w:rsidRDefault="00777ABF" w:rsidP="00777ABF">
      <w:pPr>
        <w:suppressAutoHyphens/>
        <w:spacing w:after="0" w:line="240" w:lineRule="auto"/>
        <w:ind w:firstLine="720"/>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REPUBLIKA HRVATSKA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BRODSKO-POSAVSKA ŽUPANIJA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OPĆINA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OPĆINSKO VIJEĆE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Trg hrvatskih branitelja 1, </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35429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OIB: 89414039518</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Tel: 035/375-056</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ind w:firstLine="708"/>
        <w:jc w:val="both"/>
        <w:rPr>
          <w:rFonts w:ascii="Times New Roman" w:eastAsia="Times New Roman" w:hAnsi="Times New Roman" w:cs="Times New Roman"/>
          <w:b/>
          <w:color w:val="000000"/>
          <w:sz w:val="24"/>
          <w:szCs w:val="24"/>
          <w:lang w:eastAsia="ar-SA"/>
        </w:rPr>
      </w:pPr>
      <w:r w:rsidRPr="00777ABF">
        <w:rPr>
          <w:rFonts w:ascii="Times New Roman" w:eastAsia="Times New Roman" w:hAnsi="Times New Roman" w:cs="Times New Roman"/>
          <w:sz w:val="24"/>
          <w:szCs w:val="24"/>
          <w:lang w:eastAsia="ar-SA"/>
        </w:rPr>
        <w:tab/>
        <w:t xml:space="preserve">Na temelju članka 48. Zakona o predškolskom odgoju i obrazovanju („Narodne novine“ broj 10/97,107/07, 94/13, 98/19, 57/22 i 101/23), članka 141. Zakona o odgoju i obrazovanju u osnovnoj i srednjoj školi („Narodne novine“ broj 87/08, 86/09, 92/10, 105/10, 90/11, 5/12, 16/12, 86/12, 126/12, 94/13, 152/14, 07/17, 68/18, 98/19, 64/20, 151/22, 155/23 i 156/23), članka 2. Zakona o financiranju jedinica lokalne i područne (regionalne) samouprave („Narodne novine“ broj 127/17, 138/20, 151/22 i 114/23) i te članka 39. stavak 5 Statuta općine Gornji Bogićevci („Službeni glasnik Općine Gornji Bogićevci“, broj 02/21, Općinsko vijeće općine Gornji Bogićevci na svojoj </w:t>
      </w:r>
      <w:r w:rsidRPr="00777ABF">
        <w:rPr>
          <w:rFonts w:ascii="Times New Roman" w:eastAsia="Times New Roman" w:hAnsi="Times New Roman" w:cs="Times New Roman"/>
          <w:color w:val="000000"/>
          <w:sz w:val="24"/>
          <w:szCs w:val="24"/>
          <w:lang w:eastAsia="ar-SA"/>
        </w:rPr>
        <w:t>5. sjednici održanoj 25. prosinca 2025. godine, donosi</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PROGRAM  JAVNIH POTREBA U OBRAZOVANJU NA PODRUČJU OPĆINE GORNJI BOGIĆEVCI ZA 2026. GODINU</w:t>
      </w: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b/>
          <w:bCs/>
          <w:sz w:val="24"/>
          <w:szCs w:val="24"/>
          <w:lang w:eastAsia="ar-SA"/>
        </w:rPr>
        <w:t xml:space="preserve">Članak 1. </w:t>
      </w: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Programom javnih potreba u obrazovanju na području općine Gornji Bogićevci za 2026. godinu osigurava se: </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ostvarivanje redovnih programa odgoja i obrazovanja djece predškolske dobi, </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sufinanciranje nabavke radnog materijala za sve učenike osnovne škole</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sufinanciranje troškova prijevoza učenika srednjih škola</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stipendiranje studenata</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I. PROGRAM JAVNIH POTREBA U PREDŠKOLSKOM ODGOJU I OBRAZOVANJU</w:t>
      </w:r>
    </w:p>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2.</w:t>
      </w:r>
    </w:p>
    <w:p w:rsidR="00777ABF" w:rsidRP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
        <w:gridCol w:w="5226"/>
        <w:gridCol w:w="2773"/>
      </w:tblGrid>
      <w:tr w:rsidR="00777ABF" w:rsidRPr="00777ABF" w:rsidTr="00F57898">
        <w:tc>
          <w:tcPr>
            <w:tcW w:w="932" w:type="dxa"/>
            <w:shd w:val="clear" w:color="auto" w:fill="CCFFFF"/>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Redni </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broj</w:t>
            </w:r>
          </w:p>
        </w:tc>
        <w:tc>
          <w:tcPr>
            <w:tcW w:w="5226" w:type="dxa"/>
            <w:shd w:val="clear" w:color="auto" w:fill="CCFFFF"/>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Aktivnost</w:t>
            </w:r>
          </w:p>
        </w:tc>
        <w:tc>
          <w:tcPr>
            <w:tcW w:w="2773" w:type="dxa"/>
            <w:shd w:val="clear" w:color="auto" w:fill="CCFFFF"/>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Iznos (EUR)</w:t>
            </w:r>
          </w:p>
        </w:tc>
      </w:tr>
      <w:tr w:rsidR="00777ABF" w:rsidRPr="00777ABF" w:rsidTr="00F57898">
        <w:tc>
          <w:tcPr>
            <w:tcW w:w="932" w:type="dxa"/>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w:t>
            </w:r>
          </w:p>
        </w:tc>
        <w:tc>
          <w:tcPr>
            <w:tcW w:w="5226" w:type="dxa"/>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PREDŠKOSLKI ODGOJ</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sufinanciranje rada Dječjeg vrtića „Bljesak“</w:t>
            </w:r>
          </w:p>
        </w:tc>
        <w:tc>
          <w:tcPr>
            <w:tcW w:w="2773" w:type="dxa"/>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color w:val="0D0D0D"/>
                <w:sz w:val="24"/>
                <w:szCs w:val="24"/>
                <w:lang w:eastAsia="ar-SA"/>
              </w:rPr>
            </w:pPr>
          </w:p>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color w:val="0D0D0D"/>
                <w:sz w:val="24"/>
                <w:szCs w:val="24"/>
                <w:lang w:eastAsia="ar-SA"/>
              </w:rPr>
            </w:pPr>
            <w:r w:rsidRPr="00777ABF">
              <w:rPr>
                <w:rFonts w:ascii="Times New Roman" w:eastAsia="Times New Roman" w:hAnsi="Times New Roman" w:cs="Times New Roman"/>
                <w:color w:val="0D0D0D"/>
                <w:sz w:val="24"/>
                <w:szCs w:val="24"/>
                <w:lang w:eastAsia="ar-SA"/>
              </w:rPr>
              <w:t>55.200,00</w:t>
            </w:r>
          </w:p>
        </w:tc>
      </w:tr>
      <w:tr w:rsidR="00777ABF" w:rsidRPr="00777ABF" w:rsidTr="00F57898">
        <w:tc>
          <w:tcPr>
            <w:tcW w:w="932" w:type="dxa"/>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p>
        </w:tc>
        <w:tc>
          <w:tcPr>
            <w:tcW w:w="5226" w:type="dxa"/>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Ukupno:</w:t>
            </w:r>
          </w:p>
        </w:tc>
        <w:tc>
          <w:tcPr>
            <w:tcW w:w="2773" w:type="dxa"/>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b/>
                <w:color w:val="0D0D0D"/>
                <w:sz w:val="24"/>
                <w:szCs w:val="24"/>
                <w:lang w:eastAsia="ar-SA"/>
              </w:rPr>
            </w:pPr>
            <w:r w:rsidRPr="00777ABF">
              <w:rPr>
                <w:rFonts w:ascii="Times New Roman" w:eastAsia="Times New Roman" w:hAnsi="Times New Roman" w:cs="Times New Roman"/>
                <w:b/>
                <w:color w:val="0D0D0D"/>
                <w:sz w:val="24"/>
                <w:szCs w:val="24"/>
                <w:lang w:eastAsia="ar-SA"/>
              </w:rPr>
              <w:t>55.200,00</w:t>
            </w:r>
          </w:p>
        </w:tc>
      </w:tr>
    </w:tbl>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II. PROGRAM JAVNIH POTREBA U OSNOVNOŠKOLSKOM I SREDNJOŠKOLSKOM OBRAZOVANJU</w:t>
      </w: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3.</w:t>
      </w: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2"/>
        <w:gridCol w:w="5226"/>
        <w:gridCol w:w="2773"/>
      </w:tblGrid>
      <w:tr w:rsidR="00777ABF" w:rsidRPr="00777ABF" w:rsidTr="00F57898">
        <w:tc>
          <w:tcPr>
            <w:tcW w:w="932" w:type="dxa"/>
            <w:shd w:val="clear" w:color="auto" w:fill="CCFFFF"/>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Redni </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broj</w:t>
            </w:r>
          </w:p>
        </w:tc>
        <w:tc>
          <w:tcPr>
            <w:tcW w:w="5226" w:type="dxa"/>
            <w:shd w:val="clear" w:color="auto" w:fill="CCFFFF"/>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Aktivnost</w:t>
            </w:r>
          </w:p>
        </w:tc>
        <w:tc>
          <w:tcPr>
            <w:tcW w:w="2773" w:type="dxa"/>
            <w:shd w:val="clear" w:color="auto" w:fill="CCFFFF"/>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Iznos (EUR)</w:t>
            </w:r>
          </w:p>
        </w:tc>
      </w:tr>
      <w:tr w:rsidR="00777ABF" w:rsidRPr="00777ABF" w:rsidTr="00F57898">
        <w:tc>
          <w:tcPr>
            <w:tcW w:w="932" w:type="dxa"/>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1. </w:t>
            </w:r>
          </w:p>
        </w:tc>
        <w:tc>
          <w:tcPr>
            <w:tcW w:w="5226" w:type="dxa"/>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OSNOVNO I SREDNJOŠKOLSKO OBRAZOVANJE</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nabavka radnog materijala za Osnovnu školu</w:t>
            </w:r>
          </w:p>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sufinanciranje prijevoza učenika srednjih škola</w:t>
            </w:r>
          </w:p>
        </w:tc>
        <w:tc>
          <w:tcPr>
            <w:tcW w:w="2773" w:type="dxa"/>
          </w:tcPr>
          <w:p w:rsidR="00777ABF" w:rsidRPr="00777ABF" w:rsidRDefault="00777ABF" w:rsidP="00777ABF">
            <w:pPr>
              <w:tabs>
                <w:tab w:val="left" w:pos="13920"/>
              </w:tabs>
              <w:suppressAutoHyphens/>
              <w:spacing w:after="0" w:line="240" w:lineRule="auto"/>
              <w:jc w:val="right"/>
              <w:rPr>
                <w:rFonts w:ascii="Times New Roman" w:eastAsia="Times New Roman" w:hAnsi="Times New Roman" w:cs="Times New Roman"/>
                <w:sz w:val="24"/>
                <w:szCs w:val="24"/>
                <w:lang w:eastAsia="ar-SA"/>
              </w:rPr>
            </w:pPr>
          </w:p>
          <w:p w:rsidR="00777ABF" w:rsidRPr="00777ABF" w:rsidRDefault="00777ABF" w:rsidP="00777ABF">
            <w:pPr>
              <w:tabs>
                <w:tab w:val="left" w:pos="13920"/>
              </w:tabs>
              <w:suppressAutoHyphens/>
              <w:spacing w:after="0" w:line="240" w:lineRule="auto"/>
              <w:jc w:val="right"/>
              <w:rPr>
                <w:rFonts w:ascii="Times New Roman" w:eastAsia="Times New Roman" w:hAnsi="Times New Roman" w:cs="Times New Roman"/>
                <w:sz w:val="24"/>
                <w:szCs w:val="24"/>
                <w:lang w:eastAsia="ar-SA"/>
              </w:rPr>
            </w:pPr>
          </w:p>
          <w:p w:rsidR="00777ABF" w:rsidRPr="00777ABF" w:rsidRDefault="00777ABF" w:rsidP="00777ABF">
            <w:pPr>
              <w:tabs>
                <w:tab w:val="left" w:pos="13920"/>
              </w:tabs>
              <w:suppressAutoHyphens/>
              <w:spacing w:after="0" w:line="240" w:lineRule="auto"/>
              <w:jc w:val="right"/>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13.000,00</w:t>
            </w:r>
          </w:p>
          <w:p w:rsidR="00777ABF" w:rsidRPr="00777ABF" w:rsidRDefault="00777ABF" w:rsidP="00777ABF">
            <w:pPr>
              <w:tabs>
                <w:tab w:val="left" w:pos="13920"/>
              </w:tabs>
              <w:suppressAutoHyphens/>
              <w:spacing w:after="0" w:line="240" w:lineRule="auto"/>
              <w:jc w:val="right"/>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10.000,00</w:t>
            </w:r>
          </w:p>
        </w:tc>
      </w:tr>
      <w:tr w:rsidR="00777ABF" w:rsidRPr="00777ABF" w:rsidTr="00F57898">
        <w:tc>
          <w:tcPr>
            <w:tcW w:w="932" w:type="dxa"/>
          </w:tcPr>
          <w:p w:rsidR="00777ABF" w:rsidRPr="00777ABF" w:rsidRDefault="00777ABF" w:rsidP="00777ABF">
            <w:pPr>
              <w:tabs>
                <w:tab w:val="left" w:pos="13920"/>
              </w:tabs>
              <w:suppressAutoHyphens/>
              <w:spacing w:after="0" w:line="240" w:lineRule="auto"/>
              <w:rPr>
                <w:rFonts w:ascii="Times New Roman" w:eastAsia="Times New Roman" w:hAnsi="Times New Roman" w:cs="Times New Roman"/>
                <w:sz w:val="24"/>
                <w:szCs w:val="24"/>
                <w:lang w:eastAsia="ar-SA"/>
              </w:rPr>
            </w:pPr>
          </w:p>
        </w:tc>
        <w:tc>
          <w:tcPr>
            <w:tcW w:w="5226" w:type="dxa"/>
          </w:tcPr>
          <w:p w:rsidR="00777ABF" w:rsidRPr="00777ABF" w:rsidRDefault="00777ABF" w:rsidP="00777ABF">
            <w:pPr>
              <w:tabs>
                <w:tab w:val="left" w:pos="13920"/>
              </w:tabs>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Ukupno:</w:t>
            </w:r>
          </w:p>
        </w:tc>
        <w:tc>
          <w:tcPr>
            <w:tcW w:w="2773" w:type="dxa"/>
          </w:tcPr>
          <w:p w:rsidR="00777ABF" w:rsidRPr="00777ABF" w:rsidRDefault="00777ABF" w:rsidP="00777ABF">
            <w:pPr>
              <w:tabs>
                <w:tab w:val="left" w:pos="13920"/>
              </w:tabs>
              <w:suppressAutoHyphens/>
              <w:spacing w:after="0" w:line="240" w:lineRule="auto"/>
              <w:jc w:val="right"/>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23.000,00</w:t>
            </w:r>
          </w:p>
        </w:tc>
      </w:tr>
    </w:tbl>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III. PROGRAM JAVNIH POTREBA U VISOKOM OBRAZOVANJU</w:t>
      </w: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4.</w:t>
      </w:r>
    </w:p>
    <w:p w:rsidR="00777ABF" w:rsidRPr="00777ABF" w:rsidRDefault="00777ABF" w:rsidP="00777ABF">
      <w:pPr>
        <w:tabs>
          <w:tab w:val="left" w:pos="5280"/>
        </w:tabs>
        <w:suppressAutoHyphens/>
        <w:spacing w:after="0" w:line="240" w:lineRule="auto"/>
        <w:jc w:val="both"/>
        <w:rPr>
          <w:rFonts w:ascii="Times New Roman" w:eastAsia="Times New Roman" w:hAnsi="Times New Roman" w:cs="Times New Roman"/>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090"/>
        <w:gridCol w:w="3096"/>
      </w:tblGrid>
      <w:tr w:rsidR="00777ABF" w:rsidRPr="00777ABF" w:rsidTr="00F57898">
        <w:tc>
          <w:tcPr>
            <w:tcW w:w="1101" w:type="dxa"/>
            <w:shd w:val="clear" w:color="auto" w:fill="CCFFFF"/>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Redni broj</w:t>
            </w:r>
          </w:p>
        </w:tc>
        <w:tc>
          <w:tcPr>
            <w:tcW w:w="5090" w:type="dxa"/>
            <w:shd w:val="clear" w:color="auto" w:fill="CCFFFF"/>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Aktivnost</w:t>
            </w:r>
          </w:p>
        </w:tc>
        <w:tc>
          <w:tcPr>
            <w:tcW w:w="3096" w:type="dxa"/>
            <w:shd w:val="clear" w:color="auto" w:fill="CCFFFF"/>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Iznos (EUR)</w:t>
            </w:r>
          </w:p>
        </w:tc>
      </w:tr>
      <w:tr w:rsidR="00777ABF" w:rsidRPr="00777ABF" w:rsidTr="00F57898">
        <w:tc>
          <w:tcPr>
            <w:tcW w:w="1101" w:type="dxa"/>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w:t>
            </w:r>
          </w:p>
        </w:tc>
        <w:tc>
          <w:tcPr>
            <w:tcW w:w="5090" w:type="dxa"/>
          </w:tcPr>
          <w:p w:rsidR="00777ABF" w:rsidRPr="00777ABF" w:rsidRDefault="00777ABF" w:rsidP="00777ABF">
            <w:pPr>
              <w:tabs>
                <w:tab w:val="left" w:pos="5280"/>
              </w:tabs>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VISOKO OBRAZOVANJE</w:t>
            </w:r>
          </w:p>
          <w:p w:rsidR="00777ABF" w:rsidRPr="00777ABF" w:rsidRDefault="00777ABF" w:rsidP="00777ABF">
            <w:pPr>
              <w:tabs>
                <w:tab w:val="left" w:pos="5280"/>
              </w:tabs>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stipendije studentima</w:t>
            </w:r>
          </w:p>
        </w:tc>
        <w:tc>
          <w:tcPr>
            <w:tcW w:w="3096" w:type="dxa"/>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4.000,00</w:t>
            </w:r>
          </w:p>
        </w:tc>
      </w:tr>
      <w:tr w:rsidR="00777ABF" w:rsidRPr="00777ABF" w:rsidTr="00F57898">
        <w:tc>
          <w:tcPr>
            <w:tcW w:w="1101" w:type="dxa"/>
          </w:tcPr>
          <w:p w:rsidR="00777ABF" w:rsidRP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tc>
        <w:tc>
          <w:tcPr>
            <w:tcW w:w="5090" w:type="dxa"/>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Ukupno:</w:t>
            </w:r>
          </w:p>
        </w:tc>
        <w:tc>
          <w:tcPr>
            <w:tcW w:w="3096" w:type="dxa"/>
          </w:tcPr>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4.000,00</w:t>
            </w:r>
          </w:p>
        </w:tc>
      </w:tr>
    </w:tbl>
    <w:p w:rsidR="00777ABF" w:rsidRP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5.</w:t>
      </w:r>
    </w:p>
    <w:p w:rsidR="00777ABF" w:rsidRP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Ukupno Program javnih potreba u obrazovanju iznosi: </w:t>
      </w:r>
      <w:r w:rsidRPr="00777ABF">
        <w:rPr>
          <w:rFonts w:ascii="Times New Roman" w:eastAsia="Times New Roman" w:hAnsi="Times New Roman" w:cs="Times New Roman"/>
          <w:b/>
          <w:bCs/>
          <w:color w:val="000000"/>
          <w:sz w:val="24"/>
          <w:szCs w:val="24"/>
          <w:lang w:eastAsia="ar-SA"/>
        </w:rPr>
        <w:t xml:space="preserve">82.200,00 </w:t>
      </w:r>
      <w:r w:rsidRPr="00777ABF">
        <w:rPr>
          <w:rFonts w:ascii="Times New Roman" w:eastAsia="Times New Roman" w:hAnsi="Times New Roman" w:cs="Times New Roman"/>
          <w:sz w:val="24"/>
          <w:szCs w:val="24"/>
          <w:lang w:eastAsia="ar-SA"/>
        </w:rPr>
        <w:t>eura.. Raspored sredstava iz članaka 2.,3., i 4. ovog Programa vršit će se temeljem ugovora i odluka Općinske načelnice.</w:t>
      </w:r>
    </w:p>
    <w:p w:rsidR="00777ABF" w:rsidRPr="00777ABF" w:rsidRDefault="00777ABF" w:rsidP="00777ABF">
      <w:pPr>
        <w:tabs>
          <w:tab w:val="left" w:pos="5280"/>
        </w:tabs>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tabs>
          <w:tab w:val="left" w:pos="5280"/>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6.</w:t>
      </w:r>
    </w:p>
    <w:p w:rsidR="00777ABF" w:rsidRPr="00777ABF" w:rsidRDefault="00777ABF" w:rsidP="00777ABF">
      <w:pPr>
        <w:tabs>
          <w:tab w:val="left" w:pos="5280"/>
        </w:tabs>
        <w:suppressAutoHyphens/>
        <w:spacing w:after="0" w:line="240" w:lineRule="auto"/>
        <w:jc w:val="both"/>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Ovaj Program stupa na snagu osmi dan od dana objave u "Službenom glasniku Općine Gornji Bogićevci“.</w:t>
      </w:r>
      <w:r w:rsidRPr="00777ABF">
        <w:rPr>
          <w:rFonts w:ascii="Times New Roman" w:eastAsia="Times New Roman" w:hAnsi="Times New Roman" w:cs="Times New Roman"/>
          <w:sz w:val="24"/>
          <w:szCs w:val="24"/>
          <w:lang w:eastAsia="ar-SA"/>
        </w:rPr>
        <w:tab/>
        <w:t>Gornji Bogi-posavske županije“, a  primjenjivat će se  od 1. siječnja  2025. godine.</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r w:rsidRPr="00777ABF">
        <w:rPr>
          <w:rFonts w:ascii="Times New Roman" w:eastAsia="Times New Roman" w:hAnsi="Times New Roman" w:cs="Times New Roman"/>
          <w:b/>
          <w:i/>
          <w:sz w:val="24"/>
          <w:szCs w:val="24"/>
          <w:lang w:eastAsia="ar-SA"/>
        </w:rPr>
        <w:t xml:space="preserve">                                  </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iCs/>
          <w:sz w:val="24"/>
          <w:szCs w:val="24"/>
          <w:lang w:eastAsia="ar-SA"/>
        </w:rPr>
      </w:pPr>
      <w:r w:rsidRPr="00777ABF">
        <w:rPr>
          <w:rFonts w:ascii="Times New Roman" w:eastAsia="Times New Roman" w:hAnsi="Times New Roman" w:cs="Times New Roman"/>
          <w:b/>
          <w:iCs/>
          <w:sz w:val="24"/>
          <w:szCs w:val="24"/>
          <w:lang w:eastAsia="ar-SA"/>
        </w:rPr>
        <w:t>OPĆINSKO VIJEĆE</w:t>
      </w:r>
      <w:r w:rsidRPr="00777ABF">
        <w:rPr>
          <w:rFonts w:ascii="Times New Roman" w:eastAsia="Times New Roman" w:hAnsi="Times New Roman" w:cs="Times New Roman"/>
          <w:b/>
          <w:i/>
          <w:sz w:val="24"/>
          <w:szCs w:val="24"/>
          <w:lang w:eastAsia="ar-SA"/>
        </w:rPr>
        <w:t xml:space="preserve">  </w:t>
      </w:r>
      <w:r w:rsidRPr="00777ABF">
        <w:rPr>
          <w:rFonts w:ascii="Times New Roman" w:eastAsia="Times New Roman" w:hAnsi="Times New Roman" w:cs="Times New Roman"/>
          <w:b/>
          <w:iCs/>
          <w:sz w:val="24"/>
          <w:szCs w:val="24"/>
          <w:lang w:eastAsia="ar-SA"/>
        </w:rPr>
        <w:t>OPĆINE GORNJI BOGIĆEVCI</w:t>
      </w:r>
    </w:p>
    <w:p w:rsidR="00777ABF" w:rsidRPr="00777ABF" w:rsidRDefault="00777ABF" w:rsidP="00777ABF">
      <w:pPr>
        <w:suppressAutoHyphens/>
        <w:spacing w:after="0" w:line="240" w:lineRule="auto"/>
        <w:jc w:val="center"/>
        <w:rPr>
          <w:rFonts w:ascii="Times New Roman" w:eastAsia="Times New Roman" w:hAnsi="Times New Roman" w:cs="Times New Roman"/>
          <w:b/>
          <w:iCs/>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b/>
          <w:iCs/>
          <w:color w:val="FF0000"/>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KLASA: 400-05-25-02-01</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URBROJ: 2178-22-03-25-04</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Gornji Bogićevci, 22. prosinca 2025. godine</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PREDSJEDNIK OPĆINSKOG VIJEĆA</w:t>
      </w:r>
    </w:p>
    <w:p w:rsidR="00777ABF" w:rsidRPr="00777ABF" w:rsidRDefault="00777ABF" w:rsidP="00777ABF">
      <w:pPr>
        <w:suppressAutoHyphens/>
        <w:spacing w:after="0" w:line="240" w:lineRule="auto"/>
        <w:ind w:left="4956" w:firstLine="708"/>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Željko Klarić</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Dostaviti:</w:t>
      </w:r>
    </w:p>
    <w:p w:rsidR="00777ABF" w:rsidRPr="00777ABF" w:rsidRDefault="00777ABF" w:rsidP="00A66748">
      <w:pPr>
        <w:numPr>
          <w:ilvl w:val="0"/>
          <w:numId w:val="39"/>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Jedinstveni upravni odjel</w:t>
      </w:r>
    </w:p>
    <w:p w:rsidR="00777ABF" w:rsidRPr="00777ABF" w:rsidRDefault="00777ABF" w:rsidP="00A66748">
      <w:pPr>
        <w:numPr>
          <w:ilvl w:val="0"/>
          <w:numId w:val="39"/>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Službeni glasnik Općine Gornji Bogićevci</w:t>
      </w:r>
    </w:p>
    <w:p w:rsidR="00777ABF" w:rsidRPr="00777ABF" w:rsidRDefault="00777ABF" w:rsidP="00A66748">
      <w:pPr>
        <w:numPr>
          <w:ilvl w:val="0"/>
          <w:numId w:val="39"/>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Pismohrana.</w:t>
      </w:r>
    </w:p>
    <w:p w:rsidR="00777ABF" w:rsidRDefault="00777ABF" w:rsidP="00440A6E">
      <w:pPr>
        <w:spacing w:line="360" w:lineRule="auto"/>
        <w:rPr>
          <w:rFonts w:ascii="Times New Roman" w:hAnsi="Times New Roman" w:cs="Times New Roman"/>
          <w:b/>
          <w:bCs/>
          <w:sz w:val="24"/>
          <w:szCs w:val="24"/>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noProof/>
          <w:sz w:val="24"/>
          <w:szCs w:val="24"/>
          <w:lang w:eastAsia="hr-HR"/>
        </w:rPr>
        <w:drawing>
          <wp:inline distT="0" distB="0" distL="0" distR="0">
            <wp:extent cx="485775" cy="647700"/>
            <wp:effectExtent l="0" t="0" r="0" b="0"/>
            <wp:docPr id="1057203377"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777ABF" w:rsidRPr="00777ABF" w:rsidRDefault="00777ABF" w:rsidP="00777ABF">
      <w:pPr>
        <w:suppressAutoHyphens/>
        <w:spacing w:after="0" w:line="240" w:lineRule="auto"/>
        <w:ind w:firstLine="720"/>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REPUBLIKA HRVATSKA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BRODSKO-POSAVSKA ŽUPANIJA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OPĆINA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OPĆINSKO VIJEĆE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Trg hrvatskih branitelja 1, </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35429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OIB: 89414039518</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Tel: 035/375-056</w:t>
      </w:r>
    </w:p>
    <w:p w:rsidR="00777ABF" w:rsidRPr="00777ABF" w:rsidRDefault="00777ABF" w:rsidP="00777ABF">
      <w:pPr>
        <w:suppressAutoHyphens/>
        <w:spacing w:after="0" w:line="240" w:lineRule="auto"/>
        <w:ind w:firstLine="708"/>
        <w:jc w:val="both"/>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ind w:firstLine="708"/>
        <w:jc w:val="both"/>
        <w:rPr>
          <w:rFonts w:ascii="Times New Roman" w:eastAsia="Times New Roman" w:hAnsi="Times New Roman" w:cs="Times New Roman"/>
          <w:b/>
          <w:color w:val="FF0000"/>
          <w:sz w:val="24"/>
          <w:szCs w:val="24"/>
          <w:lang w:eastAsia="ar-SA"/>
        </w:rPr>
      </w:pPr>
      <w:r w:rsidRPr="00777ABF">
        <w:rPr>
          <w:rFonts w:ascii="Times New Roman" w:eastAsia="Times New Roman" w:hAnsi="Times New Roman" w:cs="Times New Roman"/>
          <w:color w:val="000000"/>
          <w:sz w:val="24"/>
          <w:szCs w:val="24"/>
          <w:lang w:eastAsia="ar-SA"/>
        </w:rPr>
        <w:t xml:space="preserve">Sukladno odredbama članka 289. Zakona o socijalnoj skrbi („Narodne novine“ broj 18/22, 46/22, 119/22, 71/23 i 156/23), članka 19. Zakona o lokalnoj i područnoj (regionalnoj) samoupravi („Narodne novine“ broj </w:t>
      </w:r>
      <w:r w:rsidRPr="00777ABF">
        <w:rPr>
          <w:rFonts w:ascii="Times New Roman" w:eastAsia="Times New Roman" w:hAnsi="Times New Roman" w:cs="Times New Roman"/>
          <w:szCs w:val="24"/>
          <w:lang w:eastAsia="ar-SA"/>
        </w:rPr>
        <w:t xml:space="preserve">33/01, 60/01, 129/05, 109/07, 125/08, 36/09, 150/11, 144/12, 19/13, 137/15, 123/17, 98/19 i 144/20) </w:t>
      </w:r>
      <w:r w:rsidRPr="00777ABF">
        <w:rPr>
          <w:rFonts w:ascii="Times New Roman" w:eastAsia="Times New Roman" w:hAnsi="Times New Roman" w:cs="Times New Roman"/>
          <w:color w:val="000000"/>
          <w:sz w:val="24"/>
          <w:szCs w:val="24"/>
          <w:lang w:eastAsia="ar-SA"/>
        </w:rPr>
        <w:t xml:space="preserve">i </w:t>
      </w:r>
      <w:r w:rsidRPr="00777ABF">
        <w:rPr>
          <w:rFonts w:ascii="Times New Roman" w:eastAsia="Times New Roman" w:hAnsi="Times New Roman" w:cs="Times New Roman"/>
          <w:sz w:val="24"/>
          <w:szCs w:val="24"/>
          <w:lang w:eastAsia="ar-SA"/>
        </w:rPr>
        <w:t xml:space="preserve">te članka 39. stavak 5 Statuta općine Gornji Bogićevci </w:t>
      </w:r>
      <w:r w:rsidRPr="00777ABF">
        <w:rPr>
          <w:rFonts w:ascii="Times New Roman" w:eastAsia="Times New Roman" w:hAnsi="Times New Roman" w:cs="Times New Roman"/>
          <w:color w:val="000000"/>
          <w:sz w:val="24"/>
          <w:szCs w:val="24"/>
          <w:lang w:eastAsia="ar-SA"/>
        </w:rPr>
        <w:t>(„Službeni glasnik Općine Gornji Bogićevci“, broj 02/21, Općinsko vijeće općine Gornji Bogićevci na svojoj 5. sjednici održanoj 22. prosinca 2025. godine, donosi</w:t>
      </w:r>
    </w:p>
    <w:p w:rsidR="00777ABF" w:rsidRPr="00777ABF" w:rsidRDefault="00777ABF" w:rsidP="00777ABF">
      <w:pPr>
        <w:suppressAutoHyphens/>
        <w:spacing w:after="0" w:line="240" w:lineRule="auto"/>
        <w:jc w:val="center"/>
        <w:rPr>
          <w:rFonts w:ascii="Times New Roman" w:eastAsia="Times New Roman" w:hAnsi="Times New Roman" w:cs="Times New Roman"/>
          <w:b/>
          <w:color w:val="FF0000"/>
          <w:sz w:val="24"/>
          <w:szCs w:val="24"/>
          <w:lang w:eastAsia="hr-HR"/>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sz w:val="24"/>
          <w:szCs w:val="24"/>
          <w:lang w:eastAsia="ar-SA"/>
        </w:rPr>
        <w:t xml:space="preserve">PROGRAM </w:t>
      </w:r>
      <w:r w:rsidRPr="00777ABF">
        <w:rPr>
          <w:rFonts w:ascii="Times New Roman" w:eastAsia="Times New Roman" w:hAnsi="Times New Roman" w:cs="Times New Roman"/>
          <w:b/>
          <w:bCs/>
          <w:sz w:val="24"/>
          <w:szCs w:val="24"/>
          <w:lang w:eastAsia="ar-SA"/>
        </w:rPr>
        <w:t>JAVNIH POTREBA U SOCIJALNOJ SKRBI I ZDRAVSTVU NA PODRUČJU OPĆINE GORNJI BOGIĆEVCI  ZA 2026. GODINU</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lastRenderedPageBreak/>
        <w:t>Članak 1.</w:t>
      </w:r>
    </w:p>
    <w:p w:rsidR="00777ABF" w:rsidRPr="00777ABF" w:rsidRDefault="00777ABF" w:rsidP="00777ABF">
      <w:pPr>
        <w:suppressAutoHyphens/>
        <w:spacing w:after="0" w:line="240" w:lineRule="auto"/>
        <w:jc w:val="both"/>
        <w:rPr>
          <w:rFonts w:ascii="Times New Roman" w:eastAsia="Times New Roman" w:hAnsi="Times New Roman" w:cs="Times New Roman"/>
          <w:b/>
          <w:sz w:val="24"/>
          <w:szCs w:val="24"/>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Programom javnih potreba u socijalnoj skrbi i zdravstvu na području općine Gornji Bogićevci za 2026. godinu (u daljnjem tekstu: Program) utvrđuju se i obuhvaćaju oblici javnih potreba u socijalnoj skrbi, mjere, obujam i način pružanja pomoći radi zaštite životnog standarda i zbrinjavanja socijalno ugroženih osoba na području općine Gornji Bogićevci. Sredstva za realizaciju Programa planirana su u Proračunu Općine Gornji Bogićevci za 2026. godinu u iznosu od </w:t>
      </w:r>
      <w:r w:rsidRPr="00777ABF">
        <w:rPr>
          <w:rFonts w:ascii="Times New Roman" w:eastAsia="Times New Roman" w:hAnsi="Times New Roman" w:cs="Times New Roman"/>
          <w:b/>
          <w:bCs/>
          <w:sz w:val="24"/>
          <w:szCs w:val="24"/>
          <w:lang w:eastAsia="ar-SA"/>
        </w:rPr>
        <w:t>48.705,00 eura</w:t>
      </w:r>
      <w:r w:rsidRPr="00777ABF">
        <w:rPr>
          <w:rFonts w:ascii="Times New Roman" w:eastAsia="Times New Roman" w:hAnsi="Times New Roman" w:cs="Times New Roman"/>
          <w:color w:val="000000"/>
          <w:sz w:val="24"/>
          <w:szCs w:val="24"/>
          <w:lang w:eastAsia="ar-SA"/>
        </w:rPr>
        <w:t>.</w:t>
      </w:r>
      <w:r w:rsidRPr="00777ABF">
        <w:rPr>
          <w:rFonts w:ascii="Times New Roman" w:eastAsia="Times New Roman" w:hAnsi="Times New Roman" w:cs="Times New Roman"/>
          <w:sz w:val="24"/>
          <w:szCs w:val="24"/>
          <w:lang w:eastAsia="ar-SA"/>
        </w:rPr>
        <w:t xml:space="preserve"> Programom se osiguravaju i ostvaruju pomoći u novcu ili naravi za podmirenje osnovnih životnih potreba socijalno ugroženih i drugih osoba koje one same ili uz pomoć članova obitelji ne mogu zadovoljiti zbog nepovoljnih osobnih, gospodarskih, socijalnih ili drugih okolnosti. </w:t>
      </w: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2.</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Programom javnih potreba u socijalnoj skrbi na području općine Gornji Bogićevci za 2026. godinu (u daljnjem tekstu: Program) obuhvaćene su slijedeće aktivnosti:</w:t>
      </w:r>
    </w:p>
    <w:p w:rsidR="00777ABF" w:rsidRPr="00777ABF" w:rsidRDefault="00777ABF" w:rsidP="00777ABF">
      <w:pPr>
        <w:suppressAutoHyphens/>
        <w:spacing w:after="0" w:line="240" w:lineRule="auto"/>
        <w:jc w:val="both"/>
        <w:rPr>
          <w:rFonts w:ascii="Times New Roman" w:eastAsia="Times New Roman" w:hAnsi="Times New Roman" w:cs="Times New Roman"/>
          <w:b/>
          <w:sz w:val="24"/>
          <w:szCs w:val="24"/>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93"/>
        <w:gridCol w:w="5811"/>
        <w:gridCol w:w="2168"/>
      </w:tblGrid>
      <w:tr w:rsidR="00777ABF" w:rsidRPr="00777ABF" w:rsidTr="00F57898">
        <w:trPr>
          <w:trHeight w:val="571"/>
        </w:trPr>
        <w:tc>
          <w:tcPr>
            <w:tcW w:w="993" w:type="dxa"/>
          </w:tcPr>
          <w:p w:rsidR="00777ABF" w:rsidRPr="00777ABF" w:rsidRDefault="00777ABF" w:rsidP="00777ABF">
            <w:pPr>
              <w:tabs>
                <w:tab w:val="left" w:pos="19275"/>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Redni </w:t>
            </w:r>
          </w:p>
          <w:p w:rsidR="00777ABF" w:rsidRPr="00777ABF" w:rsidRDefault="00777ABF" w:rsidP="00777ABF">
            <w:pPr>
              <w:tabs>
                <w:tab w:val="left" w:pos="19275"/>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broj</w:t>
            </w:r>
          </w:p>
        </w:tc>
        <w:tc>
          <w:tcPr>
            <w:tcW w:w="5811" w:type="dxa"/>
          </w:tcPr>
          <w:p w:rsidR="00777ABF" w:rsidRPr="00777ABF" w:rsidRDefault="00777ABF" w:rsidP="00777ABF">
            <w:pPr>
              <w:tabs>
                <w:tab w:val="left" w:pos="1750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Aktivnost</w:t>
            </w:r>
          </w:p>
        </w:tc>
        <w:tc>
          <w:tcPr>
            <w:tcW w:w="2168" w:type="dxa"/>
          </w:tcPr>
          <w:p w:rsidR="00777ABF" w:rsidRPr="00777ABF" w:rsidRDefault="00777ABF" w:rsidP="00777ABF">
            <w:pPr>
              <w:tabs>
                <w:tab w:val="left" w:pos="1750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Ukupno</w:t>
            </w:r>
          </w:p>
          <w:p w:rsidR="00777ABF" w:rsidRPr="00777ABF" w:rsidRDefault="00777ABF" w:rsidP="00777ABF">
            <w:pPr>
              <w:tabs>
                <w:tab w:val="left" w:pos="1750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(EUR)</w:t>
            </w:r>
          </w:p>
        </w:tc>
      </w:tr>
      <w:tr w:rsidR="00777ABF" w:rsidRPr="00777ABF" w:rsidTr="00F57898">
        <w:trPr>
          <w:trHeight w:val="285"/>
        </w:trPr>
        <w:tc>
          <w:tcPr>
            <w:tcW w:w="993"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w:t>
            </w:r>
          </w:p>
        </w:tc>
        <w:tc>
          <w:tcPr>
            <w:tcW w:w="5811" w:type="dxa"/>
          </w:tcPr>
          <w:p w:rsidR="00777ABF" w:rsidRPr="00777ABF" w:rsidRDefault="00777ABF" w:rsidP="00777ABF">
            <w:pPr>
              <w:tabs>
                <w:tab w:val="left" w:pos="17505"/>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Jednokratne novčane pomoći</w:t>
            </w:r>
          </w:p>
        </w:tc>
        <w:tc>
          <w:tcPr>
            <w:tcW w:w="2168"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10.000,00</w:t>
            </w:r>
          </w:p>
        </w:tc>
      </w:tr>
      <w:tr w:rsidR="00777ABF" w:rsidRPr="00777ABF" w:rsidTr="00F57898">
        <w:trPr>
          <w:trHeight w:val="285"/>
        </w:trPr>
        <w:tc>
          <w:tcPr>
            <w:tcW w:w="993"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2.</w:t>
            </w:r>
          </w:p>
        </w:tc>
        <w:tc>
          <w:tcPr>
            <w:tcW w:w="5811" w:type="dxa"/>
          </w:tcPr>
          <w:p w:rsidR="00777ABF" w:rsidRPr="00777ABF" w:rsidRDefault="00777ABF" w:rsidP="00777ABF">
            <w:pPr>
              <w:tabs>
                <w:tab w:val="left" w:pos="17505"/>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Javni radovi</w:t>
            </w:r>
          </w:p>
        </w:tc>
        <w:tc>
          <w:tcPr>
            <w:tcW w:w="2168"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13.900,00</w:t>
            </w:r>
          </w:p>
        </w:tc>
      </w:tr>
      <w:tr w:rsidR="00777ABF" w:rsidRPr="00777ABF" w:rsidTr="00F57898">
        <w:trPr>
          <w:trHeight w:val="285"/>
        </w:trPr>
        <w:tc>
          <w:tcPr>
            <w:tcW w:w="993"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3.</w:t>
            </w:r>
          </w:p>
        </w:tc>
        <w:tc>
          <w:tcPr>
            <w:tcW w:w="5811" w:type="dxa"/>
          </w:tcPr>
          <w:p w:rsidR="00777ABF" w:rsidRPr="00777ABF" w:rsidRDefault="00777ABF" w:rsidP="00777ABF">
            <w:pPr>
              <w:tabs>
                <w:tab w:val="left" w:pos="19275"/>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Sufinanciranje Crvenog Križa</w:t>
            </w:r>
          </w:p>
        </w:tc>
        <w:tc>
          <w:tcPr>
            <w:tcW w:w="2168"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4.805,00 </w:t>
            </w:r>
          </w:p>
        </w:tc>
      </w:tr>
      <w:tr w:rsidR="00777ABF" w:rsidRPr="00777ABF" w:rsidTr="00F57898">
        <w:trPr>
          <w:trHeight w:val="286"/>
        </w:trPr>
        <w:tc>
          <w:tcPr>
            <w:tcW w:w="993"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4.</w:t>
            </w:r>
          </w:p>
        </w:tc>
        <w:tc>
          <w:tcPr>
            <w:tcW w:w="5811" w:type="dxa"/>
          </w:tcPr>
          <w:p w:rsidR="00777ABF" w:rsidRPr="00777ABF" w:rsidRDefault="00777ABF" w:rsidP="00777ABF">
            <w:pPr>
              <w:tabs>
                <w:tab w:val="left" w:pos="19275"/>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Pomoć za stambeno zbrinjavanje mladih obitelji</w:t>
            </w:r>
          </w:p>
        </w:tc>
        <w:tc>
          <w:tcPr>
            <w:tcW w:w="2168"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20.000,00</w:t>
            </w:r>
          </w:p>
        </w:tc>
      </w:tr>
      <w:tr w:rsidR="00777ABF" w:rsidRPr="00777ABF" w:rsidTr="00F57898">
        <w:trPr>
          <w:trHeight w:val="61"/>
        </w:trPr>
        <w:tc>
          <w:tcPr>
            <w:tcW w:w="6804" w:type="dxa"/>
            <w:gridSpan w:val="2"/>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b/>
                <w:color w:val="000000"/>
                <w:sz w:val="24"/>
                <w:szCs w:val="24"/>
                <w:lang w:eastAsia="ar-SA"/>
              </w:rPr>
            </w:pPr>
            <w:r w:rsidRPr="00777ABF">
              <w:rPr>
                <w:rFonts w:ascii="Times New Roman" w:eastAsia="Times New Roman" w:hAnsi="Times New Roman" w:cs="Times New Roman"/>
                <w:b/>
                <w:color w:val="000000"/>
                <w:sz w:val="24"/>
                <w:szCs w:val="24"/>
                <w:lang w:eastAsia="ar-SA"/>
              </w:rPr>
              <w:t>Ukupno:</w:t>
            </w:r>
          </w:p>
        </w:tc>
        <w:tc>
          <w:tcPr>
            <w:tcW w:w="2168" w:type="dxa"/>
          </w:tcPr>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b/>
                <w:color w:val="000000"/>
                <w:sz w:val="24"/>
                <w:szCs w:val="24"/>
                <w:lang w:eastAsia="ar-SA"/>
              </w:rPr>
            </w:pPr>
            <w:r w:rsidRPr="00777ABF">
              <w:rPr>
                <w:rFonts w:ascii="Times New Roman" w:eastAsia="Times New Roman" w:hAnsi="Times New Roman" w:cs="Times New Roman"/>
                <w:b/>
                <w:color w:val="000000"/>
                <w:sz w:val="24"/>
                <w:szCs w:val="24"/>
                <w:lang w:eastAsia="ar-SA"/>
              </w:rPr>
              <w:t>48.705,00</w:t>
            </w:r>
          </w:p>
        </w:tc>
      </w:tr>
    </w:tbl>
    <w:p w:rsidR="00777ABF" w:rsidRPr="00777ABF" w:rsidRDefault="00777ABF" w:rsidP="00777ABF">
      <w:pPr>
        <w:tabs>
          <w:tab w:val="left" w:pos="19275"/>
        </w:tabs>
        <w:suppressAutoHyphens/>
        <w:spacing w:after="0" w:line="240" w:lineRule="auto"/>
        <w:ind w:left="1065"/>
        <w:rPr>
          <w:rFonts w:ascii="Times New Roman" w:eastAsia="Times New Roman" w:hAnsi="Times New Roman" w:cs="Times New Roman"/>
          <w:sz w:val="24"/>
          <w:szCs w:val="24"/>
          <w:lang w:eastAsia="ar-SA"/>
        </w:rPr>
      </w:pPr>
    </w:p>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b/>
          <w:bCs/>
          <w:sz w:val="24"/>
          <w:szCs w:val="24"/>
          <w:lang w:eastAsia="ar-SA"/>
        </w:rPr>
      </w:pPr>
    </w:p>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3.</w:t>
      </w:r>
    </w:p>
    <w:p w:rsidR="00777ABF" w:rsidRPr="00777ABF" w:rsidRDefault="00777ABF" w:rsidP="00777ABF">
      <w:pPr>
        <w:tabs>
          <w:tab w:val="left" w:pos="19275"/>
        </w:tabs>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Pravo na dodjelu pomoći iz ovog Programa ostvaruje se podnošenjem pismene zamolbe Jedinstvenom upravnom odjelu Općine Gornji Bogićevci. Raspored sredstava iz ovog Programa vršit će se temeljem odluke Općinskog načelnika, ugovora ili rješenja Jedinstvenog upravnog odjela o priznavanju prava iz socijalne skrbi.</w:t>
      </w: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ind w:left="1080" w:hanging="360"/>
        <w:jc w:val="both"/>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b/>
          <w:bCs/>
          <w:sz w:val="24"/>
          <w:szCs w:val="24"/>
          <w:lang w:eastAsia="ar-SA"/>
        </w:rPr>
        <w:t>Članak 4.</w:t>
      </w: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Ovaj Program stupa na snagu osmi dan od dana objave u  „Službenom glasniku Općine Gornji Bogićevci“.</w:t>
      </w: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p>
    <w:p w:rsidR="00777ABF" w:rsidRPr="00777ABF" w:rsidRDefault="00777ABF" w:rsidP="00777ABF">
      <w:pPr>
        <w:suppressAutoHyphens/>
        <w:spacing w:after="0" w:line="240" w:lineRule="auto"/>
        <w:rPr>
          <w:rFonts w:ascii="Times New Roman" w:eastAsia="Times New Roman" w:hAnsi="Times New Roman" w:cs="Times New Roman"/>
          <w:b/>
          <w:iCs/>
          <w:sz w:val="24"/>
          <w:szCs w:val="24"/>
          <w:lang w:eastAsia="ar-SA"/>
        </w:rPr>
      </w:pPr>
      <w:r w:rsidRPr="00777ABF">
        <w:rPr>
          <w:rFonts w:ascii="Times New Roman" w:eastAsia="Times New Roman" w:hAnsi="Times New Roman" w:cs="Times New Roman"/>
          <w:b/>
          <w:i/>
          <w:sz w:val="24"/>
          <w:szCs w:val="24"/>
          <w:lang w:eastAsia="ar-SA"/>
        </w:rPr>
        <w:t xml:space="preserve">                                  </w:t>
      </w:r>
      <w:r w:rsidRPr="00777ABF">
        <w:rPr>
          <w:rFonts w:ascii="Times New Roman" w:eastAsia="Times New Roman" w:hAnsi="Times New Roman" w:cs="Times New Roman"/>
          <w:b/>
          <w:iCs/>
          <w:sz w:val="24"/>
          <w:szCs w:val="24"/>
          <w:lang w:eastAsia="ar-SA"/>
        </w:rPr>
        <w:t>OPĆINSKO VIJEĆE</w:t>
      </w:r>
      <w:r w:rsidRPr="00777ABF">
        <w:rPr>
          <w:rFonts w:ascii="Times New Roman" w:eastAsia="Times New Roman" w:hAnsi="Times New Roman" w:cs="Times New Roman"/>
          <w:b/>
          <w:i/>
          <w:sz w:val="24"/>
          <w:szCs w:val="24"/>
          <w:lang w:eastAsia="ar-SA"/>
        </w:rPr>
        <w:t xml:space="preserve">  </w:t>
      </w:r>
      <w:r w:rsidRPr="00777ABF">
        <w:rPr>
          <w:rFonts w:ascii="Times New Roman" w:eastAsia="Times New Roman" w:hAnsi="Times New Roman" w:cs="Times New Roman"/>
          <w:b/>
          <w:iCs/>
          <w:sz w:val="24"/>
          <w:szCs w:val="24"/>
          <w:lang w:eastAsia="ar-SA"/>
        </w:rPr>
        <w:t>OPĆINE GORNJI BOGIĆEVCI</w:t>
      </w:r>
    </w:p>
    <w:p w:rsidR="00777ABF" w:rsidRPr="00777ABF" w:rsidRDefault="00777ABF" w:rsidP="00777ABF">
      <w:pPr>
        <w:suppressAutoHyphens/>
        <w:spacing w:after="0" w:line="240" w:lineRule="auto"/>
        <w:rPr>
          <w:rFonts w:ascii="Times New Roman" w:eastAsia="Times New Roman" w:hAnsi="Times New Roman" w:cs="Times New Roman"/>
          <w:b/>
          <w:iCs/>
          <w:color w:val="FF0000"/>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KLASA: 400-05-25-02-01</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URBROJ: 2178-22-03-25-05</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Gornji Bogićevci, 22. prosinca 2025. godine</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PREDSJEDNIK OPĆINSKOG VIJEĆA</w:t>
      </w:r>
    </w:p>
    <w:p w:rsidR="00777ABF" w:rsidRPr="00777ABF" w:rsidRDefault="00777ABF" w:rsidP="00777ABF">
      <w:pPr>
        <w:suppressAutoHyphens/>
        <w:spacing w:after="0" w:line="240" w:lineRule="auto"/>
        <w:ind w:left="4956" w:firstLine="708"/>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Željko Klarić</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Dostaviti:</w:t>
      </w:r>
    </w:p>
    <w:p w:rsidR="00777ABF" w:rsidRPr="00777ABF" w:rsidRDefault="00777ABF" w:rsidP="00A66748">
      <w:pPr>
        <w:numPr>
          <w:ilvl w:val="0"/>
          <w:numId w:val="40"/>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Jedinstveni upravni odjel</w:t>
      </w:r>
    </w:p>
    <w:p w:rsidR="00777ABF" w:rsidRPr="00777ABF" w:rsidRDefault="00777ABF" w:rsidP="00A66748">
      <w:pPr>
        <w:numPr>
          <w:ilvl w:val="0"/>
          <w:numId w:val="40"/>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Službeni glasnik Općine Gornji Bogićevci</w:t>
      </w:r>
    </w:p>
    <w:p w:rsidR="00777ABF" w:rsidRPr="00777ABF" w:rsidRDefault="00777ABF" w:rsidP="00A66748">
      <w:pPr>
        <w:numPr>
          <w:ilvl w:val="0"/>
          <w:numId w:val="40"/>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Pismohrana.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Pr="00777ABF" w:rsidRDefault="00777ABF" w:rsidP="00777ABF">
      <w:pPr>
        <w:suppressAutoHyphens/>
        <w:spacing w:after="0" w:line="240" w:lineRule="auto"/>
        <w:jc w:val="both"/>
        <w:rPr>
          <w:rFonts w:ascii="Times New Roman" w:eastAsia="Times New Roman" w:hAnsi="Times New Roman" w:cs="Times New Roman"/>
          <w:sz w:val="20"/>
          <w:szCs w:val="24"/>
          <w:lang w:eastAsia="ar-SA"/>
        </w:rPr>
      </w:pPr>
      <w:r w:rsidRPr="00777ABF">
        <w:rPr>
          <w:rFonts w:ascii="Times New Roman" w:eastAsia="Times New Roman" w:hAnsi="Times New Roman" w:cs="Times New Roman"/>
          <w:sz w:val="20"/>
          <w:szCs w:val="24"/>
          <w:lang w:eastAsia="ar-SA"/>
        </w:rPr>
        <w:t xml:space="preserve">                  </w:t>
      </w:r>
      <w:r w:rsidRPr="00777ABF">
        <w:rPr>
          <w:rFonts w:ascii="Times New Roman" w:eastAsia="Times New Roman" w:hAnsi="Times New Roman" w:cs="Times New Roman"/>
          <w:noProof/>
          <w:sz w:val="20"/>
          <w:szCs w:val="24"/>
          <w:lang w:eastAsia="hr-HR"/>
        </w:rPr>
        <w:drawing>
          <wp:inline distT="0" distB="0" distL="0" distR="0">
            <wp:extent cx="485775" cy="647700"/>
            <wp:effectExtent l="0" t="0" r="0" b="0"/>
            <wp:docPr id="176607046"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777ABF" w:rsidRPr="00777ABF" w:rsidRDefault="00777ABF" w:rsidP="00777ABF">
      <w:pPr>
        <w:suppressAutoHyphens/>
        <w:spacing w:after="0" w:line="240" w:lineRule="auto"/>
        <w:ind w:firstLine="720"/>
        <w:jc w:val="both"/>
        <w:rPr>
          <w:rFonts w:ascii="Times New Roman" w:eastAsia="Times New Roman" w:hAnsi="Times New Roman" w:cs="Times New Roman"/>
          <w:sz w:val="20"/>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REPUBLIKA HRVATSKA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BRODSKO-POSAVSKA ŽUPANIJA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OPĆINA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OPĆINSKO VIJEĆE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 xml:space="preserve">Trg hrvatskih branitelja 1, </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35429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OIB: 89414039518</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Tel: 035/375-056</w:t>
      </w:r>
    </w:p>
    <w:p w:rsidR="00777ABF" w:rsidRPr="00777ABF" w:rsidRDefault="00777ABF" w:rsidP="00777ABF">
      <w:pPr>
        <w:suppressAutoHyphens/>
        <w:spacing w:after="0" w:line="240" w:lineRule="auto"/>
        <w:rPr>
          <w:rFonts w:ascii="Times New Roman" w:eastAsia="Times New Roman" w:hAnsi="Times New Roman" w:cs="Times New Roman"/>
          <w:sz w:val="24"/>
          <w:szCs w:val="20"/>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color w:val="FF0000"/>
          <w:sz w:val="24"/>
          <w:szCs w:val="20"/>
          <w:lang w:eastAsia="ar-SA"/>
        </w:rPr>
      </w:pPr>
      <w:r w:rsidRPr="00777ABF">
        <w:rPr>
          <w:rFonts w:ascii="Times New Roman" w:eastAsia="Times New Roman" w:hAnsi="Times New Roman" w:cs="Times New Roman"/>
          <w:sz w:val="24"/>
          <w:szCs w:val="20"/>
          <w:lang w:val="en-GB" w:eastAsia="ar-SA"/>
        </w:rPr>
        <w:tab/>
        <w:t xml:space="preserve">Na temelju članka 25.stavak 6, 7 i 8 i članka 49. stavak 4 Zakona o poljoprivrednom zemljištu („Narodne novine“ broj 20/18, 115/18, 98/19 i 57/22) i  </w:t>
      </w:r>
      <w:r w:rsidRPr="00777ABF">
        <w:rPr>
          <w:rFonts w:ascii="Times New Roman" w:eastAsia="Times New Roman" w:hAnsi="Times New Roman" w:cs="Times New Roman"/>
          <w:sz w:val="24"/>
          <w:szCs w:val="20"/>
          <w:lang w:eastAsia="ar-SA"/>
        </w:rPr>
        <w:t xml:space="preserve">te članka 39. stavak 5 Statuta općine Gornji Bogićevci („Službeni glasnik Općine Gornji Bogićevci“, broj 02/21, Općinsko vijeće općine Gornji Bogićevci na svojoj </w:t>
      </w:r>
      <w:r w:rsidRPr="00777ABF">
        <w:rPr>
          <w:rFonts w:ascii="Times New Roman" w:eastAsia="Times New Roman" w:hAnsi="Times New Roman" w:cs="Times New Roman"/>
          <w:color w:val="000000"/>
          <w:sz w:val="24"/>
          <w:szCs w:val="20"/>
          <w:lang w:eastAsia="ar-SA"/>
        </w:rPr>
        <w:t>5. sjednici održanoj 22. prosinca 2025. godine, donosi</w:t>
      </w:r>
    </w:p>
    <w:p w:rsidR="00777ABF" w:rsidRPr="00777ABF" w:rsidRDefault="00777ABF" w:rsidP="00777ABF">
      <w:pPr>
        <w:suppressAutoHyphens/>
        <w:spacing w:after="0" w:line="240" w:lineRule="auto"/>
        <w:rPr>
          <w:rFonts w:ascii="Times New Roman" w:eastAsia="Times New Roman" w:hAnsi="Times New Roman" w:cs="Times New Roman"/>
          <w:color w:val="FF0000"/>
          <w:sz w:val="24"/>
          <w:szCs w:val="20"/>
          <w:lang w:val="en-GB"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color w:val="000000"/>
          <w:sz w:val="24"/>
          <w:szCs w:val="24"/>
          <w:lang w:val="en-GB" w:eastAsia="ar-SA"/>
        </w:rPr>
      </w:pPr>
      <w:r w:rsidRPr="00777ABF">
        <w:rPr>
          <w:rFonts w:ascii="Times New Roman" w:eastAsia="Times New Roman" w:hAnsi="Times New Roman" w:cs="Times New Roman"/>
          <w:b/>
          <w:bCs/>
          <w:color w:val="000000"/>
          <w:sz w:val="24"/>
          <w:szCs w:val="24"/>
          <w:lang w:val="en-GB" w:eastAsia="ar-SA"/>
        </w:rPr>
        <w:t>PROGRAM KORIŠTENJA SREDSTAVA OD RASPOLAGANJA POLJOPRIVREDNIM ZEMLJIŠTEM U VLASNIŠTVU REPUBLIKE HRVATSKE NA PODRUČJU OPĆINE GORNJI BOGIĆEVCI ZA 2026. GODINU</w:t>
      </w:r>
    </w:p>
    <w:p w:rsidR="00777ABF" w:rsidRPr="00777ABF" w:rsidRDefault="00777ABF" w:rsidP="00777ABF">
      <w:pPr>
        <w:keepNext/>
        <w:suppressAutoHyphens/>
        <w:spacing w:after="0" w:line="240" w:lineRule="auto"/>
        <w:jc w:val="both"/>
        <w:outlineLvl w:val="0"/>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w:t>
      </w: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b/>
          <w:bCs/>
          <w:sz w:val="24"/>
          <w:szCs w:val="20"/>
          <w:lang w:eastAsia="ar-SA"/>
        </w:rPr>
        <w:t>Članak 1</w:t>
      </w:r>
      <w:r w:rsidRPr="00777ABF">
        <w:rPr>
          <w:rFonts w:ascii="Times New Roman" w:eastAsia="Times New Roman" w:hAnsi="Times New Roman" w:cs="Times New Roman"/>
          <w:sz w:val="24"/>
          <w:szCs w:val="20"/>
          <w:lang w:eastAsia="ar-SA"/>
        </w:rPr>
        <w:t>.</w:t>
      </w: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r w:rsidRPr="00777ABF">
        <w:rPr>
          <w:rFonts w:ascii="Times New Roman" w:eastAsia="Times New Roman" w:hAnsi="Times New Roman" w:cs="Times New Roman"/>
          <w:sz w:val="24"/>
          <w:szCs w:val="20"/>
          <w:lang w:eastAsia="ar-SA"/>
        </w:rPr>
        <w:tab/>
        <w:t>Ovim Programom korištenja sredstava ostvarenih od</w:t>
      </w:r>
      <w:r w:rsidRPr="00777ABF">
        <w:rPr>
          <w:rFonts w:ascii="Times New Roman" w:eastAsia="Times New Roman" w:hAnsi="Times New Roman" w:cs="Times New Roman"/>
          <w:color w:val="000000"/>
          <w:sz w:val="24"/>
          <w:szCs w:val="24"/>
          <w:lang w:val="en-GB" w:eastAsia="ar-SA"/>
        </w:rPr>
        <w:t xml:space="preserve"> raspolaganja poljoprivrednim zemljištem u vlasništvu Republike Hrvatske propisuje se korištenje sredstava iz Proračuna Općine Gornji Bogićevci za 2026. godinu za financiranje troškova vezano uz provedbu Zakona o poljoprivrednom zemljištu.</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sz w:val="24"/>
          <w:szCs w:val="20"/>
          <w:lang w:eastAsia="ar-SA"/>
        </w:rPr>
        <w:t xml:space="preserve">                                                             </w:t>
      </w:r>
      <w:r w:rsidRPr="00777ABF">
        <w:rPr>
          <w:rFonts w:ascii="Times New Roman" w:eastAsia="Times New Roman" w:hAnsi="Times New Roman" w:cs="Times New Roman"/>
          <w:b/>
          <w:bCs/>
          <w:sz w:val="24"/>
          <w:szCs w:val="20"/>
          <w:lang w:eastAsia="ar-SA"/>
        </w:rPr>
        <w:t>Članak 2.</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r w:rsidRPr="00777ABF">
        <w:rPr>
          <w:rFonts w:ascii="Times New Roman" w:eastAsia="Times New Roman" w:hAnsi="Times New Roman" w:cs="Times New Roman"/>
          <w:color w:val="000000"/>
          <w:sz w:val="24"/>
          <w:szCs w:val="24"/>
          <w:lang w:val="en-GB" w:eastAsia="ar-SA"/>
        </w:rPr>
        <w:t xml:space="preserve">     U Proračunu Općine Gornji Bogićevci u 2026. godini planirani prihod iznosi </w:t>
      </w:r>
      <w:r w:rsidRPr="00777ABF">
        <w:rPr>
          <w:rFonts w:ascii="Times New Roman" w:eastAsia="Times New Roman" w:hAnsi="Times New Roman" w:cs="Times New Roman"/>
          <w:b/>
          <w:bCs/>
          <w:sz w:val="24"/>
          <w:szCs w:val="24"/>
          <w:lang w:val="en-GB" w:eastAsia="ar-SA"/>
        </w:rPr>
        <w:t>19.000,00</w:t>
      </w:r>
      <w:r w:rsidRPr="00777ABF">
        <w:rPr>
          <w:rFonts w:ascii="Times New Roman" w:eastAsia="Times New Roman" w:hAnsi="Times New Roman" w:cs="Times New Roman"/>
          <w:color w:val="000000"/>
          <w:sz w:val="24"/>
          <w:szCs w:val="24"/>
          <w:lang w:val="en-GB" w:eastAsia="ar-SA"/>
        </w:rPr>
        <w:t xml:space="preserve"> eura:</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p>
    <w:tbl>
      <w:tblPr>
        <w:tblW w:w="8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
        <w:gridCol w:w="5438"/>
        <w:gridCol w:w="2691"/>
      </w:tblGrid>
      <w:tr w:rsidR="00777ABF" w:rsidRPr="00777ABF" w:rsidTr="00F57898">
        <w:trPr>
          <w:trHeight w:val="348"/>
        </w:trPr>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VRSTA PRIHODA</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PLANIRANI PRIHOD (EUR)</w:t>
            </w:r>
          </w:p>
        </w:tc>
      </w:tr>
      <w:tr w:rsidR="00777ABF" w:rsidRPr="00777ABF" w:rsidTr="00F57898">
        <w:trPr>
          <w:trHeight w:val="348"/>
        </w:trPr>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1.</w:t>
            </w: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Prihod od zakupa  i privremenog korištenja </w:t>
            </w:r>
            <w:r w:rsidRPr="00777ABF">
              <w:rPr>
                <w:rFonts w:ascii="Times New Roman" w:eastAsia="Times New Roman" w:hAnsi="Times New Roman" w:cs="Times New Roman"/>
                <w:sz w:val="24"/>
                <w:szCs w:val="20"/>
                <w:lang w:eastAsia="ar-SA"/>
              </w:rPr>
              <w:lastRenderedPageBreak/>
              <w:t>poljoprivrednog zemljišta</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lastRenderedPageBreak/>
              <w:t>20.000,00</w:t>
            </w:r>
          </w:p>
        </w:tc>
      </w:tr>
      <w:tr w:rsidR="00777ABF" w:rsidRPr="00777ABF" w:rsidTr="00F57898">
        <w:trPr>
          <w:trHeight w:val="348"/>
        </w:trPr>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UKUPNO</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20.000,00 EUR</w:t>
            </w:r>
          </w:p>
        </w:tc>
      </w:tr>
    </w:tbl>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 xml:space="preserve">                                                             Članak 3.</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Ostvarena sredstva iz članka 2. ovog Programa namjenski će se koristiti za:</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
        <w:gridCol w:w="6706"/>
        <w:gridCol w:w="2752"/>
      </w:tblGrid>
      <w:tr w:rsidR="00777ABF" w:rsidRPr="00777ABF" w:rsidTr="00F57898">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VRSTA RASHODA (prema namjeni)</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PLANIRANI PRIHOD (EUR)</w:t>
            </w:r>
          </w:p>
        </w:tc>
      </w:tr>
      <w:tr w:rsidR="00777ABF" w:rsidRPr="00777ABF" w:rsidTr="00F57898">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1.</w:t>
            </w: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Uređenje ruralnog prostora izgradnjom i održavanjem ruralne infrastrukture</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13.000,00</w:t>
            </w:r>
          </w:p>
        </w:tc>
      </w:tr>
      <w:tr w:rsidR="00777ABF" w:rsidRPr="00777ABF" w:rsidTr="00F57898">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2.</w:t>
            </w: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Sufinanciranje LAG-a „Zapadna Slavonija“</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3.000,00</w:t>
            </w:r>
          </w:p>
        </w:tc>
      </w:tr>
      <w:tr w:rsidR="00777ABF" w:rsidRPr="00777ABF" w:rsidTr="00F57898">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3.</w:t>
            </w: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Podmirenje dijela troškova u vezi s provedbom Zakona o poljoprivrednom zemljištu</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2.000,00</w:t>
            </w:r>
          </w:p>
        </w:tc>
      </w:tr>
      <w:tr w:rsidR="00777ABF" w:rsidRPr="00777ABF" w:rsidTr="00F57898">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4.</w:t>
            </w: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Katastarsko geodetska izmjera i sređivanje zemljišnih knjiga</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2.000,00</w:t>
            </w:r>
          </w:p>
        </w:tc>
      </w:tr>
      <w:tr w:rsidR="00777ABF" w:rsidRPr="00777ABF" w:rsidTr="00F57898">
        <w:tc>
          <w:tcPr>
            <w:tcW w:w="0" w:type="auto"/>
          </w:tcPr>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tc>
        <w:tc>
          <w:tcPr>
            <w:tcW w:w="0" w:type="auto"/>
          </w:tcPr>
          <w:p w:rsidR="00777ABF" w:rsidRPr="00777ABF" w:rsidRDefault="00777ABF" w:rsidP="00777ABF">
            <w:pPr>
              <w:suppressAutoHyphens/>
              <w:spacing w:after="0" w:line="240" w:lineRule="auto"/>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UKUPNO</w:t>
            </w:r>
          </w:p>
        </w:tc>
        <w:tc>
          <w:tcPr>
            <w:tcW w:w="0" w:type="auto"/>
          </w:tcPr>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20.000,00</w:t>
            </w:r>
          </w:p>
        </w:tc>
      </w:tr>
    </w:tbl>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Članak 4.</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Ukoliko se tijekom godine ukaže potreba za izmjenom iznosa subvencioniranja po mjerama, ovlašćuje se Općinski načelnik na donošenje odluke o preraspodjeli sredstava za subvencioniranje.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Izvješće o  ostvarenju ovog Programa Općinski načelnik dostavlja Općinskom vijeću na razmatranje i usvajanje s Godišnjim izvješćem Proračuna Općine Gornji Bogićevci za 2026. godinu.</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Nakon što Općinsko vijeće Općine Gornji Bogićevci usvoji Program, Izvješće o ostvarenju ovog Programa Općinski načenik će dostaviti nadležnom Ministarstvu do 31. ožujka 2027. godine. </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0"/>
          <w:lang w:eastAsia="ar-SA"/>
        </w:rPr>
      </w:pPr>
      <w:r w:rsidRPr="00777ABF">
        <w:rPr>
          <w:rFonts w:ascii="Times New Roman" w:eastAsia="Times New Roman" w:hAnsi="Times New Roman" w:cs="Times New Roman"/>
          <w:b/>
          <w:bCs/>
          <w:sz w:val="24"/>
          <w:szCs w:val="20"/>
          <w:lang w:eastAsia="ar-SA"/>
        </w:rPr>
        <w:t>Članak 5.</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color w:val="000000"/>
          <w:sz w:val="24"/>
          <w:szCs w:val="24"/>
          <w:lang w:val="en-GB" w:eastAsia="ar-SA"/>
        </w:rPr>
        <w:t xml:space="preserve"> Ovaj Program</w:t>
      </w:r>
      <w:r w:rsidRPr="00777ABF">
        <w:rPr>
          <w:rFonts w:ascii="Times New Roman" w:eastAsia="Times New Roman" w:hAnsi="Times New Roman" w:cs="Times New Roman"/>
          <w:sz w:val="24"/>
          <w:szCs w:val="20"/>
          <w:lang w:eastAsia="ar-SA"/>
        </w:rPr>
        <w:t xml:space="preserve"> </w:t>
      </w:r>
      <w:r w:rsidRPr="00777ABF">
        <w:rPr>
          <w:rFonts w:ascii="Times New Roman" w:eastAsia="Times New Roman" w:hAnsi="Times New Roman" w:cs="Times New Roman"/>
          <w:color w:val="000000"/>
          <w:sz w:val="24"/>
          <w:szCs w:val="24"/>
          <w:lang w:val="en-GB" w:eastAsia="ar-SA"/>
        </w:rPr>
        <w:t>stupa na snagu osmi dan od dana objave u “Službenom glasniku Općine Gornji Bogićevci“.</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rPr>
          <w:rFonts w:ascii="Times New Roman" w:eastAsia="Times New Roman" w:hAnsi="Times New Roman" w:cs="Times New Roman"/>
          <w:b/>
          <w:iCs/>
          <w:sz w:val="24"/>
          <w:szCs w:val="24"/>
          <w:lang w:val="en-GB" w:eastAsia="ar-SA"/>
        </w:rPr>
      </w:pPr>
      <w:r w:rsidRPr="00777ABF">
        <w:rPr>
          <w:rFonts w:ascii="Times New Roman" w:eastAsia="Times New Roman" w:hAnsi="Times New Roman" w:cs="Times New Roman"/>
          <w:b/>
          <w:i/>
          <w:sz w:val="24"/>
          <w:szCs w:val="24"/>
          <w:lang w:val="en-GB" w:eastAsia="ar-SA"/>
        </w:rPr>
        <w:t xml:space="preserve">                            </w:t>
      </w:r>
      <w:r w:rsidRPr="00777ABF">
        <w:rPr>
          <w:rFonts w:ascii="Times New Roman" w:eastAsia="Times New Roman" w:hAnsi="Times New Roman" w:cs="Times New Roman"/>
          <w:b/>
          <w:iCs/>
          <w:sz w:val="24"/>
          <w:szCs w:val="24"/>
          <w:lang w:val="en-GB" w:eastAsia="ar-SA"/>
        </w:rPr>
        <w:t>OPĆINSKO VIJEĆE</w:t>
      </w:r>
      <w:r w:rsidRPr="00777ABF">
        <w:rPr>
          <w:rFonts w:ascii="Times New Roman" w:eastAsia="Times New Roman" w:hAnsi="Times New Roman" w:cs="Times New Roman"/>
          <w:b/>
          <w:i/>
          <w:sz w:val="24"/>
          <w:szCs w:val="24"/>
          <w:lang w:val="en-GB" w:eastAsia="ar-SA"/>
        </w:rPr>
        <w:t xml:space="preserve">  </w:t>
      </w:r>
      <w:r w:rsidRPr="00777ABF">
        <w:rPr>
          <w:rFonts w:ascii="Times New Roman" w:eastAsia="Times New Roman" w:hAnsi="Times New Roman" w:cs="Times New Roman"/>
          <w:b/>
          <w:iCs/>
          <w:sz w:val="24"/>
          <w:szCs w:val="24"/>
          <w:lang w:val="en-GB" w:eastAsia="ar-SA"/>
        </w:rPr>
        <w:t>OPĆINE GORNJI BOGIĆEVCI</w:t>
      </w:r>
    </w:p>
    <w:p w:rsidR="00777ABF" w:rsidRPr="00777ABF" w:rsidRDefault="00777ABF" w:rsidP="00777ABF">
      <w:pPr>
        <w:suppressAutoHyphens/>
        <w:spacing w:after="0" w:line="240" w:lineRule="auto"/>
        <w:rPr>
          <w:rFonts w:ascii="Times New Roman" w:eastAsia="Times New Roman" w:hAnsi="Times New Roman" w:cs="Times New Roman"/>
          <w:b/>
          <w:iCs/>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r w:rsidRPr="00777ABF">
        <w:rPr>
          <w:rFonts w:ascii="Times New Roman" w:eastAsia="Times New Roman" w:hAnsi="Times New Roman" w:cs="Times New Roman"/>
          <w:color w:val="000000"/>
          <w:sz w:val="24"/>
          <w:szCs w:val="24"/>
          <w:lang w:val="en-GB" w:eastAsia="ar-SA"/>
        </w:rPr>
        <w:t>KLASA: 400-05-25-02-01</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val="en-GB" w:eastAsia="ar-SA"/>
        </w:rPr>
      </w:pPr>
      <w:r w:rsidRPr="00777ABF">
        <w:rPr>
          <w:rFonts w:ascii="Times New Roman" w:eastAsia="Times New Roman" w:hAnsi="Times New Roman" w:cs="Times New Roman"/>
          <w:color w:val="000000"/>
          <w:sz w:val="24"/>
          <w:szCs w:val="24"/>
          <w:lang w:val="en-GB" w:eastAsia="ar-SA"/>
        </w:rPr>
        <w:t>URBROJ: 2178-22-03-25-06</w:t>
      </w:r>
    </w:p>
    <w:p w:rsidR="00777ABF" w:rsidRPr="00777ABF" w:rsidRDefault="00777ABF" w:rsidP="00777ABF">
      <w:pPr>
        <w:suppressAutoHyphens/>
        <w:spacing w:after="0" w:line="240" w:lineRule="auto"/>
        <w:rPr>
          <w:rFonts w:ascii="Times New Roman" w:eastAsia="Times New Roman" w:hAnsi="Times New Roman" w:cs="Times New Roman"/>
          <w:b/>
          <w:i/>
          <w:color w:val="000000"/>
          <w:sz w:val="24"/>
          <w:szCs w:val="24"/>
          <w:lang w:val="en-GB" w:eastAsia="ar-SA"/>
        </w:rPr>
      </w:pPr>
      <w:r w:rsidRPr="00777ABF">
        <w:rPr>
          <w:rFonts w:ascii="Times New Roman" w:eastAsia="Times New Roman" w:hAnsi="Times New Roman" w:cs="Times New Roman"/>
          <w:color w:val="000000"/>
          <w:sz w:val="24"/>
          <w:szCs w:val="24"/>
          <w:lang w:val="en-GB" w:eastAsia="ar-SA"/>
        </w:rPr>
        <w:t>Gornji Bogićevci, 22. prosinca 2025. godine</w:t>
      </w: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 xml:space="preserve">        </w:t>
      </w: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PREDSJEDNIK OPĆINSKOG VIJEĆA</w:t>
      </w:r>
    </w:p>
    <w:p w:rsidR="00777ABF" w:rsidRPr="00777ABF" w:rsidRDefault="00777ABF" w:rsidP="00777ABF">
      <w:pPr>
        <w:suppressAutoHyphens/>
        <w:spacing w:after="0" w:line="240" w:lineRule="auto"/>
        <w:ind w:left="4956" w:firstLine="708"/>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Željko Klarić</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Dostaviti:</w:t>
      </w:r>
    </w:p>
    <w:p w:rsidR="00777ABF" w:rsidRPr="00777ABF" w:rsidRDefault="00777ABF" w:rsidP="00A66748">
      <w:pPr>
        <w:numPr>
          <w:ilvl w:val="0"/>
          <w:numId w:val="41"/>
        </w:numPr>
        <w:suppressAutoHyphens/>
        <w:spacing w:after="0" w:line="240" w:lineRule="auto"/>
        <w:contextualSpacing/>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lastRenderedPageBreak/>
        <w:t>Jedinstveni upravni odjel</w:t>
      </w:r>
    </w:p>
    <w:p w:rsidR="00777ABF" w:rsidRPr="00777ABF" w:rsidRDefault="00777ABF" w:rsidP="00A66748">
      <w:pPr>
        <w:numPr>
          <w:ilvl w:val="0"/>
          <w:numId w:val="41"/>
        </w:numPr>
        <w:suppressAutoHyphens/>
        <w:spacing w:after="0" w:line="240" w:lineRule="auto"/>
        <w:contextualSpacing/>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Službeni glasnik Općine Gornji Bogićevci</w:t>
      </w:r>
    </w:p>
    <w:p w:rsidR="00777ABF" w:rsidRPr="00777ABF" w:rsidRDefault="00777ABF" w:rsidP="00A66748">
      <w:pPr>
        <w:numPr>
          <w:ilvl w:val="0"/>
          <w:numId w:val="41"/>
        </w:numPr>
        <w:suppressAutoHyphens/>
        <w:spacing w:after="0" w:line="240" w:lineRule="auto"/>
        <w:contextualSpacing/>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Pismohrana.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OBRAZLOŽENJE</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Prema odredbama članaka 27. stavak 2. Zakona o poljoprivrednom zemljištu (”Narodne novine” br. 20/18, 115/18, 98/19 i 57/22) oblici raspolaganja poljoprivrednim zem1jištem u vlasništvu države su zakup, zakup za ribnjake, zakup zajedničkih pašnjaka, zamjena, prodaja, prodaja izravnom pogodbom, davanje na korištenje izravnom pogodbom, razvrgnuće suvlasničke zajednice, osnivanje prava građenja i osnivanje prava služnosti.</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Člankom 49. stavkom 1. Zakona uređen je raspored sredstava od raspolaganja poljoprivrednim zemljištem u vlasništvu države na način da su sredstva ostvarena od zakupa, zakupa za ribnjake, prodaje izravnom pogodbom i davanja na korištenje bez javnog poziva prihod državnog proračuna 25%, 10% proračuna jedinice područne (regionalne) samouprave i 65% proračuna jedinice lokalne samouprave, odnosno Grada Zagreba, na čijem se području poljoprivredno zemljište nalazi.</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Zakon detaljno definira i namjenu korištenja ostvarenih prihoda temeljem raspolaganja državnim poljoprivrednim zemljištem ( katastarsko-geodetske izmjere zemljišta, za podmirenje troškova postupaka koji se vode u svrhu sređivanja imovinskopravnih odnosa i zemljišnih knjiga, za subvencioniranje dijela troškova za sređivanje zemljišnoknjižnog stanja poljoprivrednog zemljišta u privatnom vlasništvu,  za podmirenje dijela stvarnih troškova u vezi s provedbom Zakona, program razminiranja zemljišta, program uređenja ruralnog prostora izgradnjom i održavanjem ruralne infrastrukture vezane za poljoprivredu i akvakulturu, program uređenja zemljišta u postupku komasacije i hidromelioracije, za troškove održavanja sustava za navodnjavanje, program očuvanja ugroženih područja i očuvanja biološke raznolikosti i za program sufinanciranja aktivnosti izrade programa, projekata i ostalih dokumenata neophodnih za provedbu mjera potpore iz Programa ruralnog razvoja, a čija se izrada ne sufinancira kroz mjere potpore iz toga Programa i druge poticajne mjere za unapređenje poljoprivrede i akvakulture).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Sredstva ostvarena od naknade za promjenu namjene poljoprivrednog zemljišta prihod su državnog proračuna u visini od 70%, i jedinica lokalne samouprave odnosno Grada Zagreba, na čijem se području poljoprivredno zemljište nalazi u visini od 30%. Sredstva koja su prihod jedinica lokalne samouprave namijenjena za okrupnjavanje, navodnjavanje, privođenje funkciji i povećanje vrijednosti poljoprivrednog zemljišta.</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Sredstva ostvarena od naknade za promjenu namjene poljoprivrednog zemljišta koja su prihod jedinica lokalne samouprave namijenjena su isključivo za okrupnjavanje, navodnjavanje, privođenje funkciji i povećanje vrijednosti poljoprivrednog zemljišta.</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Ovim Programom predviđeno je korištenje ostvarenih sredstava za dio navedenih aktivnosti.</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Temeljem Zakona, jedinice lokalne i područne (regionalne) samouprave i Grad Zagreb dužne su donijeti Program utroška sredstava ostvarenih od raspolaganja poljoprivrednim zemljištem u vlasništvu države kao i Program korištenja sredstava ostvarena od naknade za promjenu namjene poljoprivrednog zemljišta.</w:t>
      </w:r>
    </w:p>
    <w:p w:rsidR="00777ABF" w:rsidRPr="00777ABF" w:rsidRDefault="00777ABF" w:rsidP="00777ABF">
      <w:pPr>
        <w:suppressAutoHyphens/>
        <w:spacing w:after="0" w:line="240" w:lineRule="auto"/>
        <w:rPr>
          <w:rFonts w:ascii="Times New Roman" w:eastAsia="Times New Roman" w:hAnsi="Times New Roman" w:cs="Times New Roman"/>
          <w:sz w:val="24"/>
          <w:szCs w:val="20"/>
          <w:lang w:eastAsia="ar-SA"/>
        </w:rPr>
      </w:pPr>
      <w:r w:rsidRPr="00777ABF">
        <w:rPr>
          <w:rFonts w:ascii="Times New Roman" w:eastAsia="Times New Roman" w:hAnsi="Times New Roman" w:cs="Times New Roman"/>
          <w:sz w:val="24"/>
          <w:szCs w:val="20"/>
          <w:lang w:eastAsia="ar-SA"/>
        </w:rPr>
        <w:t xml:space="preserve">     </w:t>
      </w: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440A6E">
      <w:pPr>
        <w:spacing w:line="360" w:lineRule="auto"/>
        <w:rPr>
          <w:rFonts w:ascii="Times New Roman" w:hAnsi="Times New Roman" w:cs="Times New Roman"/>
          <w:b/>
          <w:bCs/>
          <w:sz w:val="24"/>
          <w:szCs w:val="24"/>
        </w:rPr>
      </w:pPr>
    </w:p>
    <w:p w:rsidR="00777ABF" w:rsidRDefault="00777ABF" w:rsidP="00777ABF">
      <w:pPr>
        <w:spacing w:after="0"/>
        <w:rPr>
          <w:rFonts w:ascii="Times New Roman" w:hAnsi="Times New Roman" w:cs="Times New Roman"/>
          <w:sz w:val="24"/>
          <w:szCs w:val="24"/>
        </w:rPr>
      </w:pPr>
      <w:r>
        <w:rPr>
          <w:rFonts w:ascii="Times New Roman" w:eastAsia="Times New Roman" w:hAnsi="Times New Roman" w:cs="Times New Roman"/>
          <w:sz w:val="24"/>
          <w:szCs w:val="24"/>
          <w:lang w:eastAsia="hr-HR"/>
        </w:rPr>
        <w:t xml:space="preserve">           </w:t>
      </w:r>
      <w:r>
        <w:rPr>
          <w:rFonts w:ascii="Times New Roman" w:hAnsi="Times New Roman" w:cs="Times New Roman"/>
          <w:sz w:val="24"/>
          <w:szCs w:val="24"/>
        </w:rPr>
        <w:t xml:space="preserve">           </w:t>
      </w:r>
      <w:r>
        <w:rPr>
          <w:rFonts w:ascii="Times New Roman" w:hAnsi="Times New Roman" w:cs="Times New Roman"/>
          <w:noProof/>
          <w:sz w:val="24"/>
          <w:szCs w:val="24"/>
          <w:lang w:eastAsia="hr-HR"/>
        </w:rPr>
        <w:drawing>
          <wp:inline distT="0" distB="0" distL="0" distR="0">
            <wp:extent cx="484505" cy="642620"/>
            <wp:effectExtent l="0" t="0" r="0" b="5080"/>
            <wp:docPr id="1120175213" name="Slika 1120175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pic:cNvPicPr>
                      <a:picLocks noChangeAspect="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91493" cy="651704"/>
                    </a:xfrm>
                    <a:prstGeom prst="rect">
                      <a:avLst/>
                    </a:prstGeom>
                  </pic:spPr>
                </pic:pic>
              </a:graphicData>
            </a:graphic>
          </wp:inline>
        </w:drawing>
      </w:r>
    </w:p>
    <w:p w:rsidR="00777ABF" w:rsidRDefault="00777ABF" w:rsidP="00777ABF">
      <w:pPr>
        <w:spacing w:after="0"/>
        <w:rPr>
          <w:rFonts w:ascii="Times New Roman" w:hAnsi="Times New Roman" w:cs="Times New Roman"/>
          <w:sz w:val="24"/>
          <w:szCs w:val="24"/>
        </w:rPr>
      </w:pP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REPUBLIKA HRVATSKA</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BRODSKO-POSAVSKA ŽUPANIJA</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OPĆINA GORNJI BOGIĆEVCI</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OPĆINSKO VIJEĆE</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 xml:space="preserve">Trg hrvatskih branitelja 1, </w:t>
      </w:r>
    </w:p>
    <w:p w:rsidR="00777ABF" w:rsidRDefault="00777ABF" w:rsidP="00777ABF">
      <w:pPr>
        <w:spacing w:after="0"/>
        <w:jc w:val="both"/>
        <w:rPr>
          <w:rFonts w:ascii="Times New Roman" w:hAnsi="Times New Roman" w:cs="Times New Roman"/>
          <w:sz w:val="24"/>
          <w:szCs w:val="24"/>
        </w:rPr>
      </w:pPr>
      <w:r>
        <w:rPr>
          <w:rFonts w:ascii="Times New Roman" w:hAnsi="Times New Roman" w:cs="Times New Roman"/>
          <w:sz w:val="24"/>
          <w:szCs w:val="24"/>
        </w:rPr>
        <w:t>35429 Gornji Bogićevci</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OIB: 89414039518</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Tel: 035/375-056</w:t>
      </w:r>
    </w:p>
    <w:p w:rsidR="00777ABF" w:rsidRDefault="00777ABF" w:rsidP="00777ABF">
      <w:pPr>
        <w:spacing w:after="0" w:line="240" w:lineRule="auto"/>
        <w:ind w:firstLine="708"/>
        <w:jc w:val="both"/>
        <w:rPr>
          <w:rFonts w:ascii="Times New Roman" w:eastAsia="Times New Roman" w:hAnsi="Times New Roman" w:cs="Times New Roman"/>
          <w:sz w:val="24"/>
          <w:szCs w:val="24"/>
          <w:lang w:eastAsia="hr-HR"/>
        </w:rPr>
      </w:pPr>
    </w:p>
    <w:p w:rsidR="00777ABF" w:rsidRDefault="00777ABF" w:rsidP="00777AB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 temelju članka 72. stavka 1. Zakona o komunalnom gospodarstvu  („Narodne novine“, broj 68/18, 110/2018 i 32/20), a u vezi s člankom 19. Zakona o lokalnoj i područnoj (regionalnoj) samoupravi („Narodne novine“ broj 33/01, 60/01, 129/05, 109/07, 25/08, 36/09, 36/09, 150/11, 144/12, 19/13, 137/15, 123/17, 98/19, 144/20) i članka 39. stavak 5 Statuta općine Gornji Bogićevci („Službeni glasnik Općine Gornji Bogićevci“, broj 02/21, Općinsko vijeće općine Gornji Bogićevci na svojoj </w:t>
      </w:r>
      <w:r>
        <w:rPr>
          <w:rFonts w:ascii="Times New Roman" w:eastAsia="Times New Roman" w:hAnsi="Times New Roman" w:cs="Times New Roman"/>
          <w:sz w:val="24"/>
          <w:szCs w:val="24"/>
          <w:lang w:val="en-US" w:eastAsia="hr-HR"/>
        </w:rPr>
        <w:t>5</w:t>
      </w:r>
      <w:r>
        <w:rPr>
          <w:rFonts w:ascii="Times New Roman" w:eastAsia="Times New Roman" w:hAnsi="Times New Roman" w:cs="Times New Roman"/>
          <w:sz w:val="24"/>
          <w:szCs w:val="24"/>
          <w:lang w:eastAsia="hr-HR"/>
        </w:rPr>
        <w:t>. sjednici održanoj 2</w:t>
      </w:r>
      <w:r>
        <w:rPr>
          <w:rFonts w:ascii="Times New Roman" w:eastAsia="Times New Roman" w:hAnsi="Times New Roman" w:cs="Times New Roman"/>
          <w:sz w:val="24"/>
          <w:szCs w:val="24"/>
          <w:lang w:val="en-US" w:eastAsia="hr-HR"/>
        </w:rPr>
        <w:t>2</w:t>
      </w: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sz w:val="24"/>
          <w:szCs w:val="24"/>
          <w:lang w:val="en-US" w:eastAsia="hr-HR"/>
        </w:rPr>
        <w:t>prosinca</w:t>
      </w:r>
      <w:r>
        <w:rPr>
          <w:rFonts w:ascii="Times New Roman" w:eastAsia="Times New Roman" w:hAnsi="Times New Roman" w:cs="Times New Roman"/>
          <w:sz w:val="24"/>
          <w:szCs w:val="24"/>
          <w:lang w:eastAsia="hr-HR"/>
        </w:rPr>
        <w:t xml:space="preserve"> 2025. godine, donosi</w:t>
      </w:r>
    </w:p>
    <w:p w:rsidR="00777ABF" w:rsidRDefault="00777ABF" w:rsidP="00777ABF">
      <w:pPr>
        <w:spacing w:after="0" w:line="240" w:lineRule="auto"/>
        <w:ind w:firstLine="720"/>
        <w:jc w:val="both"/>
        <w:rPr>
          <w:rFonts w:ascii="Times New Roman" w:eastAsia="Times New Roman" w:hAnsi="Times New Roman" w:cs="Times New Roman"/>
          <w:sz w:val="24"/>
          <w:szCs w:val="24"/>
          <w:lang w:eastAsia="hr-HR"/>
        </w:rPr>
      </w:pPr>
    </w:p>
    <w:p w:rsidR="00777ABF" w:rsidRDefault="00777ABF" w:rsidP="00777ABF">
      <w:pPr>
        <w:keepNext/>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PROGRAM</w:t>
      </w:r>
    </w:p>
    <w:p w:rsidR="00777ABF" w:rsidRDefault="00777ABF" w:rsidP="00777ABF">
      <w:pPr>
        <w:keepNext/>
        <w:spacing w:after="0" w:line="240" w:lineRule="auto"/>
        <w:jc w:val="center"/>
        <w:outlineLvl w:val="0"/>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održavanja komunalne infrastrukture za 2026. godinu</w:t>
      </w:r>
    </w:p>
    <w:p w:rsidR="00777ABF" w:rsidRDefault="00777ABF" w:rsidP="00777AB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rsidR="00777ABF" w:rsidRDefault="00777ABF" w:rsidP="00777ABF">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Članak 1.</w:t>
      </w:r>
    </w:p>
    <w:p w:rsidR="00777ABF" w:rsidRDefault="00777ABF" w:rsidP="00777ABF">
      <w:pPr>
        <w:spacing w:after="0" w:line="240" w:lineRule="auto"/>
        <w:rPr>
          <w:rFonts w:ascii="Times New Roman" w:hAnsi="Times New Roman" w:cs="Times New Roman"/>
          <w:b/>
          <w:sz w:val="24"/>
          <w:szCs w:val="24"/>
        </w:rPr>
      </w:pPr>
    </w:p>
    <w:p w:rsidR="00777ABF" w:rsidRDefault="00777ABF" w:rsidP="00777A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Programom održavanja komunalne infrastrukture za 2026. godinu (u daljnjem tekstu: Program) određuje se održavanje komunalne infrastrukture na području općine Gornji Bogićevci za komunalne djelatnosti:</w:t>
      </w:r>
    </w:p>
    <w:p w:rsidR="00777ABF" w:rsidRDefault="00777ABF" w:rsidP="00777ABF">
      <w:pPr>
        <w:spacing w:after="0" w:line="240" w:lineRule="auto"/>
        <w:jc w:val="both"/>
        <w:rPr>
          <w:rFonts w:ascii="Times New Roman" w:eastAsia="Times New Roman" w:hAnsi="Times New Roman" w:cs="Times New Roman"/>
          <w:sz w:val="24"/>
          <w:szCs w:val="24"/>
          <w:lang w:eastAsia="hr-HR"/>
        </w:rPr>
      </w:pP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nerazvrstanih cesta</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javnih površina na kojima nije dopušten promet vozilima</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građevina javne odvodnje oborinskih voda</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javnih zelenih površina</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građevina, uređaja i predmeta javne namjene</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groblja</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čistoće javnih površina</w:t>
      </w:r>
    </w:p>
    <w:p w:rsidR="00777ABF" w:rsidRDefault="00777ABF" w:rsidP="00A66748">
      <w:pPr>
        <w:numPr>
          <w:ilvl w:val="0"/>
          <w:numId w:val="23"/>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Održavanje javne rasvjete</w:t>
      </w:r>
    </w:p>
    <w:p w:rsidR="00777ABF" w:rsidRDefault="00777ABF" w:rsidP="00777ABF">
      <w:pPr>
        <w:spacing w:after="0" w:line="240" w:lineRule="auto"/>
        <w:jc w:val="both"/>
        <w:rPr>
          <w:rFonts w:ascii="Times New Roman" w:eastAsia="Times New Roman" w:hAnsi="Times New Roman" w:cs="Times New Roman"/>
          <w:sz w:val="24"/>
          <w:szCs w:val="24"/>
          <w:lang w:eastAsia="hr-HR"/>
        </w:rPr>
      </w:pPr>
    </w:p>
    <w:p w:rsidR="00777ABF" w:rsidRDefault="00777ABF" w:rsidP="00777A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Ovim Programom utvrđuje se:</w:t>
      </w:r>
    </w:p>
    <w:p w:rsidR="00777ABF" w:rsidRDefault="00777ABF" w:rsidP="00A66748">
      <w:pPr>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opis i opseg poslova održavanja komunalne infrastrukture s procjenom pojedinih troškova po djelatnostima</w:t>
      </w:r>
    </w:p>
    <w:p w:rsidR="00777ABF" w:rsidRDefault="00777ABF" w:rsidP="00A66748">
      <w:pPr>
        <w:numPr>
          <w:ilvl w:val="0"/>
          <w:numId w:val="24"/>
        </w:num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iskaz financijskih sredstava potrebnih za ostvarivanje programa, s naznakom izvora financiranja.</w:t>
      </w:r>
    </w:p>
    <w:p w:rsidR="00777ABF" w:rsidRDefault="00777ABF" w:rsidP="00777ABF">
      <w:pPr>
        <w:spacing w:after="0" w:line="240" w:lineRule="auto"/>
        <w:ind w:left="360"/>
        <w:jc w:val="both"/>
        <w:rPr>
          <w:rFonts w:ascii="Times New Roman" w:eastAsia="Times New Roman" w:hAnsi="Times New Roman" w:cs="Times New Roman"/>
          <w:sz w:val="24"/>
          <w:szCs w:val="24"/>
          <w:lang w:eastAsia="hr-HR"/>
        </w:rPr>
      </w:pPr>
    </w:p>
    <w:p w:rsidR="00777ABF" w:rsidRDefault="00777ABF" w:rsidP="00777AB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2.</w:t>
      </w:r>
    </w:p>
    <w:p w:rsidR="00777ABF" w:rsidRDefault="00777ABF" w:rsidP="00777ABF">
      <w:pPr>
        <w:spacing w:after="0" w:line="240" w:lineRule="auto"/>
        <w:jc w:val="center"/>
        <w:rPr>
          <w:rFonts w:ascii="Times New Roman" w:eastAsia="Times New Roman" w:hAnsi="Times New Roman" w:cs="Times New Roman"/>
          <w:b/>
          <w:sz w:val="24"/>
          <w:szCs w:val="24"/>
          <w:lang w:eastAsia="hr-HR"/>
        </w:rPr>
      </w:pPr>
    </w:p>
    <w:p w:rsidR="00777ABF" w:rsidRDefault="00777ABF" w:rsidP="00777ABF">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Ovaj Program izrađuje se i donosi u skladu s predvidivim i raspoloživim sredstvima i izvorima financiranja.</w:t>
      </w:r>
    </w:p>
    <w:p w:rsidR="00777ABF" w:rsidRDefault="00777ABF" w:rsidP="00777ABF">
      <w:pPr>
        <w:spacing w:after="0" w:line="240" w:lineRule="auto"/>
        <w:ind w:firstLine="708"/>
        <w:jc w:val="both"/>
        <w:rPr>
          <w:rFonts w:ascii="Times New Roman" w:eastAsia="Times New Roman" w:hAnsi="Times New Roman" w:cs="Times New Roman"/>
          <w:sz w:val="24"/>
          <w:szCs w:val="24"/>
          <w:lang w:eastAsia="hr-HR"/>
        </w:rPr>
      </w:pPr>
    </w:p>
    <w:p w:rsidR="00777ABF" w:rsidRDefault="00777ABF" w:rsidP="00777ABF">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Članak 3.</w:t>
      </w:r>
    </w:p>
    <w:p w:rsidR="00777ABF" w:rsidRDefault="00777ABF" w:rsidP="00777ABF">
      <w:pPr>
        <w:spacing w:after="0" w:line="240" w:lineRule="auto"/>
        <w:jc w:val="center"/>
        <w:rPr>
          <w:rFonts w:ascii="Times New Roman" w:eastAsia="Times New Roman" w:hAnsi="Times New Roman" w:cs="Times New Roman"/>
          <w:b/>
          <w:sz w:val="24"/>
          <w:szCs w:val="24"/>
          <w:lang w:eastAsia="hr-HR"/>
        </w:rPr>
      </w:pPr>
    </w:p>
    <w:p w:rsidR="00777ABF" w:rsidRDefault="00777ABF" w:rsidP="00777A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ab/>
        <w:t>U 2026. godini održavanje komunalne infrastrukture iz članka 1. ovog Programa u općini Gornji Bogićevci obuhvaća:</w:t>
      </w:r>
    </w:p>
    <w:p w:rsidR="00777ABF" w:rsidRDefault="00777ABF" w:rsidP="00777ABF">
      <w:pPr>
        <w:spacing w:after="0" w:line="240" w:lineRule="auto"/>
        <w:jc w:val="both"/>
        <w:rPr>
          <w:rFonts w:ascii="Times New Roman" w:eastAsia="Times New Roman" w:hAnsi="Times New Roman" w:cs="Times New Roman"/>
          <w:sz w:val="24"/>
          <w:szCs w:val="24"/>
          <w:lang w:eastAsia="hr-HR"/>
        </w:rPr>
      </w:pPr>
    </w:p>
    <w:tbl>
      <w:tblPr>
        <w:tblStyle w:val="Reetkatablice"/>
        <w:tblW w:w="9635" w:type="dxa"/>
        <w:tblLook w:val="04A0"/>
      </w:tblPr>
      <w:tblGrid>
        <w:gridCol w:w="7650"/>
        <w:gridCol w:w="1985"/>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nerazvrstanih cesta</w:t>
            </w:r>
          </w:p>
          <w:p w:rsidR="00777ABF" w:rsidRDefault="00777ABF" w:rsidP="00F57898">
            <w:pPr>
              <w:spacing w:line="276" w:lineRule="auto"/>
              <w:ind w:left="-108"/>
              <w:rPr>
                <w:rFonts w:ascii="Times New Roman" w:hAnsi="Times New Roman"/>
                <w:i/>
                <w:iCs/>
                <w:sz w:val="24"/>
                <w:szCs w:val="24"/>
              </w:rPr>
            </w:pPr>
          </w:p>
        </w:tc>
        <w:tc>
          <w:tcPr>
            <w:tcW w:w="1985"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spacing w:line="276" w:lineRule="auto"/>
              <w:ind w:left="-108"/>
              <w:jc w:val="center"/>
              <w:rPr>
                <w:rFonts w:ascii="Times New Roman" w:hAnsi="Times New Roman"/>
                <w:i/>
                <w:i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after="4" w:line="264" w:lineRule="auto"/>
              <w:ind w:left="-5" w:right="880"/>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 xml:space="preserve">Radovi na održavanju nerazvrstanih cesta obuhvaćaju: </w:t>
            </w:r>
          </w:p>
          <w:p w:rsidR="00777ABF" w:rsidRDefault="00777ABF" w:rsidP="00A66748">
            <w:pPr>
              <w:numPr>
                <w:ilvl w:val="0"/>
                <w:numId w:val="26"/>
              </w:numPr>
              <w:spacing w:after="32" w:line="249" w:lineRule="auto"/>
              <w:ind w:right="1124" w:hanging="139"/>
              <w:jc w:val="both"/>
              <w:rPr>
                <w:rFonts w:ascii="Times New Roman" w:hAnsi="Times New Roman"/>
                <w:color w:val="FF0000"/>
                <w:sz w:val="24"/>
                <w:szCs w:val="24"/>
              </w:rPr>
            </w:pPr>
            <w:r>
              <w:rPr>
                <w:rFonts w:ascii="Times New Roman" w:hAnsi="Times New Roman"/>
                <w:bCs/>
                <w:sz w:val="24"/>
                <w:szCs w:val="24"/>
              </w:rPr>
              <w:t xml:space="preserve">saniranje tucanikom makadamskih nerazvrstanih cesta </w:t>
            </w:r>
          </w:p>
          <w:p w:rsidR="00777ABF" w:rsidRDefault="00777ABF" w:rsidP="00A66748">
            <w:pPr>
              <w:numPr>
                <w:ilvl w:val="0"/>
                <w:numId w:val="26"/>
              </w:numPr>
              <w:spacing w:after="32"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 xml:space="preserve">Košenje i tarupiranje javnih površina uz nerazvrstane ceste </w:t>
            </w:r>
          </w:p>
          <w:p w:rsidR="00777ABF" w:rsidRDefault="00777ABF" w:rsidP="00A66748">
            <w:pPr>
              <w:numPr>
                <w:ilvl w:val="0"/>
                <w:numId w:val="26"/>
              </w:numPr>
              <w:ind w:right="1124" w:hanging="139"/>
              <w:jc w:val="both"/>
              <w:rPr>
                <w:rFonts w:ascii="Times New Roman" w:hAnsi="Times New Roman"/>
                <w:color w:val="000000"/>
                <w:sz w:val="24"/>
                <w:szCs w:val="24"/>
              </w:rPr>
            </w:pPr>
            <w:r>
              <w:rPr>
                <w:rFonts w:ascii="Times New Roman" w:hAnsi="Times New Roman"/>
                <w:color w:val="000000"/>
                <w:sz w:val="24"/>
                <w:szCs w:val="24"/>
              </w:rPr>
              <w:t xml:space="preserve">sanacija manjih oštećenja na kolniku nerazvrstanih cesta </w:t>
            </w:r>
          </w:p>
          <w:p w:rsidR="00777ABF" w:rsidRDefault="00777ABF" w:rsidP="00A66748">
            <w:pPr>
              <w:numPr>
                <w:ilvl w:val="0"/>
                <w:numId w:val="26"/>
              </w:numPr>
              <w:spacing w:after="10"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 xml:space="preserve">hitne intervencije na nerazvrstanim cestama i poljskim putevima </w:t>
            </w:r>
          </w:p>
          <w:p w:rsidR="00777ABF" w:rsidRDefault="00777ABF" w:rsidP="00A66748">
            <w:pPr>
              <w:numPr>
                <w:ilvl w:val="0"/>
                <w:numId w:val="26"/>
              </w:numPr>
              <w:spacing w:after="32"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Ravnanje, košenje, krčenje i održavanje prohodnosti i funkcionalnosti poljskih puteva</w:t>
            </w:r>
          </w:p>
          <w:p w:rsidR="00777ABF" w:rsidRDefault="00777ABF" w:rsidP="00A66748">
            <w:pPr>
              <w:numPr>
                <w:ilvl w:val="0"/>
                <w:numId w:val="26"/>
              </w:numPr>
              <w:spacing w:after="32" w:line="249" w:lineRule="auto"/>
              <w:ind w:right="1124" w:hanging="139"/>
              <w:jc w:val="both"/>
              <w:rPr>
                <w:rFonts w:ascii="Times New Roman" w:hAnsi="Times New Roman"/>
                <w:color w:val="000000"/>
                <w:sz w:val="24"/>
                <w:szCs w:val="24"/>
              </w:rPr>
            </w:pPr>
            <w:r>
              <w:rPr>
                <w:rFonts w:ascii="Times New Roman" w:hAnsi="Times New Roman"/>
                <w:color w:val="000000"/>
                <w:sz w:val="24"/>
                <w:szCs w:val="24"/>
              </w:rPr>
              <w:t>Sanacija i nasipanje poljskih puteva</w:t>
            </w:r>
          </w:p>
          <w:p w:rsidR="00777ABF" w:rsidRDefault="00777ABF" w:rsidP="00F57898">
            <w:pPr>
              <w:jc w:val="both"/>
              <w:rPr>
                <w:rFonts w:ascii="Times New Roman" w:hAnsi="Times New Roman"/>
                <w:b/>
                <w:bCs/>
                <w:sz w:val="24"/>
                <w:szCs w:val="24"/>
              </w:rPr>
            </w:pPr>
          </w:p>
          <w:p w:rsidR="00777ABF" w:rsidRDefault="00777ABF" w:rsidP="00F57898">
            <w:pPr>
              <w:jc w:val="both"/>
              <w:rPr>
                <w:rFonts w:ascii="Times New Roman" w:hAnsi="Times New Roman"/>
                <w:b/>
                <w:bCs/>
                <w:sz w:val="24"/>
                <w:szCs w:val="24"/>
              </w:rPr>
            </w:pPr>
            <w:r>
              <w:rPr>
                <w:rFonts w:ascii="Times New Roman" w:hAnsi="Times New Roman"/>
                <w:b/>
                <w:bCs/>
                <w:sz w:val="24"/>
                <w:szCs w:val="24"/>
              </w:rPr>
              <w:t xml:space="preserve">Nerazvrstane ceste i putevi koji se održavaju: </w:t>
            </w:r>
          </w:p>
          <w:p w:rsidR="00777ABF" w:rsidRDefault="00777ABF" w:rsidP="00F57898">
            <w:pPr>
              <w:jc w:val="both"/>
              <w:rPr>
                <w:rFonts w:ascii="Times New Roman" w:hAnsi="Times New Roman"/>
                <w:sz w:val="24"/>
                <w:szCs w:val="24"/>
              </w:rPr>
            </w:pPr>
            <w:r>
              <w:rPr>
                <w:rFonts w:ascii="Times New Roman" w:hAnsi="Times New Roman"/>
                <w:sz w:val="24"/>
                <w:szCs w:val="24"/>
              </w:rPr>
              <w:t>- Održavanje poljskih puteva (cca 5000 metara).</w:t>
            </w:r>
          </w:p>
          <w:p w:rsidR="00777ABF" w:rsidRDefault="00777ABF" w:rsidP="00F57898">
            <w:pPr>
              <w:jc w:val="both"/>
              <w:rPr>
                <w:rFonts w:ascii="Times New Roman" w:hAnsi="Times New Roman"/>
                <w:sz w:val="24"/>
                <w:szCs w:val="24"/>
              </w:rPr>
            </w:pPr>
            <w:r>
              <w:rPr>
                <w:rFonts w:ascii="Times New Roman" w:hAnsi="Times New Roman"/>
                <w:sz w:val="24"/>
                <w:szCs w:val="24"/>
              </w:rPr>
              <w:t>- ulica Podgaj s odvojcima 760</w:t>
            </w:r>
            <w:r>
              <w:rPr>
                <w:rFonts w:ascii="Times New Roman" w:hAnsi="Times New Roman"/>
                <w:color w:val="FF0000"/>
                <w:sz w:val="24"/>
                <w:szCs w:val="24"/>
              </w:rPr>
              <w:t xml:space="preserve"> </w:t>
            </w:r>
            <w:r>
              <w:rPr>
                <w:rFonts w:ascii="Times New Roman" w:hAnsi="Times New Roman"/>
                <w:sz w:val="24"/>
                <w:szCs w:val="24"/>
              </w:rPr>
              <w:t>metara</w:t>
            </w:r>
          </w:p>
          <w:p w:rsidR="00777ABF" w:rsidRDefault="00777ABF" w:rsidP="00F57898">
            <w:pPr>
              <w:jc w:val="both"/>
              <w:rPr>
                <w:rFonts w:ascii="Times New Roman" w:hAnsi="Times New Roman"/>
                <w:sz w:val="24"/>
                <w:szCs w:val="24"/>
              </w:rPr>
            </w:pPr>
            <w:r>
              <w:rPr>
                <w:rFonts w:ascii="Times New Roman" w:hAnsi="Times New Roman"/>
                <w:sz w:val="24"/>
                <w:szCs w:val="24"/>
              </w:rPr>
              <w:t>- ulica Karlovac 550 metara</w:t>
            </w:r>
          </w:p>
          <w:p w:rsidR="00777ABF" w:rsidRDefault="00777ABF" w:rsidP="00F57898">
            <w:pPr>
              <w:jc w:val="both"/>
              <w:rPr>
                <w:rFonts w:ascii="Times New Roman" w:hAnsi="Times New Roman"/>
                <w:sz w:val="24"/>
                <w:szCs w:val="24"/>
              </w:rPr>
            </w:pPr>
            <w:r>
              <w:rPr>
                <w:rFonts w:ascii="Times New Roman" w:hAnsi="Times New Roman"/>
                <w:sz w:val="24"/>
                <w:szCs w:val="24"/>
              </w:rPr>
              <w:t>- ulica Stari kraj 1.000 metara</w:t>
            </w:r>
          </w:p>
          <w:p w:rsidR="00777ABF" w:rsidRDefault="00777ABF" w:rsidP="00F57898">
            <w:pPr>
              <w:jc w:val="both"/>
              <w:rPr>
                <w:rFonts w:ascii="Times New Roman" w:hAnsi="Times New Roman"/>
                <w:sz w:val="24"/>
                <w:szCs w:val="24"/>
              </w:rPr>
            </w:pPr>
            <w:r>
              <w:rPr>
                <w:rFonts w:ascii="Times New Roman" w:hAnsi="Times New Roman"/>
                <w:sz w:val="24"/>
                <w:szCs w:val="24"/>
              </w:rPr>
              <w:t>- ulica Doljnjak 400 metara</w:t>
            </w:r>
          </w:p>
          <w:p w:rsidR="00777ABF" w:rsidRDefault="00777ABF" w:rsidP="00F57898">
            <w:pPr>
              <w:jc w:val="both"/>
              <w:rPr>
                <w:rFonts w:ascii="Times New Roman" w:hAnsi="Times New Roman"/>
                <w:sz w:val="24"/>
                <w:szCs w:val="24"/>
              </w:rPr>
            </w:pPr>
            <w:r>
              <w:rPr>
                <w:rFonts w:ascii="Times New Roman" w:hAnsi="Times New Roman"/>
                <w:sz w:val="24"/>
                <w:szCs w:val="24"/>
              </w:rPr>
              <w:t>- ulica Brezine 2.200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Ratkovac prema Kuljancima 600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Ratkovac, odvojak kod skretanja Širinci 100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Smrtić, odvojak kod društvenog doma 400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Smrtić odvojak s južne strane groblja 200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Smrtić prema groblju, sjeverna strana 250 metara</w:t>
            </w:r>
          </w:p>
          <w:p w:rsidR="00777ABF" w:rsidRDefault="00777ABF" w:rsidP="00F57898">
            <w:pPr>
              <w:jc w:val="both"/>
              <w:rPr>
                <w:rFonts w:ascii="Times New Roman" w:hAnsi="Times New Roman"/>
                <w:sz w:val="24"/>
                <w:szCs w:val="24"/>
              </w:rPr>
            </w:pPr>
            <w:r>
              <w:rPr>
                <w:rFonts w:ascii="Times New Roman" w:hAnsi="Times New Roman"/>
                <w:sz w:val="24"/>
                <w:szCs w:val="24"/>
              </w:rPr>
              <w:t>- cesta Dubovac prema izvoru 1000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Dubovac prema PPK 300 metara</w:t>
            </w:r>
          </w:p>
          <w:p w:rsidR="00777ABF" w:rsidRDefault="00777ABF" w:rsidP="00F57898">
            <w:pPr>
              <w:jc w:val="both"/>
              <w:rPr>
                <w:rFonts w:ascii="Times New Roman" w:hAnsi="Times New Roman"/>
                <w:sz w:val="24"/>
                <w:szCs w:val="24"/>
              </w:rPr>
            </w:pPr>
            <w:r>
              <w:rPr>
                <w:rFonts w:ascii="Times New Roman" w:hAnsi="Times New Roman"/>
                <w:sz w:val="24"/>
                <w:szCs w:val="24"/>
              </w:rPr>
              <w:t>- cesta Dubovac uz željezničku prugu prema Mijatovićima 150 metara</w:t>
            </w:r>
          </w:p>
          <w:p w:rsidR="00777ABF" w:rsidRDefault="00777ABF" w:rsidP="00F57898">
            <w:pPr>
              <w:jc w:val="both"/>
              <w:rPr>
                <w:rFonts w:ascii="Times New Roman" w:hAnsi="Times New Roman"/>
                <w:sz w:val="24"/>
                <w:szCs w:val="24"/>
              </w:rPr>
            </w:pPr>
            <w:r>
              <w:rPr>
                <w:rFonts w:ascii="Times New Roman" w:hAnsi="Times New Roman"/>
                <w:sz w:val="24"/>
                <w:szCs w:val="24"/>
              </w:rPr>
              <w:t>- parkirališta ispred zgrade općinske uprava, u Karlovcu, u Starom kraju, kod groblja (mrtvačnica) Gornji Bogićevci, te centar ispred crkve 1.000 m2</w:t>
            </w:r>
          </w:p>
          <w:p w:rsidR="00777ABF" w:rsidRDefault="00777ABF" w:rsidP="00F57898">
            <w:pPr>
              <w:jc w:val="both"/>
              <w:rPr>
                <w:rFonts w:ascii="Times New Roman" w:hAnsi="Times New Roman"/>
                <w:sz w:val="24"/>
                <w:szCs w:val="24"/>
              </w:rPr>
            </w:pPr>
            <w:r>
              <w:rPr>
                <w:rFonts w:ascii="Times New Roman" w:hAnsi="Times New Roman"/>
                <w:sz w:val="24"/>
                <w:szCs w:val="24"/>
              </w:rPr>
              <w:t>- prilaz groblju u Trnavi 300 m2</w:t>
            </w:r>
          </w:p>
          <w:p w:rsidR="00777ABF" w:rsidRDefault="00777ABF" w:rsidP="00F57898">
            <w:pPr>
              <w:jc w:val="both"/>
              <w:rPr>
                <w:rFonts w:ascii="Times New Roman" w:hAnsi="Times New Roman"/>
                <w:sz w:val="24"/>
                <w:szCs w:val="24"/>
              </w:rPr>
            </w:pPr>
            <w:r>
              <w:rPr>
                <w:rFonts w:ascii="Times New Roman" w:hAnsi="Times New Roman"/>
                <w:sz w:val="24"/>
                <w:szCs w:val="24"/>
              </w:rPr>
              <w:t>- cesta Kosovac prema groblju 400 metara</w:t>
            </w:r>
          </w:p>
          <w:p w:rsidR="00777ABF" w:rsidRDefault="00777ABF" w:rsidP="00F57898">
            <w:pPr>
              <w:jc w:val="both"/>
              <w:rPr>
                <w:rFonts w:ascii="Times New Roman" w:hAnsi="Times New Roman"/>
                <w:sz w:val="24"/>
                <w:szCs w:val="24"/>
              </w:rPr>
            </w:pPr>
            <w:r>
              <w:rPr>
                <w:rFonts w:ascii="Times New Roman" w:hAnsi="Times New Roman"/>
                <w:sz w:val="24"/>
                <w:szCs w:val="24"/>
              </w:rPr>
              <w:t>Održavanje cesta u zimskim uvjetima odvijat će se prema Planu zimske službe.</w:t>
            </w:r>
          </w:p>
          <w:p w:rsidR="00777ABF" w:rsidRDefault="00777ABF" w:rsidP="00F57898">
            <w:pPr>
              <w:jc w:val="both"/>
              <w:rPr>
                <w:rFonts w:ascii="Times New Roman" w:hAnsi="Times New Roman"/>
                <w:sz w:val="24"/>
                <w:szCs w:val="24"/>
              </w:rPr>
            </w:pPr>
          </w:p>
          <w:p w:rsidR="00777ABF" w:rsidRDefault="00777ABF" w:rsidP="00F57898">
            <w:pPr>
              <w:jc w:val="both"/>
              <w:rPr>
                <w:rFonts w:ascii="Times New Roman" w:hAnsi="Times New Roman"/>
                <w:i/>
                <w:iCs/>
                <w:sz w:val="24"/>
                <w:szCs w:val="24"/>
              </w:rPr>
            </w:pPr>
          </w:p>
        </w:tc>
        <w:tc>
          <w:tcPr>
            <w:tcW w:w="1985"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p w:rsidR="00777ABF" w:rsidRDefault="00777ABF" w:rsidP="00F57898">
            <w:pPr>
              <w:jc w:val="right"/>
              <w:rPr>
                <w:rFonts w:ascii="Times New Roman" w:hAnsi="Times New Roman"/>
                <w:b/>
                <w:bCs/>
                <w:sz w:val="24"/>
                <w:szCs w:val="24"/>
              </w:rPr>
            </w:pPr>
            <w:r>
              <w:rPr>
                <w:rFonts w:ascii="Times New Roman" w:hAnsi="Times New Roman"/>
                <w:b/>
                <w:bCs/>
                <w:sz w:val="24"/>
                <w:szCs w:val="24"/>
              </w:rPr>
              <w:t>64.400,00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777ABF" w:rsidRDefault="00777ABF" w:rsidP="00F57898">
            <w:pPr>
              <w:jc w:val="both"/>
              <w:rPr>
                <w:rFonts w:ascii="Times New Roman" w:hAnsi="Times New Roman"/>
                <w:b/>
                <w:bCs/>
                <w:sz w:val="24"/>
                <w:szCs w:val="24"/>
              </w:rPr>
            </w:pPr>
            <w:r>
              <w:rPr>
                <w:rFonts w:ascii="Times New Roman" w:hAnsi="Times New Roman"/>
                <w:b/>
                <w:bCs/>
                <w:sz w:val="24"/>
                <w:szCs w:val="24"/>
              </w:rPr>
              <w:t>UKUPNO:</w:t>
            </w:r>
          </w:p>
        </w:tc>
        <w:tc>
          <w:tcPr>
            <w:tcW w:w="198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rsidR="00777ABF" w:rsidRDefault="00777ABF" w:rsidP="00F57898">
            <w:pPr>
              <w:jc w:val="right"/>
              <w:rPr>
                <w:rFonts w:ascii="Times New Roman" w:hAnsi="Times New Roman"/>
                <w:b/>
                <w:bCs/>
                <w:sz w:val="24"/>
                <w:szCs w:val="24"/>
              </w:rPr>
            </w:pPr>
            <w:r>
              <w:rPr>
                <w:rFonts w:ascii="Times New Roman" w:hAnsi="Times New Roman"/>
                <w:b/>
                <w:bCs/>
                <w:sz w:val="24"/>
                <w:szCs w:val="24"/>
              </w:rPr>
              <w:t>64.400,00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jc w:val="both"/>
              <w:rPr>
                <w:rFonts w:ascii="Times New Roman" w:hAnsi="Times New Roman"/>
                <w:b/>
                <w:bCs/>
                <w:sz w:val="24"/>
                <w:szCs w:val="24"/>
              </w:rPr>
            </w:pPr>
            <w:r>
              <w:rPr>
                <w:rFonts w:ascii="Times New Roman" w:hAnsi="Times New Roman"/>
                <w:b/>
                <w:bCs/>
                <w:sz w:val="24"/>
                <w:szCs w:val="24"/>
              </w:rPr>
              <w:t>Izvori financiranja</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t>11 opći prihodi i primici: 13.400,00 EUR</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lastRenderedPageBreak/>
              <w:t>41 prihodi za posebne namjene: 40.000,00 EUR</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t>43 prihodi od komunalne naknade: 1.000,00 EUR</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t>51 pomoći iz državnog proračuna: 10.000,00 EUR</w:t>
            </w:r>
          </w:p>
        </w:tc>
        <w:tc>
          <w:tcPr>
            <w:tcW w:w="1985" w:type="dxa"/>
            <w:tcBorders>
              <w:top w:val="single" w:sz="4" w:space="0" w:color="auto"/>
              <w:left w:val="single" w:sz="4" w:space="0" w:color="auto"/>
              <w:bottom w:val="single" w:sz="4" w:space="0" w:color="auto"/>
              <w:right w:val="single" w:sz="4" w:space="0" w:color="auto"/>
            </w:tcBorders>
          </w:tcPr>
          <w:p w:rsidR="00777ABF" w:rsidRDefault="00777ABF" w:rsidP="00F57898">
            <w:pPr>
              <w:jc w:val="both"/>
              <w:rPr>
                <w:rFonts w:ascii="Times New Roman" w:hAnsi="Times New Roman"/>
                <w:i/>
                <w:iCs/>
                <w:sz w:val="24"/>
                <w:szCs w:val="24"/>
              </w:rPr>
            </w:pPr>
          </w:p>
          <w:p w:rsidR="00777ABF" w:rsidRDefault="00777ABF" w:rsidP="00F57898">
            <w:pPr>
              <w:jc w:val="right"/>
              <w:rPr>
                <w:rFonts w:ascii="Times New Roman" w:hAnsi="Times New Roman"/>
                <w:sz w:val="24"/>
                <w:szCs w:val="24"/>
              </w:rPr>
            </w:pPr>
          </w:p>
        </w:tc>
      </w:tr>
    </w:tbl>
    <w:p w:rsidR="00777ABF" w:rsidRDefault="00777ABF" w:rsidP="00777ABF">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shd w:val="clear" w:color="auto" w:fill="D9E2F3" w:themeFill="accent1" w:themeFillTint="33"/>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javnih površina na kojima nije dopušten promet vozilima</w:t>
            </w: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b/>
                <w:b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ind w:left="-5" w:right="1124"/>
              <w:rPr>
                <w:rFonts w:ascii="Times New Roman" w:hAnsi="Times New Roman"/>
                <w:sz w:val="24"/>
                <w:szCs w:val="24"/>
              </w:rPr>
            </w:pPr>
            <w:r>
              <w:rPr>
                <w:rFonts w:ascii="Times New Roman" w:hAnsi="Times New Roman"/>
                <w:sz w:val="24"/>
                <w:szCs w:val="24"/>
              </w:rPr>
              <w:t xml:space="preserve">Pod održavanjem javnih površina podrazumijeva se: </w:t>
            </w:r>
          </w:p>
          <w:p w:rsidR="00777ABF" w:rsidRDefault="00777ABF" w:rsidP="00F57898">
            <w:pPr>
              <w:ind w:left="-5" w:right="1124"/>
              <w:rPr>
                <w:rFonts w:ascii="Times New Roman" w:hAnsi="Times New Roman"/>
                <w:bCs/>
                <w:color w:val="000000"/>
                <w:sz w:val="24"/>
                <w:szCs w:val="24"/>
              </w:rPr>
            </w:pPr>
            <w:r>
              <w:rPr>
                <w:rFonts w:ascii="Times New Roman" w:hAnsi="Times New Roman"/>
                <w:color w:val="000000"/>
                <w:sz w:val="24"/>
                <w:szCs w:val="24"/>
              </w:rPr>
              <w:t>-</w:t>
            </w:r>
            <w:r>
              <w:rPr>
                <w:rFonts w:ascii="Times New Roman" w:hAnsi="Times New Roman"/>
                <w:bCs/>
                <w:color w:val="000000"/>
                <w:sz w:val="24"/>
                <w:szCs w:val="24"/>
              </w:rPr>
              <w:t xml:space="preserve"> održavanje makadamskih i pješačkih staza                                                            </w:t>
            </w:r>
          </w:p>
          <w:p w:rsidR="00777ABF" w:rsidRDefault="00777ABF" w:rsidP="00F57898">
            <w:pPr>
              <w:rPr>
                <w:rFonts w:ascii="Times New Roman" w:hAnsi="Times New Roman"/>
                <w:bCs/>
                <w:color w:val="000000"/>
                <w:sz w:val="24"/>
                <w:szCs w:val="24"/>
              </w:rPr>
            </w:pPr>
            <w:r>
              <w:rPr>
                <w:rFonts w:ascii="Times New Roman" w:hAnsi="Times New Roman"/>
                <w:bCs/>
                <w:color w:val="000000"/>
                <w:sz w:val="24"/>
                <w:szCs w:val="24"/>
              </w:rPr>
              <w:t xml:space="preserve">- sadnja cvijeća i ukrasnog bilja, okopavanje od korova i nasipanje zemljom te prihrana tijekom godine na parkovnim površinama i u centru općine Gornji Bogićevci                                                                      </w:t>
            </w:r>
          </w:p>
          <w:p w:rsidR="00777ABF" w:rsidRDefault="00777ABF" w:rsidP="00F57898">
            <w:pPr>
              <w:pStyle w:val="Tijeloteksta"/>
              <w:rPr>
                <w:bCs/>
                <w:color w:val="000000"/>
              </w:rPr>
            </w:pPr>
            <w:r>
              <w:rPr>
                <w:bCs/>
                <w:color w:val="000000"/>
              </w:rPr>
              <w:t xml:space="preserve">- održavanje komunalnih objekata i uređaja u općoj upotrebi (autobusna stajališta, fontana, kino dvorana, čišćenje zgrade Općine)                        </w:t>
            </w:r>
          </w:p>
          <w:p w:rsidR="00777ABF" w:rsidRDefault="00777ABF" w:rsidP="00F57898">
            <w:pPr>
              <w:spacing w:after="89"/>
              <w:rPr>
                <w:rFonts w:ascii="Times New Roman" w:eastAsia="Calibri" w:hAnsi="Times New Roman"/>
                <w:color w:val="000000"/>
                <w:sz w:val="24"/>
                <w:szCs w:val="24"/>
              </w:rPr>
            </w:pPr>
            <w:r>
              <w:rPr>
                <w:rFonts w:ascii="Times New Roman" w:hAnsi="Times New Roman"/>
                <w:bCs/>
                <w:color w:val="000000"/>
                <w:sz w:val="24"/>
                <w:szCs w:val="24"/>
              </w:rPr>
              <w:t xml:space="preserve">- uklanjanje protupravno  postavljenih objekata                                                                                                                                            </w:t>
            </w:r>
            <w:r>
              <w:rPr>
                <w:rFonts w:ascii="Times New Roman" w:eastAsia="Calibri" w:hAnsi="Times New Roman"/>
                <w:color w:val="000000"/>
                <w:sz w:val="24"/>
                <w:szCs w:val="24"/>
              </w:rPr>
              <w:t xml:space="preserve"> </w:t>
            </w:r>
          </w:p>
          <w:p w:rsidR="00777ABF" w:rsidRDefault="00777ABF" w:rsidP="00F57898">
            <w:pPr>
              <w:jc w:val="both"/>
              <w:rPr>
                <w:rFonts w:ascii="Times New Roman" w:hAnsi="Times New Roman"/>
                <w:sz w:val="24"/>
                <w:szCs w:val="24"/>
              </w:rPr>
            </w:pPr>
            <w:r>
              <w:rPr>
                <w:rFonts w:ascii="Times New Roman" w:hAnsi="Times New Roman"/>
                <w:sz w:val="24"/>
                <w:szCs w:val="24"/>
              </w:rPr>
              <w:t>Radovi će se izvoditi prema potrebama i tijekom cijele godine.</w:t>
            </w:r>
          </w:p>
          <w:p w:rsidR="00777ABF" w:rsidRDefault="00777ABF" w:rsidP="00F57898">
            <w:pPr>
              <w:jc w:val="both"/>
              <w:rPr>
                <w:rFonts w:ascii="Times New Roman" w:hAnsi="Times New Roman"/>
                <w:sz w:val="24"/>
                <w:szCs w:val="24"/>
              </w:rPr>
            </w:pPr>
          </w:p>
          <w:p w:rsidR="00777ABF" w:rsidRDefault="00777ABF" w:rsidP="00F57898">
            <w:pPr>
              <w:jc w:val="both"/>
              <w:rPr>
                <w:rFonts w:ascii="Times New Roman" w:hAnsi="Times New Roman"/>
                <w:sz w:val="24"/>
                <w:szCs w:val="24"/>
              </w:rPr>
            </w:pPr>
            <w:r>
              <w:rPr>
                <w:rFonts w:ascii="Times New Roman" w:hAnsi="Times New Roman"/>
                <w:sz w:val="24"/>
                <w:szCs w:val="24"/>
              </w:rPr>
              <w:t xml:space="preserve">- parkovi cca 15.000 m² </w:t>
            </w:r>
          </w:p>
          <w:p w:rsidR="00777ABF" w:rsidRDefault="00777ABF" w:rsidP="00F57898">
            <w:pPr>
              <w:jc w:val="both"/>
              <w:rPr>
                <w:rFonts w:ascii="Times New Roman" w:hAnsi="Times New Roman"/>
                <w:sz w:val="24"/>
                <w:szCs w:val="24"/>
              </w:rPr>
            </w:pPr>
            <w:r>
              <w:rPr>
                <w:rFonts w:ascii="Times New Roman" w:hAnsi="Times New Roman"/>
                <w:sz w:val="24"/>
                <w:szCs w:val="24"/>
              </w:rPr>
              <w:t>- groblja cca 50.000 m2</w:t>
            </w:r>
          </w:p>
          <w:p w:rsidR="00777ABF" w:rsidRDefault="00777ABF" w:rsidP="00F57898">
            <w:pPr>
              <w:jc w:val="both"/>
              <w:rPr>
                <w:rFonts w:ascii="Times New Roman" w:hAnsi="Times New Roman"/>
                <w:sz w:val="24"/>
                <w:szCs w:val="24"/>
              </w:rPr>
            </w:pPr>
            <w:r>
              <w:rPr>
                <w:rFonts w:ascii="Times New Roman" w:hAnsi="Times New Roman"/>
                <w:sz w:val="24"/>
                <w:szCs w:val="24"/>
              </w:rPr>
              <w:t>- nogostup Gornji Bogićevci 3000 m</w:t>
            </w:r>
          </w:p>
          <w:p w:rsidR="00777ABF" w:rsidRDefault="00777ABF" w:rsidP="00F57898">
            <w:pPr>
              <w:jc w:val="both"/>
              <w:rPr>
                <w:rFonts w:ascii="Times New Roman" w:hAnsi="Times New Roman"/>
                <w:sz w:val="24"/>
                <w:szCs w:val="24"/>
              </w:rPr>
            </w:pPr>
            <w:r>
              <w:rPr>
                <w:rFonts w:ascii="Times New Roman" w:hAnsi="Times New Roman"/>
                <w:sz w:val="24"/>
                <w:szCs w:val="24"/>
              </w:rPr>
              <w:t>- nogostup Smrtić 1800 metara</w:t>
            </w:r>
          </w:p>
          <w:p w:rsidR="00777ABF" w:rsidRDefault="00777ABF" w:rsidP="00F57898">
            <w:pPr>
              <w:jc w:val="both"/>
              <w:rPr>
                <w:rFonts w:ascii="Times New Roman" w:hAnsi="Times New Roman"/>
                <w:sz w:val="24"/>
                <w:szCs w:val="24"/>
              </w:rPr>
            </w:pPr>
            <w:r>
              <w:rPr>
                <w:rFonts w:ascii="Times New Roman" w:hAnsi="Times New Roman"/>
                <w:sz w:val="24"/>
                <w:szCs w:val="24"/>
              </w:rPr>
              <w:t xml:space="preserve">- nogostup Kosovac - glavna 750 metara </w:t>
            </w:r>
          </w:p>
          <w:p w:rsidR="00777ABF" w:rsidRDefault="00777ABF" w:rsidP="00F57898">
            <w:pPr>
              <w:jc w:val="both"/>
              <w:rPr>
                <w:rFonts w:ascii="Times New Roman" w:hAnsi="Times New Roman"/>
                <w:sz w:val="24"/>
                <w:szCs w:val="24"/>
              </w:rPr>
            </w:pPr>
            <w:r>
              <w:rPr>
                <w:rFonts w:ascii="Times New Roman" w:hAnsi="Times New Roman"/>
                <w:sz w:val="24"/>
                <w:szCs w:val="24"/>
              </w:rPr>
              <w:t>- nogostupa kroz naselje Kosovac-ulica Vukovarska 1.147 m</w:t>
            </w:r>
          </w:p>
          <w:p w:rsidR="00777ABF" w:rsidRDefault="00777ABF" w:rsidP="00F57898">
            <w:pPr>
              <w:jc w:val="both"/>
              <w:rPr>
                <w:rFonts w:ascii="Times New Roman" w:hAnsi="Times New Roman"/>
                <w:sz w:val="24"/>
                <w:szCs w:val="24"/>
              </w:rPr>
            </w:pPr>
            <w:r>
              <w:rPr>
                <w:rFonts w:ascii="Times New Roman" w:hAnsi="Times New Roman"/>
                <w:sz w:val="24"/>
                <w:szCs w:val="24"/>
              </w:rPr>
              <w:t>- nogostupa kroz naselje Dubovac 521 m</w:t>
            </w:r>
          </w:p>
          <w:p w:rsidR="00777ABF" w:rsidRDefault="00777ABF" w:rsidP="00F57898">
            <w:pPr>
              <w:jc w:val="both"/>
              <w:rPr>
                <w:rFonts w:ascii="Times New Roman" w:hAnsi="Times New Roman"/>
                <w:sz w:val="24"/>
                <w:szCs w:val="24"/>
              </w:rPr>
            </w:pPr>
            <w:r>
              <w:rPr>
                <w:rFonts w:ascii="Times New Roman" w:hAnsi="Times New Roman"/>
                <w:sz w:val="24"/>
                <w:szCs w:val="24"/>
              </w:rPr>
              <w:t>- oko dječjih zabavnih parkova u naseljima Gornji Bogićevci, Dubovac, Smrtić - Ratkovac i Trnava</w:t>
            </w: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16.000,00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16.000,00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rPr>
                <w:rFonts w:ascii="Times New Roman" w:hAnsi="Times New Roman"/>
                <w:b/>
                <w:sz w:val="24"/>
                <w:szCs w:val="24"/>
              </w:rPr>
            </w:pPr>
            <w:r>
              <w:rPr>
                <w:rFonts w:ascii="Times New Roman" w:hAnsi="Times New Roman"/>
                <w:b/>
                <w:sz w:val="24"/>
                <w:szCs w:val="24"/>
              </w:rPr>
              <w:t>Izvori financiranja:</w:t>
            </w:r>
          </w:p>
          <w:p w:rsidR="00777ABF" w:rsidRDefault="00777ABF" w:rsidP="00A66748">
            <w:pPr>
              <w:pStyle w:val="Odlomakpopisa"/>
              <w:numPr>
                <w:ilvl w:val="0"/>
                <w:numId w:val="27"/>
              </w:numPr>
              <w:rPr>
                <w:rFonts w:ascii="Times New Roman" w:hAnsi="Times New Roman"/>
                <w:sz w:val="24"/>
                <w:szCs w:val="24"/>
              </w:rPr>
            </w:pPr>
            <w:r>
              <w:rPr>
                <w:rFonts w:ascii="Times New Roman" w:hAnsi="Times New Roman"/>
                <w:sz w:val="24"/>
                <w:szCs w:val="24"/>
              </w:rPr>
              <w:t>opći prihodi i primici: 16.000,00 EUR</w:t>
            </w:r>
          </w:p>
          <w:p w:rsidR="00777ABF" w:rsidRDefault="00777ABF" w:rsidP="00F57898">
            <w:pPr>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tc>
      </w:tr>
    </w:tbl>
    <w:p w:rsidR="00777ABF" w:rsidRDefault="00777ABF" w:rsidP="00777ABF">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građevina javne odvodnje oborinskih voda</w:t>
            </w:r>
          </w:p>
          <w:p w:rsidR="00777ABF" w:rsidRDefault="00777ABF" w:rsidP="00F57898">
            <w:pPr>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jc w:val="both"/>
              <w:rPr>
                <w:rFonts w:ascii="Times New Roman" w:hAnsi="Times New Roman"/>
                <w:bCs/>
                <w:sz w:val="24"/>
                <w:szCs w:val="24"/>
              </w:rPr>
            </w:pPr>
            <w:r>
              <w:rPr>
                <w:rFonts w:ascii="Times New Roman" w:hAnsi="Times New Roman"/>
                <w:bCs/>
                <w:sz w:val="24"/>
                <w:szCs w:val="24"/>
              </w:rPr>
              <w:t xml:space="preserve">Pod održavanjem građevina javne odvodnje podrazumijevaju se: </w:t>
            </w:r>
          </w:p>
          <w:p w:rsidR="00777ABF" w:rsidRDefault="00777ABF" w:rsidP="00F57898">
            <w:pPr>
              <w:jc w:val="both"/>
              <w:rPr>
                <w:rFonts w:ascii="Times New Roman" w:hAnsi="Times New Roman"/>
                <w:bCs/>
                <w:sz w:val="24"/>
                <w:szCs w:val="24"/>
              </w:rPr>
            </w:pPr>
            <w:r>
              <w:rPr>
                <w:rFonts w:ascii="Times New Roman" w:hAnsi="Times New Roman"/>
                <w:bCs/>
                <w:sz w:val="24"/>
                <w:szCs w:val="24"/>
              </w:rPr>
              <w:t xml:space="preserve">- Održavanje, čišćenje slivnika, izmuljenje jaraka i kanalizacija, održavanje čistoće i održavanje  svih ostalih objekata  za odvodnju atmosferskih voda i odvodnih otvora na području Općine Gornji Bogićevci       </w:t>
            </w:r>
          </w:p>
          <w:p w:rsidR="00777ABF" w:rsidRDefault="00777ABF" w:rsidP="00F57898">
            <w:pPr>
              <w:jc w:val="both"/>
              <w:rPr>
                <w:rFonts w:ascii="Times New Roman" w:hAnsi="Times New Roman"/>
                <w:bCs/>
                <w:sz w:val="24"/>
                <w:szCs w:val="24"/>
              </w:rPr>
            </w:pPr>
            <w:r>
              <w:rPr>
                <w:rFonts w:ascii="Times New Roman" w:hAnsi="Times New Roman"/>
                <w:bCs/>
                <w:sz w:val="24"/>
                <w:szCs w:val="24"/>
              </w:rPr>
              <w:t xml:space="preserve">- Čišćenje kanala                                                     </w:t>
            </w:r>
          </w:p>
          <w:p w:rsidR="00777ABF" w:rsidRDefault="00777ABF" w:rsidP="00F57898">
            <w:pPr>
              <w:ind w:left="360"/>
              <w:jc w:val="both"/>
              <w:rPr>
                <w:rFonts w:ascii="Times New Roman" w:hAnsi="Times New Roman"/>
                <w:bCs/>
                <w:sz w:val="24"/>
                <w:szCs w:val="24"/>
              </w:rPr>
            </w:pPr>
          </w:p>
          <w:p w:rsidR="00777ABF" w:rsidRDefault="00777ABF" w:rsidP="00F57898">
            <w:pPr>
              <w:jc w:val="both"/>
              <w:rPr>
                <w:rFonts w:ascii="Times New Roman" w:hAnsi="Times New Roman"/>
                <w:b/>
                <w:sz w:val="24"/>
                <w:szCs w:val="24"/>
              </w:rPr>
            </w:pPr>
            <w:r>
              <w:rPr>
                <w:rFonts w:ascii="Times New Roman" w:hAnsi="Times New Roman"/>
                <w:bCs/>
                <w:sz w:val="24"/>
                <w:szCs w:val="24"/>
              </w:rPr>
              <w:t>Radovi će se izvoditi prema potrebama i tijekom cijele godine</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10.000,00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contextualSpacing/>
              <w:rPr>
                <w:rFonts w:ascii="Times New Roman" w:hAnsi="Times New Roman"/>
                <w:b/>
                <w:bCs/>
                <w:sz w:val="24"/>
                <w:szCs w:val="24"/>
                <w:highlight w:val="yellow"/>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10.000,00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line="276" w:lineRule="auto"/>
              <w:rPr>
                <w:rFonts w:ascii="Times New Roman" w:hAnsi="Times New Roman"/>
                <w:b/>
                <w:sz w:val="24"/>
                <w:szCs w:val="24"/>
              </w:rPr>
            </w:pPr>
            <w:r>
              <w:rPr>
                <w:rFonts w:ascii="Times New Roman" w:hAnsi="Times New Roman"/>
                <w:b/>
                <w:sz w:val="24"/>
                <w:szCs w:val="24"/>
              </w:rPr>
              <w:t>Izvori financiranja:</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t>11 opći prihodi i primici: 10.000,00 EUR</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center"/>
              <w:rPr>
                <w:rFonts w:ascii="Times New Roman" w:hAnsi="Times New Roman"/>
                <w:sz w:val="24"/>
                <w:szCs w:val="24"/>
              </w:rPr>
            </w:pPr>
          </w:p>
        </w:tc>
      </w:tr>
    </w:tbl>
    <w:p w:rsidR="00777ABF" w:rsidRDefault="00777ABF" w:rsidP="00777ABF">
      <w:pPr>
        <w:spacing w:after="0" w:line="240" w:lineRule="auto"/>
        <w:ind w:left="360"/>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javnih zelenih površina</w:t>
            </w: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b/>
                <w:b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ind w:left="-5" w:right="1124"/>
              <w:rPr>
                <w:rFonts w:ascii="Times New Roman" w:hAnsi="Times New Roman"/>
                <w:bCs/>
                <w:sz w:val="24"/>
                <w:szCs w:val="24"/>
              </w:rPr>
            </w:pPr>
            <w:r>
              <w:rPr>
                <w:rFonts w:ascii="Times New Roman" w:hAnsi="Times New Roman"/>
                <w:bCs/>
                <w:sz w:val="24"/>
                <w:szCs w:val="24"/>
              </w:rPr>
              <w:lastRenderedPageBreak/>
              <w:t xml:space="preserve">Pod održavanjem javnih zelenih površina podrazumijeva se:  </w:t>
            </w:r>
          </w:p>
          <w:p w:rsidR="00777ABF" w:rsidRDefault="00777ABF" w:rsidP="00F57898">
            <w:pPr>
              <w:ind w:left="-5" w:right="1124"/>
              <w:rPr>
                <w:rFonts w:ascii="Times New Roman" w:hAnsi="Times New Roman"/>
                <w:bCs/>
                <w:sz w:val="24"/>
                <w:szCs w:val="24"/>
              </w:rPr>
            </w:pPr>
            <w:r>
              <w:rPr>
                <w:rFonts w:ascii="Times New Roman" w:hAnsi="Times New Roman"/>
                <w:bCs/>
                <w:sz w:val="24"/>
                <w:szCs w:val="24"/>
              </w:rPr>
              <w:t xml:space="preserve">- redovno košenje i malčiranje javnih zelenih površina, parkova, dječjih igrališta   </w:t>
            </w:r>
          </w:p>
          <w:p w:rsidR="00777ABF" w:rsidRDefault="00777ABF" w:rsidP="00F57898">
            <w:pPr>
              <w:ind w:left="-5" w:right="1124"/>
              <w:rPr>
                <w:rFonts w:ascii="Times New Roman" w:hAnsi="Times New Roman"/>
                <w:bCs/>
                <w:sz w:val="24"/>
                <w:szCs w:val="24"/>
              </w:rPr>
            </w:pPr>
            <w:r>
              <w:rPr>
                <w:rFonts w:ascii="Times New Roman" w:hAnsi="Times New Roman"/>
                <w:bCs/>
                <w:sz w:val="24"/>
                <w:szCs w:val="24"/>
              </w:rPr>
              <w:t xml:space="preserve">- njegovanje, zaštita postojećih stabala, ukrasnog grmlja, uklanjanje bolesnih grana, sječa suhih stabala, sakupljanje suhog lišća i granja u parkovima i ostalim javnim površinama </w:t>
            </w:r>
          </w:p>
          <w:p w:rsidR="00777ABF" w:rsidRDefault="00777ABF" w:rsidP="00F57898">
            <w:pPr>
              <w:pStyle w:val="Tijeloteksta"/>
              <w:rPr>
                <w:bCs/>
                <w:color w:val="000000"/>
              </w:rPr>
            </w:pPr>
            <w:r>
              <w:rPr>
                <w:bCs/>
                <w:color w:val="000000"/>
              </w:rPr>
              <w:t xml:space="preserve">- razni drugi radovi na javnim površinama (odvoz glomaznog otpada i sl.)        </w:t>
            </w:r>
          </w:p>
          <w:p w:rsidR="00777ABF" w:rsidRDefault="00777ABF" w:rsidP="00F57898">
            <w:pPr>
              <w:ind w:left="-5" w:right="1124"/>
              <w:rPr>
                <w:rFonts w:ascii="Times New Roman" w:hAnsi="Times New Roman"/>
                <w:bCs/>
                <w:sz w:val="24"/>
                <w:szCs w:val="24"/>
              </w:rPr>
            </w:pPr>
          </w:p>
          <w:p w:rsidR="00777ABF" w:rsidRDefault="00777ABF" w:rsidP="00F57898">
            <w:pPr>
              <w:spacing w:line="276" w:lineRule="auto"/>
              <w:jc w:val="both"/>
              <w:rPr>
                <w:rFonts w:ascii="Times New Roman" w:hAnsi="Times New Roman"/>
                <w:b/>
                <w:bCs/>
                <w:sz w:val="24"/>
                <w:szCs w:val="24"/>
              </w:rPr>
            </w:pPr>
            <w:r>
              <w:rPr>
                <w:rFonts w:ascii="Times New Roman" w:hAnsi="Times New Roman"/>
                <w:bCs/>
                <w:sz w:val="24"/>
                <w:szCs w:val="24"/>
              </w:rPr>
              <w:t>Radovi se izvode tijekom cijele godine.</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center"/>
              <w:rPr>
                <w:rFonts w:ascii="Times New Roman" w:hAnsi="Times New Roman"/>
                <w:b/>
                <w:bCs/>
                <w:sz w:val="24"/>
                <w:szCs w:val="24"/>
              </w:rPr>
            </w:pPr>
          </w:p>
          <w:p w:rsidR="00777ABF" w:rsidRDefault="00777ABF" w:rsidP="00F57898">
            <w:pPr>
              <w:jc w:val="center"/>
              <w:rPr>
                <w:rFonts w:ascii="Times New Roman" w:hAnsi="Times New Roman"/>
                <w:b/>
                <w:bCs/>
                <w:sz w:val="24"/>
                <w:szCs w:val="24"/>
              </w:rPr>
            </w:pPr>
          </w:p>
          <w:p w:rsidR="00777ABF" w:rsidRDefault="00777ABF" w:rsidP="00F57898">
            <w:pPr>
              <w:jc w:val="right"/>
              <w:rPr>
                <w:rFonts w:ascii="Times New Roman" w:hAnsi="Times New Roman"/>
                <w:sz w:val="24"/>
                <w:szCs w:val="24"/>
              </w:rPr>
            </w:pPr>
            <w:r>
              <w:rPr>
                <w:rFonts w:ascii="Times New Roman" w:hAnsi="Times New Roman"/>
                <w:sz w:val="24"/>
                <w:szCs w:val="24"/>
              </w:rPr>
              <w:t>25.280,00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25.280,00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line="276" w:lineRule="auto"/>
              <w:jc w:val="both"/>
              <w:rPr>
                <w:rFonts w:ascii="Times New Roman" w:hAnsi="Times New Roman"/>
                <w:b/>
                <w:sz w:val="24"/>
                <w:szCs w:val="24"/>
              </w:rPr>
            </w:pPr>
            <w:r>
              <w:rPr>
                <w:rFonts w:ascii="Times New Roman" w:hAnsi="Times New Roman"/>
                <w:b/>
                <w:sz w:val="24"/>
                <w:szCs w:val="24"/>
              </w:rPr>
              <w:t>Izvor financiranja:</w:t>
            </w:r>
          </w:p>
          <w:p w:rsidR="00777ABF" w:rsidRDefault="00777ABF" w:rsidP="00F57898">
            <w:pPr>
              <w:spacing w:line="276" w:lineRule="auto"/>
              <w:rPr>
                <w:rFonts w:ascii="Times New Roman" w:hAnsi="Times New Roman"/>
                <w:sz w:val="24"/>
                <w:szCs w:val="24"/>
              </w:rPr>
            </w:pPr>
            <w:r>
              <w:rPr>
                <w:rFonts w:ascii="Times New Roman" w:hAnsi="Times New Roman"/>
                <w:sz w:val="24"/>
                <w:szCs w:val="24"/>
              </w:rPr>
              <w:t>11 opći prihodi i primici: 25.280,00 EUR</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tc>
      </w:tr>
    </w:tbl>
    <w:p w:rsidR="00777ABF" w:rsidRDefault="00777ABF" w:rsidP="00777ABF">
      <w:pPr>
        <w:spacing w:after="0" w:line="240" w:lineRule="auto"/>
        <w:ind w:left="360"/>
        <w:jc w:val="both"/>
        <w:rPr>
          <w:rFonts w:ascii="Times New Roman" w:eastAsia="Times New Roman" w:hAnsi="Times New Roman" w:cs="Times New Roman"/>
          <w:sz w:val="24"/>
          <w:szCs w:val="24"/>
          <w:lang w:eastAsia="hr-HR"/>
        </w:rPr>
      </w:pPr>
    </w:p>
    <w:p w:rsidR="00777ABF" w:rsidRDefault="00777ABF" w:rsidP="00777ABF">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tbl>
      <w:tblPr>
        <w:tblStyle w:val="Reetkatablice"/>
        <w:tblW w:w="9634" w:type="dxa"/>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građevina, uređaja i predmeta javne namjene</w:t>
            </w: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b/>
                <w:b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ind w:left="-5" w:right="1124"/>
              <w:rPr>
                <w:rFonts w:ascii="Times New Roman" w:hAnsi="Times New Roman"/>
                <w:bCs/>
                <w:sz w:val="24"/>
                <w:szCs w:val="24"/>
              </w:rPr>
            </w:pPr>
            <w:r>
              <w:rPr>
                <w:rFonts w:ascii="Times New Roman" w:hAnsi="Times New Roman"/>
                <w:bCs/>
                <w:sz w:val="24"/>
                <w:szCs w:val="24"/>
              </w:rPr>
              <w:t>Pod održavanjem građevina i uređaja javne namjene podrazumijeva se održavanje, popravci i čišćenje tih građevina, uređaja i predmeta.</w:t>
            </w:r>
          </w:p>
          <w:p w:rsidR="00777ABF" w:rsidRDefault="00777ABF" w:rsidP="00F57898">
            <w:pPr>
              <w:ind w:left="-5" w:right="1124"/>
              <w:rPr>
                <w:rFonts w:ascii="Times New Roman" w:hAnsi="Times New Roman"/>
                <w:bCs/>
                <w:sz w:val="24"/>
                <w:szCs w:val="24"/>
              </w:rPr>
            </w:pPr>
          </w:p>
          <w:p w:rsidR="00777ABF" w:rsidRDefault="00777ABF" w:rsidP="00A66748">
            <w:pPr>
              <w:pStyle w:val="Tijeloteksta"/>
              <w:numPr>
                <w:ilvl w:val="0"/>
                <w:numId w:val="28"/>
              </w:numPr>
              <w:suppressAutoHyphens/>
              <w:rPr>
                <w:bCs/>
              </w:rPr>
            </w:pPr>
            <w:r>
              <w:rPr>
                <w:bCs/>
              </w:rPr>
              <w:t xml:space="preserve">Održavanje spomen obilježja       </w:t>
            </w:r>
          </w:p>
          <w:p w:rsidR="00777ABF" w:rsidRDefault="00777ABF" w:rsidP="00A66748">
            <w:pPr>
              <w:pStyle w:val="Tijeloteksta"/>
              <w:numPr>
                <w:ilvl w:val="0"/>
                <w:numId w:val="28"/>
              </w:numPr>
              <w:suppressAutoHyphens/>
              <w:rPr>
                <w:bCs/>
              </w:rPr>
            </w:pPr>
            <w:r>
              <w:rPr>
                <w:bCs/>
              </w:rPr>
              <w:t xml:space="preserve">Usluge bojanja i popravaka uličnih klupa i koševa za otpad          </w:t>
            </w:r>
          </w:p>
          <w:p w:rsidR="00777ABF" w:rsidRDefault="00777ABF" w:rsidP="00F57898">
            <w:pPr>
              <w:ind w:left="-5" w:right="1124"/>
              <w:rPr>
                <w:rFonts w:ascii="Times New Roman" w:hAnsi="Times New Roman"/>
                <w:bCs/>
                <w:sz w:val="24"/>
                <w:szCs w:val="24"/>
              </w:rPr>
            </w:pPr>
          </w:p>
          <w:p w:rsidR="00777ABF" w:rsidRDefault="00777ABF" w:rsidP="00F57898">
            <w:pPr>
              <w:spacing w:line="276" w:lineRule="auto"/>
              <w:jc w:val="both"/>
              <w:rPr>
                <w:rFonts w:ascii="Times New Roman" w:hAnsi="Times New Roman"/>
                <w:b/>
                <w:bCs/>
                <w:sz w:val="24"/>
                <w:szCs w:val="24"/>
              </w:rPr>
            </w:pPr>
            <w:r>
              <w:rPr>
                <w:rFonts w:ascii="Times New Roman" w:hAnsi="Times New Roman"/>
                <w:bCs/>
                <w:sz w:val="24"/>
                <w:szCs w:val="24"/>
              </w:rPr>
              <w:t>Radovi se izvode tijekom cijele godine.</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8.700,00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8.700,00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777ABF" w:rsidRDefault="00777ABF" w:rsidP="00A66748">
            <w:pPr>
              <w:pStyle w:val="Odlomakpopisa"/>
              <w:numPr>
                <w:ilvl w:val="0"/>
                <w:numId w:val="42"/>
              </w:numPr>
              <w:spacing w:line="276" w:lineRule="auto"/>
              <w:jc w:val="both"/>
              <w:rPr>
                <w:rFonts w:ascii="Times New Roman" w:hAnsi="Times New Roman"/>
                <w:sz w:val="24"/>
                <w:szCs w:val="24"/>
              </w:rPr>
            </w:pPr>
            <w:r>
              <w:rPr>
                <w:rFonts w:ascii="Times New Roman" w:hAnsi="Times New Roman"/>
                <w:sz w:val="24"/>
                <w:szCs w:val="24"/>
              </w:rPr>
              <w:t>opći prihodi i primici: 5.000,00 EUR</w:t>
            </w:r>
          </w:p>
          <w:p w:rsidR="00777ABF" w:rsidRDefault="00777ABF" w:rsidP="00F57898">
            <w:pPr>
              <w:spacing w:line="276" w:lineRule="auto"/>
              <w:ind w:left="360"/>
              <w:jc w:val="both"/>
              <w:rPr>
                <w:rFonts w:ascii="Times New Roman" w:hAnsi="Times New Roman"/>
                <w:sz w:val="24"/>
                <w:szCs w:val="24"/>
              </w:rPr>
            </w:pPr>
            <w:r>
              <w:rPr>
                <w:rFonts w:ascii="Times New Roman" w:hAnsi="Times New Roman"/>
                <w:sz w:val="24"/>
                <w:szCs w:val="24"/>
              </w:rPr>
              <w:t>42  prihod od komunalnog doprinosa: 500,00 EUR</w:t>
            </w:r>
          </w:p>
          <w:p w:rsidR="00777ABF" w:rsidRDefault="00777ABF" w:rsidP="00F57898">
            <w:pPr>
              <w:spacing w:line="276" w:lineRule="auto"/>
              <w:ind w:left="360"/>
              <w:jc w:val="both"/>
              <w:rPr>
                <w:rFonts w:ascii="Times New Roman" w:hAnsi="Times New Roman"/>
                <w:sz w:val="24"/>
                <w:szCs w:val="24"/>
              </w:rPr>
            </w:pPr>
            <w:r>
              <w:rPr>
                <w:rFonts w:ascii="Times New Roman" w:hAnsi="Times New Roman"/>
                <w:sz w:val="24"/>
                <w:szCs w:val="24"/>
              </w:rPr>
              <w:t>43  prihod od komunalne naknade: 1.000,00 EUR</w:t>
            </w:r>
          </w:p>
          <w:p w:rsidR="00777ABF" w:rsidRDefault="00777ABF" w:rsidP="00F57898">
            <w:pPr>
              <w:spacing w:line="276" w:lineRule="auto"/>
              <w:ind w:left="360"/>
              <w:jc w:val="both"/>
              <w:rPr>
                <w:rFonts w:ascii="Times New Roman" w:hAnsi="Times New Roman"/>
                <w:sz w:val="24"/>
                <w:szCs w:val="24"/>
              </w:rPr>
            </w:pPr>
            <w:r>
              <w:rPr>
                <w:rFonts w:ascii="Times New Roman" w:hAnsi="Times New Roman"/>
                <w:sz w:val="24"/>
                <w:szCs w:val="24"/>
              </w:rPr>
              <w:t>45  prihod od šumskog doprinosa: 2.200,00 EUR</w:t>
            </w:r>
          </w:p>
          <w:p w:rsidR="00777ABF" w:rsidRDefault="00777ABF"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tc>
      </w:tr>
    </w:tbl>
    <w:p w:rsidR="00777ABF" w:rsidRDefault="00777ABF" w:rsidP="00777ABF">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groblja</w:t>
            </w:r>
          </w:p>
          <w:p w:rsidR="00777ABF" w:rsidRDefault="00777ABF" w:rsidP="00F57898">
            <w:pPr>
              <w:ind w:left="360"/>
              <w:jc w:val="both"/>
              <w:rPr>
                <w:rFonts w:ascii="Times New Roman" w:hAnsi="Times New Roman"/>
                <w:b/>
                <w:bCs/>
                <w:sz w:val="24"/>
                <w:szCs w:val="24"/>
                <w:lang w:eastAsia="hr-HR"/>
              </w:rPr>
            </w:pP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b/>
                <w:b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ind w:right="1124"/>
              <w:rPr>
                <w:rFonts w:ascii="Times New Roman" w:hAnsi="Times New Roman"/>
                <w:sz w:val="24"/>
                <w:szCs w:val="24"/>
              </w:rPr>
            </w:pPr>
            <w:r>
              <w:rPr>
                <w:rFonts w:ascii="Times New Roman" w:hAnsi="Times New Roman"/>
                <w:sz w:val="24"/>
                <w:szCs w:val="24"/>
              </w:rPr>
              <w:t xml:space="preserve">Radovi na održavanju groblja obuhvaćaju slijedeće: </w:t>
            </w:r>
            <w:r>
              <w:rPr>
                <w:rFonts w:ascii="Times New Roman" w:hAnsi="Times New Roman"/>
                <w:bCs/>
                <w:sz w:val="24"/>
                <w:szCs w:val="24"/>
              </w:rPr>
              <w:t xml:space="preserve">održavanje prilaza grobljima, održavanje zgrade mrtvačnice                                 </w:t>
            </w:r>
          </w:p>
          <w:p w:rsidR="00777ABF" w:rsidRDefault="00777ABF" w:rsidP="00A66748">
            <w:pPr>
              <w:numPr>
                <w:ilvl w:val="0"/>
                <w:numId w:val="29"/>
              </w:numPr>
              <w:spacing w:after="32" w:line="249" w:lineRule="auto"/>
              <w:ind w:left="-5" w:right="1124" w:hanging="139"/>
              <w:jc w:val="both"/>
              <w:rPr>
                <w:rFonts w:ascii="Times New Roman" w:hAnsi="Times New Roman"/>
                <w:sz w:val="24"/>
                <w:szCs w:val="24"/>
              </w:rPr>
            </w:pPr>
            <w:r>
              <w:rPr>
                <w:rFonts w:ascii="Times New Roman" w:hAnsi="Times New Roman"/>
                <w:sz w:val="24"/>
                <w:szCs w:val="24"/>
              </w:rPr>
              <w:t xml:space="preserve">Redovito košenje trave, traktorskom kosilicom i ručnom mehaničkom kosilicom, u svim grobljima na području Općine Gornji Bogićevci  1-2 puta mjesečno ili po potrebi u vremenskom razdoblju od 1. travnja do 1. studenog. </w:t>
            </w:r>
          </w:p>
          <w:p w:rsidR="00777ABF" w:rsidRDefault="00777ABF" w:rsidP="00F57898">
            <w:pPr>
              <w:spacing w:line="276" w:lineRule="auto"/>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19.400,00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19.400,00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11 opći prihodi i primici: 7.000,00 EUR</w:t>
            </w:r>
          </w:p>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41 prihodi za posebne namjene: 12.400,00 EUR</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tc>
      </w:tr>
    </w:tbl>
    <w:p w:rsidR="00777ABF" w:rsidRDefault="00777ABF" w:rsidP="00777ABF">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lastRenderedPageBreak/>
              <w:t>Održavanje čistoće javnih površina</w:t>
            </w:r>
          </w:p>
          <w:p w:rsidR="00777ABF" w:rsidRDefault="00777ABF" w:rsidP="00F57898">
            <w:pPr>
              <w:ind w:left="360"/>
              <w:jc w:val="both"/>
              <w:rPr>
                <w:rFonts w:ascii="Times New Roman" w:hAnsi="Times New Roman"/>
                <w:b/>
                <w:bCs/>
                <w:sz w:val="24"/>
                <w:szCs w:val="24"/>
                <w:lang w:eastAsia="hr-HR"/>
              </w:rPr>
            </w:pP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b/>
                <w:b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tabs>
                <w:tab w:val="right" w:pos="9072"/>
              </w:tabs>
              <w:rPr>
                <w:rFonts w:ascii="Times New Roman" w:hAnsi="Times New Roman"/>
                <w:bCs/>
                <w:sz w:val="24"/>
                <w:szCs w:val="24"/>
              </w:rPr>
            </w:pPr>
            <w:r>
              <w:rPr>
                <w:rFonts w:ascii="Times New Roman" w:hAnsi="Times New Roman"/>
                <w:bCs/>
                <w:sz w:val="24"/>
                <w:szCs w:val="24"/>
              </w:rPr>
              <w:t xml:space="preserve">Pod čišćenjem javnih površina podrazumijeva se: </w:t>
            </w:r>
          </w:p>
          <w:p w:rsidR="00777ABF" w:rsidRDefault="00777ABF" w:rsidP="00F57898">
            <w:pPr>
              <w:tabs>
                <w:tab w:val="right" w:pos="9072"/>
              </w:tabs>
              <w:rPr>
                <w:rFonts w:ascii="Times New Roman" w:hAnsi="Times New Roman"/>
                <w:b/>
                <w:bCs/>
                <w:sz w:val="24"/>
                <w:szCs w:val="24"/>
              </w:rPr>
            </w:pPr>
            <w:r>
              <w:rPr>
                <w:rFonts w:ascii="Times New Roman" w:hAnsi="Times New Roman"/>
                <w:bCs/>
                <w:sz w:val="24"/>
                <w:szCs w:val="24"/>
              </w:rPr>
              <w:t>- metenje javnih površina, sakupljanje lišća, uklanjanje uličnog otpada na području Gornjih Bogićevaca. Radovi se izvode tijekom cijele godine i po potrebi.</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8.000,00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8.000,00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11 Opći prihodi i primici: 8.000,00 EUR</w:t>
            </w:r>
          </w:p>
          <w:p w:rsidR="00777ABF" w:rsidRDefault="00777ABF"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tc>
      </w:tr>
    </w:tbl>
    <w:p w:rsidR="00777ABF" w:rsidRDefault="00777ABF" w:rsidP="00777ABF">
      <w:pPr>
        <w:spacing w:after="0" w:line="240" w:lineRule="auto"/>
        <w:jc w:val="both"/>
        <w:rPr>
          <w:rFonts w:ascii="Times New Roman" w:eastAsia="Times New Roman" w:hAnsi="Times New Roman" w:cs="Times New Roman"/>
          <w:sz w:val="24"/>
          <w:szCs w:val="24"/>
          <w:lang w:eastAsia="hr-HR"/>
        </w:rPr>
      </w:pPr>
    </w:p>
    <w:tbl>
      <w:tblPr>
        <w:tblStyle w:val="Reetkatablice"/>
        <w:tblW w:w="9634" w:type="dxa"/>
        <w:tblLook w:val="04A0"/>
      </w:tblPr>
      <w:tblGrid>
        <w:gridCol w:w="7650"/>
        <w:gridCol w:w="1984"/>
      </w:tblGrid>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A66748">
            <w:pPr>
              <w:pStyle w:val="Odlomakpopisa"/>
              <w:numPr>
                <w:ilvl w:val="0"/>
                <w:numId w:val="25"/>
              </w:numPr>
              <w:jc w:val="both"/>
              <w:rPr>
                <w:rFonts w:ascii="Times New Roman" w:hAnsi="Times New Roman"/>
                <w:b/>
                <w:bCs/>
                <w:sz w:val="24"/>
                <w:szCs w:val="24"/>
                <w:lang w:eastAsia="hr-HR"/>
              </w:rPr>
            </w:pPr>
            <w:r>
              <w:rPr>
                <w:rFonts w:ascii="Times New Roman" w:hAnsi="Times New Roman"/>
                <w:b/>
                <w:bCs/>
                <w:sz w:val="24"/>
                <w:szCs w:val="24"/>
                <w:lang w:eastAsia="hr-HR"/>
              </w:rPr>
              <w:t>Održavanje javne rasvjete</w:t>
            </w:r>
          </w:p>
          <w:p w:rsidR="00777ABF" w:rsidRDefault="00777ABF" w:rsidP="00F57898">
            <w:pPr>
              <w:ind w:left="360"/>
              <w:jc w:val="both"/>
              <w:rPr>
                <w:rFonts w:ascii="Times New Roman" w:hAnsi="Times New Roman"/>
                <w:b/>
                <w:bCs/>
                <w:sz w:val="24"/>
                <w:szCs w:val="24"/>
                <w:lang w:eastAsia="hr-HR"/>
              </w:rPr>
            </w:pPr>
          </w:p>
          <w:p w:rsidR="00777ABF" w:rsidRDefault="00777ABF" w:rsidP="00F57898">
            <w:pPr>
              <w:jc w:val="both"/>
              <w:rPr>
                <w:rFonts w:ascii="Times New Roman" w:hAnsi="Times New Roman"/>
                <w:b/>
                <w:bCs/>
                <w:sz w:val="24"/>
                <w:szCs w:val="24"/>
              </w:rPr>
            </w:pP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ind w:left="-108"/>
              <w:jc w:val="center"/>
              <w:rPr>
                <w:rFonts w:ascii="Times New Roman" w:hAnsi="Times New Roman"/>
                <w:b/>
                <w:sz w:val="24"/>
                <w:szCs w:val="24"/>
              </w:rPr>
            </w:pPr>
            <w:r>
              <w:rPr>
                <w:rFonts w:ascii="Times New Roman" w:hAnsi="Times New Roman"/>
                <w:b/>
                <w:sz w:val="24"/>
                <w:szCs w:val="24"/>
              </w:rPr>
              <w:t>Plan</w:t>
            </w:r>
          </w:p>
          <w:p w:rsidR="00777ABF" w:rsidRDefault="00777ABF" w:rsidP="00F57898">
            <w:pPr>
              <w:jc w:val="center"/>
              <w:rPr>
                <w:rFonts w:ascii="Times New Roman" w:hAnsi="Times New Roman"/>
                <w:b/>
                <w:bCs/>
                <w:sz w:val="24"/>
                <w:szCs w:val="24"/>
              </w:rPr>
            </w:pPr>
            <w:r>
              <w:rPr>
                <w:rFonts w:ascii="Times New Roman" w:hAnsi="Times New Roman"/>
                <w:b/>
                <w:sz w:val="24"/>
                <w:szCs w:val="24"/>
              </w:rPr>
              <w:t>2026.</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tabs>
                <w:tab w:val="right" w:pos="9072"/>
              </w:tabs>
              <w:rPr>
                <w:rFonts w:ascii="Times New Roman" w:hAnsi="Times New Roman"/>
                <w:bCs/>
                <w:sz w:val="24"/>
                <w:szCs w:val="24"/>
              </w:rPr>
            </w:pPr>
            <w:r>
              <w:rPr>
                <w:rFonts w:ascii="Times New Roman" w:hAnsi="Times New Roman"/>
                <w:bCs/>
                <w:sz w:val="24"/>
                <w:szCs w:val="24"/>
              </w:rPr>
              <w:t xml:space="preserve">Održavanje javne rasvjete odnosi se na: </w:t>
            </w:r>
          </w:p>
          <w:p w:rsidR="00777ABF" w:rsidRDefault="00777ABF" w:rsidP="00F57898">
            <w:pPr>
              <w:tabs>
                <w:tab w:val="right" w:pos="9072"/>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plaćanje utrošene električne energije za korištenje javne rasvjete u svim naseljima na području Općine Gornji Bogićevci tijekom cijele godine  </w:t>
            </w:r>
          </w:p>
          <w:p w:rsidR="00777ABF" w:rsidRDefault="00777ABF" w:rsidP="00F57898">
            <w:pPr>
              <w:tabs>
                <w:tab w:val="right" w:pos="9072"/>
              </w:tabs>
              <w:rPr>
                <w:rFonts w:ascii="Times New Roman" w:hAnsi="Times New Roman"/>
                <w:bCs/>
                <w:sz w:val="24"/>
                <w:szCs w:val="24"/>
              </w:rPr>
            </w:pPr>
            <w:r>
              <w:rPr>
                <w:rFonts w:ascii="Times New Roman" w:hAnsi="Times New Roman"/>
                <w:bCs/>
                <w:sz w:val="24"/>
                <w:szCs w:val="24"/>
              </w:rPr>
              <w:t>-</w:t>
            </w:r>
            <w:r>
              <w:rPr>
                <w:rFonts w:ascii="Times New Roman" w:hAnsi="Times New Roman"/>
                <w:bCs/>
                <w:sz w:val="24"/>
                <w:szCs w:val="24"/>
              </w:rPr>
              <w:tab/>
              <w:t xml:space="preserve">Održavanje javne rasvjete što podrazumijeva sve potrebne radove na javnoj rasvjeti u naseljima na području Općine Gornji Bogićevci, kao što je zamjena žarulja, odnosno rasvjetnih tijela, prigušnica, rasvjetnih stupova  i dr. (radovi će se izvoditi tijekom cijele godine) </w:t>
            </w: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sz w:val="24"/>
                <w:szCs w:val="24"/>
              </w:rPr>
            </w:pPr>
            <w:r>
              <w:rPr>
                <w:rFonts w:ascii="Times New Roman" w:hAnsi="Times New Roman"/>
                <w:sz w:val="24"/>
                <w:szCs w:val="24"/>
              </w:rPr>
              <w:t>9.000,00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spacing w:line="276" w:lineRule="auto"/>
              <w:jc w:val="both"/>
              <w:rPr>
                <w:rFonts w:ascii="Times New Roman" w:hAnsi="Times New Roman"/>
                <w:b/>
                <w:bCs/>
                <w:sz w:val="24"/>
                <w:szCs w:val="24"/>
              </w:rPr>
            </w:pPr>
            <w:r>
              <w:rPr>
                <w:rFonts w:ascii="Times New Roman" w:hAnsi="Times New Roman"/>
                <w:b/>
                <w:bCs/>
                <w:sz w:val="24"/>
                <w:szCs w:val="24"/>
              </w:rPr>
              <w:t>UKUPNO:</w:t>
            </w:r>
          </w:p>
        </w:tc>
        <w:tc>
          <w:tcPr>
            <w:tcW w:w="1984" w:type="dxa"/>
            <w:tcBorders>
              <w:top w:val="single" w:sz="4" w:space="0" w:color="auto"/>
              <w:left w:val="single" w:sz="4" w:space="0" w:color="auto"/>
              <w:bottom w:val="single" w:sz="4" w:space="0" w:color="auto"/>
              <w:right w:val="single" w:sz="4" w:space="0" w:color="auto"/>
            </w:tcBorders>
            <w:shd w:val="clear" w:color="auto" w:fill="8EAADB" w:themeFill="accent1" w:themeFillTint="99"/>
          </w:tcPr>
          <w:p w:rsidR="00777ABF" w:rsidRDefault="00777ABF" w:rsidP="00F57898">
            <w:pPr>
              <w:jc w:val="right"/>
              <w:rPr>
                <w:rFonts w:ascii="Times New Roman" w:hAnsi="Times New Roman"/>
                <w:b/>
                <w:bCs/>
                <w:sz w:val="24"/>
                <w:szCs w:val="24"/>
              </w:rPr>
            </w:pPr>
            <w:r>
              <w:rPr>
                <w:rFonts w:ascii="Times New Roman" w:hAnsi="Times New Roman"/>
                <w:b/>
                <w:bCs/>
                <w:sz w:val="24"/>
                <w:szCs w:val="24"/>
              </w:rPr>
              <w:t>9.000,00 EUR</w:t>
            </w:r>
          </w:p>
        </w:tc>
      </w:tr>
      <w:tr w:rsidR="00777ABF" w:rsidTr="00F57898">
        <w:tc>
          <w:tcPr>
            <w:tcW w:w="7650" w:type="dxa"/>
            <w:tcBorders>
              <w:top w:val="single" w:sz="4" w:space="0" w:color="auto"/>
              <w:left w:val="single" w:sz="4" w:space="0" w:color="auto"/>
              <w:bottom w:val="single" w:sz="4" w:space="0" w:color="auto"/>
              <w:right w:val="single" w:sz="4" w:space="0" w:color="auto"/>
            </w:tcBorders>
          </w:tcPr>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Izvor financiranja:</w:t>
            </w:r>
          </w:p>
          <w:p w:rsidR="00777ABF" w:rsidRDefault="00777ABF" w:rsidP="00F57898">
            <w:pPr>
              <w:spacing w:line="276" w:lineRule="auto"/>
              <w:jc w:val="both"/>
              <w:rPr>
                <w:rFonts w:ascii="Times New Roman" w:hAnsi="Times New Roman"/>
                <w:sz w:val="24"/>
                <w:szCs w:val="24"/>
              </w:rPr>
            </w:pPr>
            <w:r>
              <w:rPr>
                <w:rFonts w:ascii="Times New Roman" w:hAnsi="Times New Roman"/>
                <w:sz w:val="24"/>
                <w:szCs w:val="24"/>
              </w:rPr>
              <w:t>11 opći prihodi i primici: 9.000,00 EUR</w:t>
            </w:r>
          </w:p>
          <w:p w:rsidR="00777ABF" w:rsidRDefault="00777ABF" w:rsidP="00F57898">
            <w:pPr>
              <w:spacing w:line="276" w:lineRule="auto"/>
              <w:jc w:val="both"/>
              <w:rPr>
                <w:rFonts w:ascii="Times New Roman" w:hAnsi="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777ABF" w:rsidRDefault="00777ABF" w:rsidP="00F57898">
            <w:pPr>
              <w:jc w:val="right"/>
              <w:rPr>
                <w:rFonts w:ascii="Times New Roman" w:hAnsi="Times New Roman"/>
                <w:b/>
                <w:bCs/>
                <w:sz w:val="24"/>
                <w:szCs w:val="24"/>
              </w:rPr>
            </w:pPr>
          </w:p>
        </w:tc>
      </w:tr>
    </w:tbl>
    <w:p w:rsidR="00777ABF" w:rsidRDefault="00777ABF" w:rsidP="00777ABF">
      <w:pPr>
        <w:spacing w:after="0" w:line="240" w:lineRule="auto"/>
        <w:jc w:val="both"/>
        <w:rPr>
          <w:rFonts w:ascii="Times New Roman" w:eastAsia="Times New Roman" w:hAnsi="Times New Roman" w:cs="Times New Roman"/>
          <w:sz w:val="24"/>
          <w:szCs w:val="24"/>
          <w:lang w:eastAsia="hr-HR"/>
        </w:rPr>
      </w:pPr>
    </w:p>
    <w:p w:rsidR="00777ABF" w:rsidRDefault="00777ABF" w:rsidP="00777ABF">
      <w:pPr>
        <w:spacing w:after="0" w:line="240" w:lineRule="auto"/>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                                                                     </w:t>
      </w:r>
      <w:r>
        <w:rPr>
          <w:rFonts w:ascii="Times New Roman" w:eastAsia="Times New Roman" w:hAnsi="Times New Roman" w:cs="Times New Roman"/>
          <w:b/>
          <w:sz w:val="24"/>
          <w:szCs w:val="24"/>
          <w:lang w:eastAsia="hr-HR"/>
        </w:rPr>
        <w:t>Članak 4.</w:t>
      </w:r>
    </w:p>
    <w:p w:rsidR="00777ABF" w:rsidRDefault="00777ABF" w:rsidP="00777ABF">
      <w:pPr>
        <w:spacing w:after="0" w:line="240" w:lineRule="auto"/>
        <w:rPr>
          <w:rFonts w:ascii="Times New Roman" w:eastAsia="Times New Roman" w:hAnsi="Times New Roman" w:cs="Times New Roman"/>
          <w:b/>
          <w:sz w:val="24"/>
          <w:szCs w:val="24"/>
          <w:lang w:eastAsia="hr-HR"/>
        </w:rPr>
      </w:pPr>
    </w:p>
    <w:p w:rsidR="00777ABF" w:rsidRDefault="00777ABF" w:rsidP="00777ABF">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Ovaj Program stupa na snagu osmi dan od dana objave u Službenom Glasniku Općine Gornji Bogićevci</w:t>
      </w:r>
    </w:p>
    <w:p w:rsidR="00777ABF" w:rsidRDefault="00777ABF" w:rsidP="00777ABF">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 </w:t>
      </w:r>
    </w:p>
    <w:p w:rsidR="00777ABF" w:rsidRDefault="00777ABF" w:rsidP="00777ABF">
      <w:pPr>
        <w:keepNext/>
        <w:ind w:firstLine="708"/>
        <w:jc w:val="both"/>
        <w:outlineLvl w:val="4"/>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Cs/>
          <w:sz w:val="24"/>
          <w:szCs w:val="24"/>
        </w:rPr>
        <w:t xml:space="preserve">OPĆINA GORNJI BOGIĆEVCI OPĆINSKO VIJEĆE </w:t>
      </w:r>
    </w:p>
    <w:p w:rsidR="00777ABF" w:rsidRDefault="00777ABF" w:rsidP="00777ABF">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777ABF" w:rsidRPr="00D25034" w:rsidRDefault="00777ABF" w:rsidP="00777ABF">
      <w:pPr>
        <w:spacing w:after="0"/>
        <w:rPr>
          <w:rFonts w:ascii="Times New Roman" w:hAnsi="Times New Roman" w:cs="Times New Roman"/>
          <w:sz w:val="24"/>
          <w:szCs w:val="24"/>
        </w:rPr>
      </w:pPr>
      <w:r w:rsidRPr="00D25034">
        <w:rPr>
          <w:rFonts w:ascii="Times New Roman" w:hAnsi="Times New Roman" w:cs="Times New Roman"/>
          <w:sz w:val="24"/>
          <w:szCs w:val="24"/>
        </w:rPr>
        <w:t>KLASA: 400-05-25-01-01</w:t>
      </w:r>
    </w:p>
    <w:p w:rsidR="00777ABF" w:rsidRPr="00D25034" w:rsidRDefault="00777ABF" w:rsidP="00777ABF">
      <w:pPr>
        <w:spacing w:after="0"/>
        <w:rPr>
          <w:rFonts w:ascii="Times New Roman" w:hAnsi="Times New Roman" w:cs="Times New Roman"/>
          <w:sz w:val="24"/>
          <w:szCs w:val="24"/>
        </w:rPr>
      </w:pPr>
      <w:r w:rsidRPr="00D25034">
        <w:rPr>
          <w:rFonts w:ascii="Times New Roman" w:hAnsi="Times New Roman" w:cs="Times New Roman"/>
          <w:sz w:val="24"/>
          <w:szCs w:val="24"/>
        </w:rPr>
        <w:t>URBROJ: 2178-22-03-25-07</w:t>
      </w:r>
    </w:p>
    <w:p w:rsidR="00777ABF" w:rsidRPr="00D25034" w:rsidRDefault="00777ABF" w:rsidP="00777ABF">
      <w:pPr>
        <w:spacing w:after="0"/>
        <w:rPr>
          <w:rFonts w:ascii="Times New Roman" w:hAnsi="Times New Roman" w:cs="Times New Roman"/>
          <w:sz w:val="24"/>
          <w:szCs w:val="24"/>
        </w:rPr>
      </w:pPr>
      <w:r w:rsidRPr="00D25034">
        <w:rPr>
          <w:rFonts w:ascii="Times New Roman" w:hAnsi="Times New Roman" w:cs="Times New Roman"/>
          <w:sz w:val="24"/>
          <w:szCs w:val="24"/>
        </w:rPr>
        <w:t xml:space="preserve">Gornji Bogićevci, 25. kolovoza 2025. godine                                                               </w:t>
      </w:r>
    </w:p>
    <w:p w:rsidR="00777ABF" w:rsidRDefault="00777ABF" w:rsidP="00777ABF">
      <w:pPr>
        <w:spacing w:after="0" w:line="240" w:lineRule="auto"/>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 xml:space="preserve">                                                                                </w:t>
      </w:r>
    </w:p>
    <w:p w:rsidR="00777ABF" w:rsidRDefault="00777ABF" w:rsidP="00777ABF">
      <w:pPr>
        <w:spacing w:after="0" w:line="240" w:lineRule="auto"/>
        <w:rPr>
          <w:rFonts w:ascii="Times New Roman" w:eastAsia="Times New Roman" w:hAnsi="Times New Roman" w:cs="Times New Roman"/>
          <w:bCs/>
          <w:sz w:val="24"/>
          <w:szCs w:val="24"/>
          <w:lang w:eastAsia="hr-HR"/>
        </w:rPr>
      </w:pPr>
    </w:p>
    <w:p w:rsidR="00777ABF" w:rsidRDefault="00777ABF" w:rsidP="00777ABF">
      <w:pPr>
        <w:spacing w:after="0" w:line="240" w:lineRule="auto"/>
        <w:rPr>
          <w:rFonts w:ascii="Times New Roman" w:eastAsia="Times New Roman" w:hAnsi="Times New Roman" w:cs="Times New Roman"/>
          <w:bCs/>
          <w:sz w:val="24"/>
          <w:szCs w:val="24"/>
          <w:lang w:eastAsia="hr-HR"/>
        </w:rPr>
      </w:pPr>
    </w:p>
    <w:p w:rsidR="00777ABF" w:rsidRDefault="00777ABF" w:rsidP="00777ABF">
      <w:pPr>
        <w:spacing w:after="0" w:line="240" w:lineRule="auto"/>
        <w:rPr>
          <w:rFonts w:ascii="Times New Roman" w:eastAsia="Times New Roman" w:hAnsi="Times New Roman" w:cs="Times New Roman"/>
          <w:bCs/>
          <w:sz w:val="24"/>
          <w:szCs w:val="24"/>
          <w:lang w:eastAsia="hr-HR"/>
        </w:rPr>
      </w:pPr>
    </w:p>
    <w:p w:rsidR="00777ABF" w:rsidRDefault="00777ABF" w:rsidP="00777ABF">
      <w:pPr>
        <w:spacing w:after="0" w:line="240" w:lineRule="auto"/>
        <w:ind w:left="4248" w:firstLine="708"/>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PREDSJEDNIK OPĆINSKOG  VIJEĆA</w:t>
      </w:r>
    </w:p>
    <w:p w:rsidR="00777ABF" w:rsidRDefault="00777ABF" w:rsidP="00777ABF">
      <w:pPr>
        <w:spacing w:after="0" w:line="240" w:lineRule="auto"/>
        <w:ind w:left="5664" w:firstLine="708"/>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Željko Klarić</w:t>
      </w: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p>
    <w:p w:rsidR="00777ABF" w:rsidRDefault="00777ABF" w:rsidP="00777ABF">
      <w:pPr>
        <w:rPr>
          <w:rFonts w:ascii="Times New Roman" w:hAnsi="Times New Roman" w:cs="Times New Roman"/>
          <w:sz w:val="24"/>
          <w:szCs w:val="24"/>
        </w:rPr>
      </w:pPr>
      <w:r>
        <w:rPr>
          <w:rFonts w:ascii="Times New Roman" w:hAnsi="Times New Roman" w:cs="Times New Roman"/>
          <w:sz w:val="24"/>
          <w:szCs w:val="24"/>
        </w:rPr>
        <w:t>DOSTAVITI:</w:t>
      </w:r>
    </w:p>
    <w:p w:rsidR="00777ABF" w:rsidRDefault="00777ABF" w:rsidP="00777ABF">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lastRenderedPageBreak/>
        <w:t>1.Jedinstveni upravni odjel</w:t>
      </w:r>
    </w:p>
    <w:p w:rsidR="00777ABF" w:rsidRDefault="00777ABF" w:rsidP="00777ABF">
      <w:pPr>
        <w:spacing w:after="0" w:line="240" w:lineRule="auto"/>
        <w:ind w:left="360"/>
        <w:contextualSpacing/>
        <w:rPr>
          <w:rFonts w:ascii="Times New Roman" w:hAnsi="Times New Roman" w:cs="Times New Roman"/>
          <w:sz w:val="24"/>
          <w:szCs w:val="24"/>
        </w:rPr>
      </w:pPr>
      <w:r>
        <w:rPr>
          <w:rFonts w:ascii="Times New Roman" w:hAnsi="Times New Roman" w:cs="Times New Roman"/>
          <w:sz w:val="24"/>
          <w:szCs w:val="24"/>
        </w:rPr>
        <w:t>2.Službeni Glasnik Općine Gornji Bogićevci</w:t>
      </w:r>
    </w:p>
    <w:p w:rsidR="00777ABF" w:rsidRPr="00777ABF" w:rsidRDefault="00777ABF" w:rsidP="00A66748">
      <w:pPr>
        <w:pStyle w:val="Odlomakpopisa"/>
        <w:numPr>
          <w:ilvl w:val="0"/>
          <w:numId w:val="41"/>
        </w:numPr>
        <w:spacing w:after="0" w:line="240" w:lineRule="auto"/>
        <w:rPr>
          <w:rFonts w:ascii="Times New Roman" w:hAnsi="Times New Roman" w:cs="Times New Roman"/>
          <w:sz w:val="24"/>
          <w:szCs w:val="24"/>
        </w:rPr>
      </w:pPr>
      <w:r w:rsidRPr="00777ABF">
        <w:rPr>
          <w:rFonts w:ascii="Times New Roman" w:hAnsi="Times New Roman" w:cs="Times New Roman"/>
          <w:sz w:val="24"/>
          <w:szCs w:val="24"/>
        </w:rPr>
        <w:t>Ministarstvo prostornog uređenja, graditeljstva i državne imovine</w:t>
      </w:r>
    </w:p>
    <w:p w:rsidR="00777ABF" w:rsidRDefault="00777ABF" w:rsidP="00777ABF">
      <w:pPr>
        <w:spacing w:line="360" w:lineRule="auto"/>
        <w:rPr>
          <w:rFonts w:ascii="Times New Roman" w:hAnsi="Times New Roman" w:cs="Times New Roman"/>
          <w:sz w:val="24"/>
          <w:szCs w:val="24"/>
        </w:rPr>
      </w:pPr>
    </w:p>
    <w:p w:rsidR="00777ABF" w:rsidRPr="00777ABF" w:rsidRDefault="00777ABF" w:rsidP="00A66748">
      <w:pPr>
        <w:pStyle w:val="Odlomakpopisa"/>
        <w:numPr>
          <w:ilvl w:val="0"/>
          <w:numId w:val="41"/>
        </w:numPr>
        <w:spacing w:line="360" w:lineRule="auto"/>
        <w:rPr>
          <w:rFonts w:ascii="Times New Roman" w:hAnsi="Times New Roman" w:cs="Times New Roman"/>
          <w:sz w:val="24"/>
          <w:szCs w:val="24"/>
        </w:rPr>
      </w:pPr>
      <w:r w:rsidRPr="00777ABF">
        <w:rPr>
          <w:rFonts w:ascii="Times New Roman" w:hAnsi="Times New Roman" w:cs="Times New Roman"/>
          <w:sz w:val="24"/>
          <w:szCs w:val="24"/>
        </w:rPr>
        <w:t>Pishmohrana</w:t>
      </w:r>
    </w:p>
    <w:p w:rsidR="00777ABF" w:rsidRDefault="00777ABF" w:rsidP="00777ABF">
      <w:pPr>
        <w:spacing w:line="360" w:lineRule="auto"/>
        <w:rPr>
          <w:rFonts w:ascii="Times New Roman" w:hAnsi="Times New Roman" w:cs="Times New Roman"/>
          <w:sz w:val="24"/>
          <w:szCs w:val="24"/>
        </w:rPr>
      </w:pPr>
    </w:p>
    <w:p w:rsidR="00777ABF" w:rsidRDefault="00777ABF" w:rsidP="00777ABF">
      <w:pPr>
        <w:spacing w:line="360" w:lineRule="auto"/>
        <w:rPr>
          <w:rFonts w:ascii="Times New Roman" w:hAnsi="Times New Roman" w:cs="Times New Roman"/>
          <w:sz w:val="24"/>
          <w:szCs w:val="24"/>
        </w:rPr>
      </w:pPr>
    </w:p>
    <w:p w:rsidR="00777ABF" w:rsidRDefault="00777ABF" w:rsidP="00777ABF">
      <w:pPr>
        <w:spacing w:line="360" w:lineRule="auto"/>
        <w:rPr>
          <w:rFonts w:ascii="Times New Roman" w:hAnsi="Times New Roman" w:cs="Times New Roman"/>
          <w:sz w:val="24"/>
          <w:szCs w:val="24"/>
        </w:rPr>
      </w:pPr>
    </w:p>
    <w:p w:rsidR="00777ABF" w:rsidRDefault="00777ABF" w:rsidP="00777ABF">
      <w:pPr>
        <w:spacing w:line="360" w:lineRule="auto"/>
        <w:rPr>
          <w:rFonts w:ascii="Times New Roman" w:hAnsi="Times New Roman" w:cs="Times New Roman"/>
          <w:sz w:val="24"/>
          <w:szCs w:val="24"/>
        </w:rPr>
      </w:pPr>
    </w:p>
    <w:p w:rsidR="00777ABF" w:rsidRDefault="00777ABF" w:rsidP="00777ABF">
      <w:pPr>
        <w:spacing w:line="360" w:lineRule="auto"/>
        <w:rPr>
          <w:rFonts w:ascii="Times New Roman" w:hAnsi="Times New Roman" w:cs="Times New Roman"/>
          <w:sz w:val="24"/>
          <w:szCs w:val="24"/>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noProof/>
          <w:sz w:val="24"/>
          <w:szCs w:val="24"/>
          <w:lang w:eastAsia="hr-HR"/>
        </w:rPr>
        <w:drawing>
          <wp:inline distT="0" distB="0" distL="0" distR="0">
            <wp:extent cx="485775" cy="647700"/>
            <wp:effectExtent l="0" t="0" r="0" b="0"/>
            <wp:docPr id="1890475276"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777ABF" w:rsidRPr="00777ABF" w:rsidRDefault="00777ABF" w:rsidP="00777ABF">
      <w:pPr>
        <w:suppressAutoHyphens/>
        <w:spacing w:after="0" w:line="240" w:lineRule="auto"/>
        <w:ind w:firstLine="720"/>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REPUBLIKA HRVATSKA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BRODSKO-POSAVSKA ŽUPANIJA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OPĆINA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OPĆINSKO VIJEĆE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 xml:space="preserve">Trg hrvatskih branitelja 1, </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35429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OIB: 89414039518</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Tel: 035/375-056</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bCs/>
          <w:color w:val="FF0000"/>
          <w:sz w:val="24"/>
          <w:szCs w:val="24"/>
          <w:lang w:eastAsia="ar-SA"/>
        </w:rPr>
      </w:pPr>
      <w:r w:rsidRPr="00777ABF">
        <w:rPr>
          <w:rFonts w:ascii="Times New Roman" w:eastAsia="Times New Roman" w:hAnsi="Times New Roman" w:cs="Times New Roman"/>
          <w:b/>
          <w:bCs/>
          <w:sz w:val="24"/>
          <w:szCs w:val="24"/>
          <w:lang w:eastAsia="ar-SA"/>
        </w:rPr>
        <w:tab/>
      </w:r>
      <w:r w:rsidRPr="00777ABF">
        <w:rPr>
          <w:rFonts w:ascii="Times New Roman" w:eastAsia="Times New Roman" w:hAnsi="Times New Roman" w:cs="Times New Roman"/>
          <w:bCs/>
          <w:sz w:val="24"/>
          <w:szCs w:val="24"/>
          <w:lang w:eastAsia="ar-SA"/>
        </w:rPr>
        <w:t xml:space="preserve">Na temelju Zakona o vatrogastvu („Narodne novine“ broj 125/19), članka 16. Zakona o sustavu civilne zaštite („Narodne novine“ broj 82/15, 118/18, 31/20, 20/21 i 114/22), članka 16. Zakona o Hrvatskoj gorskoj službi spašavanja („Narodne novine“ broj 76/06 i 110/15) te </w:t>
      </w:r>
      <w:r w:rsidRPr="00777ABF">
        <w:rPr>
          <w:rFonts w:ascii="Times New Roman" w:eastAsia="Times New Roman" w:hAnsi="Times New Roman" w:cs="Times New Roman"/>
          <w:sz w:val="24"/>
          <w:szCs w:val="24"/>
          <w:lang w:eastAsia="ar-SA"/>
        </w:rPr>
        <w:t xml:space="preserve">članka 39. stavak 5 Statuta općine Gornji Bogićevci („Službeni glasnik Općine Gornji Bogićevci“, broj 02/21, Općinsko vijeće općine Gornji Bogićevci na </w:t>
      </w:r>
      <w:r w:rsidRPr="00777ABF">
        <w:rPr>
          <w:rFonts w:ascii="Times New Roman" w:eastAsia="Times New Roman" w:hAnsi="Times New Roman" w:cs="Times New Roman"/>
          <w:color w:val="000000"/>
          <w:sz w:val="24"/>
          <w:szCs w:val="24"/>
          <w:lang w:eastAsia="ar-SA"/>
        </w:rPr>
        <w:t>svojoj 5. sjednici održanoj 22. prosinca 2025. godine,</w:t>
      </w:r>
      <w:r w:rsidRPr="00777ABF">
        <w:rPr>
          <w:rFonts w:ascii="Times New Roman" w:eastAsia="Times New Roman" w:hAnsi="Times New Roman" w:cs="Times New Roman"/>
          <w:color w:val="FF0000"/>
          <w:sz w:val="24"/>
          <w:szCs w:val="24"/>
          <w:lang w:eastAsia="ar-SA"/>
        </w:rPr>
        <w:t xml:space="preserve"> </w:t>
      </w:r>
    </w:p>
    <w:p w:rsidR="00777ABF" w:rsidRPr="00777ABF" w:rsidRDefault="00777ABF" w:rsidP="00777ABF">
      <w:pPr>
        <w:suppressAutoHyphens/>
        <w:spacing w:after="0" w:line="240" w:lineRule="auto"/>
        <w:jc w:val="center"/>
        <w:rPr>
          <w:rFonts w:ascii="Times New Roman" w:eastAsia="Times New Roman" w:hAnsi="Times New Roman" w:cs="Times New Roman"/>
          <w:bCs/>
          <w:sz w:val="24"/>
          <w:szCs w:val="24"/>
          <w:lang w:val="en-GB"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 xml:space="preserve">P  R  O  G  R  A  M  </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ORGANIZIRANJA I PROVOĐENJA ZAŠTITE I SPAŠAVANJA</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NA PODRUČJU OPĆINE GORNJI BOGIĆEVCI ZA  2026. GODINU</w:t>
      </w:r>
    </w:p>
    <w:p w:rsidR="00777ABF" w:rsidRPr="00777ABF" w:rsidRDefault="00777ABF" w:rsidP="00777ABF">
      <w:pPr>
        <w:suppressAutoHyphens/>
        <w:spacing w:after="0" w:line="240" w:lineRule="auto"/>
        <w:jc w:val="center"/>
        <w:rPr>
          <w:rFonts w:ascii="Times New Roman" w:eastAsia="Times New Roman" w:hAnsi="Times New Roman" w:cs="Times New Roman"/>
          <w:bCs/>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Članak 1.</w:t>
      </w: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bCs/>
          <w:sz w:val="24"/>
          <w:szCs w:val="24"/>
          <w:lang w:eastAsia="ar-SA"/>
        </w:rPr>
      </w:pPr>
      <w:r w:rsidRPr="00777ABF">
        <w:rPr>
          <w:rFonts w:ascii="Times New Roman" w:eastAsia="Times New Roman" w:hAnsi="Times New Roman" w:cs="Times New Roman"/>
          <w:bCs/>
          <w:sz w:val="24"/>
          <w:szCs w:val="24"/>
          <w:lang w:eastAsia="ar-SA"/>
        </w:rPr>
        <w:t xml:space="preserve">U Proračunu Općine Gornji Bogićevci za 2026. godinu osiguravaju se sredstva za   provođenje Programa organiziranja i provođenja zaštite i spašavanja na području općine </w:t>
      </w:r>
      <w:r w:rsidRPr="00777ABF">
        <w:rPr>
          <w:rFonts w:ascii="Times New Roman" w:eastAsia="Times New Roman" w:hAnsi="Times New Roman" w:cs="Times New Roman"/>
          <w:bCs/>
          <w:sz w:val="24"/>
          <w:szCs w:val="24"/>
          <w:lang w:eastAsia="ar-SA"/>
        </w:rPr>
        <w:tab/>
        <w:t xml:space="preserve">Gornji Bogićevci za 2026. godinu. Novčana sredstva u iznosu od </w:t>
      </w:r>
      <w:r w:rsidRPr="00777ABF">
        <w:rPr>
          <w:rFonts w:ascii="Times New Roman" w:eastAsia="Times New Roman" w:hAnsi="Times New Roman" w:cs="Times New Roman"/>
          <w:b/>
          <w:bCs/>
          <w:sz w:val="24"/>
          <w:szCs w:val="24"/>
          <w:lang w:eastAsia="ar-SA"/>
        </w:rPr>
        <w:t>22.700,00</w:t>
      </w:r>
      <w:r w:rsidRPr="00777ABF">
        <w:rPr>
          <w:rFonts w:ascii="Times New Roman" w:eastAsia="Times New Roman" w:hAnsi="Times New Roman" w:cs="Times New Roman"/>
          <w:bCs/>
          <w:sz w:val="24"/>
          <w:szCs w:val="24"/>
          <w:lang w:eastAsia="ar-SA"/>
        </w:rPr>
        <w:t xml:space="preserve"> EUR namijenjena su za slijedeće aktivnosti:</w:t>
      </w:r>
    </w:p>
    <w:p w:rsidR="00777ABF" w:rsidRPr="00777ABF" w:rsidRDefault="00777ABF" w:rsidP="00777ABF">
      <w:pPr>
        <w:suppressAutoHyphens/>
        <w:spacing w:after="0" w:line="240" w:lineRule="auto"/>
        <w:rPr>
          <w:rFonts w:ascii="Times New Roman" w:eastAsia="Times New Roman" w:hAnsi="Times New Roman" w:cs="Times New Roman"/>
          <w:b/>
          <w:b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01"/>
        <w:gridCol w:w="5638"/>
        <w:gridCol w:w="1570"/>
      </w:tblGrid>
      <w:tr w:rsidR="00777ABF" w:rsidRPr="00777ABF" w:rsidTr="00F57898">
        <w:trPr>
          <w:trHeight w:val="276"/>
        </w:trPr>
        <w:tc>
          <w:tcPr>
            <w:tcW w:w="1101" w:type="dxa"/>
            <w:shd w:val="clear" w:color="auto" w:fill="A3DBFF"/>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REDNI BROJ</w:t>
            </w:r>
          </w:p>
        </w:tc>
        <w:tc>
          <w:tcPr>
            <w:tcW w:w="5638" w:type="dxa"/>
            <w:shd w:val="clear" w:color="auto" w:fill="A3DBFF"/>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AKTIVNOST</w:t>
            </w:r>
          </w:p>
        </w:tc>
        <w:tc>
          <w:tcPr>
            <w:tcW w:w="1570" w:type="dxa"/>
            <w:shd w:val="clear" w:color="auto" w:fill="A3DBFF"/>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IZNOS (EUR)</w:t>
            </w:r>
          </w:p>
        </w:tc>
      </w:tr>
      <w:tr w:rsidR="00777ABF" w:rsidRPr="00777ABF" w:rsidTr="00F57898">
        <w:trPr>
          <w:trHeight w:val="276"/>
        </w:trPr>
        <w:tc>
          <w:tcPr>
            <w:tcW w:w="1101" w:type="dxa"/>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lastRenderedPageBreak/>
              <w:t>1</w:t>
            </w:r>
          </w:p>
        </w:tc>
        <w:tc>
          <w:tcPr>
            <w:tcW w:w="5638" w:type="dxa"/>
          </w:tcPr>
          <w:p w:rsidR="00777ABF" w:rsidRPr="00777ABF" w:rsidRDefault="00777ABF" w:rsidP="00777ABF">
            <w:pPr>
              <w:suppressLineNumbers/>
              <w:suppressAutoHyphens/>
              <w:snapToGrid w:val="0"/>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DVD GORNJI BOGIĆEVCI</w:t>
            </w:r>
          </w:p>
        </w:tc>
        <w:tc>
          <w:tcPr>
            <w:tcW w:w="1570" w:type="dxa"/>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14.000,00</w:t>
            </w:r>
          </w:p>
        </w:tc>
      </w:tr>
      <w:tr w:rsidR="00777ABF" w:rsidRPr="00777ABF" w:rsidTr="00F57898">
        <w:trPr>
          <w:trHeight w:val="276"/>
        </w:trPr>
        <w:tc>
          <w:tcPr>
            <w:tcW w:w="1101" w:type="dxa"/>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2</w:t>
            </w:r>
          </w:p>
        </w:tc>
        <w:tc>
          <w:tcPr>
            <w:tcW w:w="5638" w:type="dxa"/>
          </w:tcPr>
          <w:p w:rsidR="00777ABF" w:rsidRPr="00777ABF" w:rsidRDefault="00777ABF" w:rsidP="00777ABF">
            <w:pPr>
              <w:suppressLineNumbers/>
              <w:suppressAutoHyphens/>
              <w:snapToGrid w:val="0"/>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CIVILNA ZAŠTITA</w:t>
            </w:r>
          </w:p>
        </w:tc>
        <w:tc>
          <w:tcPr>
            <w:tcW w:w="1570" w:type="dxa"/>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4.700,00</w:t>
            </w:r>
          </w:p>
        </w:tc>
      </w:tr>
      <w:tr w:rsidR="00777ABF" w:rsidRPr="00777ABF" w:rsidTr="00F57898">
        <w:trPr>
          <w:trHeight w:val="276"/>
        </w:trPr>
        <w:tc>
          <w:tcPr>
            <w:tcW w:w="1101" w:type="dxa"/>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3</w:t>
            </w:r>
          </w:p>
        </w:tc>
        <w:tc>
          <w:tcPr>
            <w:tcW w:w="5638" w:type="dxa"/>
          </w:tcPr>
          <w:p w:rsidR="00777ABF" w:rsidRPr="00777ABF" w:rsidRDefault="00777ABF" w:rsidP="00777ABF">
            <w:pPr>
              <w:suppressLineNumbers/>
              <w:suppressAutoHyphens/>
              <w:snapToGrid w:val="0"/>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SUFINANCIRANJE GORSKE SLUŽBE SPAŠAVANJA</w:t>
            </w:r>
          </w:p>
        </w:tc>
        <w:tc>
          <w:tcPr>
            <w:tcW w:w="1570" w:type="dxa"/>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700,00</w:t>
            </w:r>
          </w:p>
        </w:tc>
      </w:tr>
      <w:tr w:rsidR="00777ABF" w:rsidRPr="00777ABF" w:rsidTr="00F57898">
        <w:trPr>
          <w:trHeight w:val="276"/>
        </w:trPr>
        <w:tc>
          <w:tcPr>
            <w:tcW w:w="1101" w:type="dxa"/>
            <w:shd w:val="clear" w:color="auto" w:fill="A3DBFF"/>
          </w:tcPr>
          <w:p w:rsidR="00777ABF" w:rsidRPr="00777ABF" w:rsidRDefault="00777ABF" w:rsidP="00777ABF">
            <w:pPr>
              <w:suppressLineNumbers/>
              <w:suppressAutoHyphens/>
              <w:snapToGrid w:val="0"/>
              <w:spacing w:after="0" w:line="240" w:lineRule="auto"/>
              <w:rPr>
                <w:rFonts w:ascii="Times New Roman" w:eastAsia="Times New Roman" w:hAnsi="Times New Roman" w:cs="Times New Roman"/>
                <w:sz w:val="24"/>
                <w:szCs w:val="24"/>
                <w:lang w:val="en-GB" w:eastAsia="ar-SA"/>
              </w:rPr>
            </w:pPr>
          </w:p>
        </w:tc>
        <w:tc>
          <w:tcPr>
            <w:tcW w:w="5638" w:type="dxa"/>
            <w:shd w:val="clear" w:color="auto" w:fill="A3DBFF"/>
          </w:tcPr>
          <w:p w:rsidR="00777ABF" w:rsidRPr="00777ABF" w:rsidRDefault="00777ABF" w:rsidP="00777ABF">
            <w:pPr>
              <w:suppressLineNumbers/>
              <w:suppressAutoHyphens/>
              <w:snapToGrid w:val="0"/>
              <w:spacing w:after="0" w:line="240" w:lineRule="auto"/>
              <w:rPr>
                <w:rFonts w:ascii="Times New Roman" w:eastAsia="Times New Roman" w:hAnsi="Times New Roman" w:cs="Times New Roman"/>
                <w:b/>
                <w:sz w:val="24"/>
                <w:szCs w:val="24"/>
                <w:lang w:val="en-GB" w:eastAsia="ar-SA"/>
              </w:rPr>
            </w:pPr>
            <w:r w:rsidRPr="00777ABF">
              <w:rPr>
                <w:rFonts w:ascii="Times New Roman" w:eastAsia="Times New Roman" w:hAnsi="Times New Roman" w:cs="Times New Roman"/>
                <w:b/>
                <w:sz w:val="24"/>
                <w:szCs w:val="24"/>
                <w:lang w:val="en-GB" w:eastAsia="ar-SA"/>
              </w:rPr>
              <w:t>UKUPNO:</w:t>
            </w:r>
          </w:p>
        </w:tc>
        <w:tc>
          <w:tcPr>
            <w:tcW w:w="1570" w:type="dxa"/>
            <w:shd w:val="clear" w:color="auto" w:fill="A3DBFF"/>
          </w:tcPr>
          <w:p w:rsidR="00777ABF" w:rsidRPr="00777ABF" w:rsidRDefault="00777ABF" w:rsidP="00777ABF">
            <w:pPr>
              <w:suppressLineNumbers/>
              <w:suppressAutoHyphens/>
              <w:snapToGrid w:val="0"/>
              <w:spacing w:after="0" w:line="240" w:lineRule="auto"/>
              <w:jc w:val="center"/>
              <w:rPr>
                <w:rFonts w:ascii="Times New Roman" w:eastAsia="Times New Roman" w:hAnsi="Times New Roman" w:cs="Times New Roman"/>
                <w:b/>
                <w:sz w:val="24"/>
                <w:szCs w:val="24"/>
                <w:lang w:val="en-GB" w:eastAsia="ar-SA"/>
              </w:rPr>
            </w:pPr>
            <w:r w:rsidRPr="00777ABF">
              <w:rPr>
                <w:rFonts w:ascii="Times New Roman" w:eastAsia="Times New Roman" w:hAnsi="Times New Roman" w:cs="Times New Roman"/>
                <w:b/>
                <w:sz w:val="24"/>
                <w:szCs w:val="24"/>
                <w:lang w:val="en-GB" w:eastAsia="ar-SA"/>
              </w:rPr>
              <w:t>19.400,00</w:t>
            </w:r>
          </w:p>
        </w:tc>
      </w:tr>
    </w:tbl>
    <w:p w:rsidR="00777ABF" w:rsidRPr="00777ABF" w:rsidRDefault="00777ABF" w:rsidP="00777ABF">
      <w:pPr>
        <w:suppressAutoHyphens/>
        <w:spacing w:after="0" w:line="240" w:lineRule="auto"/>
        <w:rPr>
          <w:rFonts w:ascii="Times New Roman" w:eastAsia="Times New Roman" w:hAnsi="Times New Roman" w:cs="Times New Roman"/>
          <w:b/>
          <w:bCs/>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sz w:val="24"/>
          <w:szCs w:val="24"/>
          <w:lang w:eastAsia="ar-SA"/>
        </w:rPr>
      </w:pPr>
      <w:r w:rsidRPr="00777ABF">
        <w:rPr>
          <w:rFonts w:ascii="Times New Roman" w:eastAsia="Times New Roman" w:hAnsi="Times New Roman" w:cs="Times New Roman"/>
          <w:b/>
          <w:sz w:val="24"/>
          <w:szCs w:val="24"/>
          <w:lang w:eastAsia="ar-SA"/>
        </w:rPr>
        <w:t>Članak 2.</w:t>
      </w:r>
    </w:p>
    <w:p w:rsidR="00777ABF" w:rsidRPr="00777ABF" w:rsidRDefault="00777ABF" w:rsidP="00777ABF">
      <w:pPr>
        <w:suppressAutoHyphens/>
        <w:spacing w:after="0" w:line="240" w:lineRule="auto"/>
        <w:jc w:val="center"/>
        <w:rPr>
          <w:rFonts w:ascii="Times New Roman" w:eastAsia="Times New Roman" w:hAnsi="Times New Roman" w:cs="Times New Roman"/>
          <w:bCs/>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bCs/>
          <w:sz w:val="24"/>
          <w:szCs w:val="24"/>
          <w:lang w:eastAsia="ar-SA"/>
        </w:rPr>
      </w:pPr>
      <w:r w:rsidRPr="00777ABF">
        <w:rPr>
          <w:rFonts w:ascii="Times New Roman" w:eastAsia="Times New Roman" w:hAnsi="Times New Roman" w:cs="Times New Roman"/>
          <w:bCs/>
          <w:sz w:val="24"/>
          <w:szCs w:val="24"/>
          <w:lang w:eastAsia="ar-SA"/>
        </w:rPr>
        <w:t>Ovaj Program stupa na snagu osmi dan od dana objave u “Službenom glasniku Općine Gornji Bogićevci“.</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val="en-GB" w:eastAsia="ar-SA"/>
        </w:rPr>
      </w:pPr>
      <w:r w:rsidRPr="00777ABF">
        <w:rPr>
          <w:rFonts w:ascii="Times New Roman" w:eastAsia="Times New Roman" w:hAnsi="Times New Roman" w:cs="Times New Roman"/>
          <w:bCs/>
          <w:sz w:val="20"/>
          <w:szCs w:val="24"/>
          <w:lang w:val="en-GB" w:eastAsia="ar-SA"/>
        </w:rPr>
        <w:tab/>
      </w:r>
      <w:r w:rsidRPr="00777ABF">
        <w:rPr>
          <w:rFonts w:ascii="Times New Roman" w:eastAsia="Times New Roman" w:hAnsi="Times New Roman" w:cs="Times New Roman"/>
          <w:b/>
          <w:i/>
          <w:sz w:val="24"/>
          <w:szCs w:val="24"/>
          <w:lang w:val="en-GB" w:eastAsia="ar-SA"/>
        </w:rPr>
        <w:t xml:space="preserve">                    </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val="en-GB"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iCs/>
          <w:sz w:val="24"/>
          <w:szCs w:val="24"/>
          <w:lang w:val="en-GB" w:eastAsia="ar-SA"/>
        </w:rPr>
      </w:pPr>
      <w:r w:rsidRPr="00777ABF">
        <w:rPr>
          <w:rFonts w:ascii="Times New Roman" w:eastAsia="Times New Roman" w:hAnsi="Times New Roman" w:cs="Times New Roman"/>
          <w:b/>
          <w:iCs/>
          <w:sz w:val="24"/>
          <w:szCs w:val="24"/>
          <w:lang w:val="en-GB" w:eastAsia="ar-SA"/>
        </w:rPr>
        <w:t>OPĆINSKO VIJEĆE</w:t>
      </w:r>
      <w:r w:rsidRPr="00777ABF">
        <w:rPr>
          <w:rFonts w:ascii="Times New Roman" w:eastAsia="Times New Roman" w:hAnsi="Times New Roman" w:cs="Times New Roman"/>
          <w:b/>
          <w:i/>
          <w:sz w:val="24"/>
          <w:szCs w:val="24"/>
          <w:lang w:val="en-GB" w:eastAsia="ar-SA"/>
        </w:rPr>
        <w:t xml:space="preserve">  </w:t>
      </w:r>
      <w:r w:rsidRPr="00777ABF">
        <w:rPr>
          <w:rFonts w:ascii="Times New Roman" w:eastAsia="Times New Roman" w:hAnsi="Times New Roman" w:cs="Times New Roman"/>
          <w:b/>
          <w:iCs/>
          <w:sz w:val="24"/>
          <w:szCs w:val="24"/>
          <w:lang w:val="en-GB" w:eastAsia="ar-SA"/>
        </w:rPr>
        <w:t>OPĆINE GORNJI BOGIĆEVCI</w:t>
      </w:r>
    </w:p>
    <w:p w:rsidR="00777ABF" w:rsidRPr="00777ABF" w:rsidRDefault="00777ABF" w:rsidP="00777ABF">
      <w:pPr>
        <w:suppressAutoHyphens/>
        <w:spacing w:after="0" w:line="240" w:lineRule="auto"/>
        <w:rPr>
          <w:rFonts w:ascii="Times New Roman" w:eastAsia="Times New Roman" w:hAnsi="Times New Roman" w:cs="Times New Roman"/>
          <w:b/>
          <w:iCs/>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bCs/>
          <w:color w:val="000000"/>
          <w:sz w:val="24"/>
          <w:szCs w:val="24"/>
          <w:lang w:eastAsia="ar-SA"/>
        </w:rPr>
      </w:pPr>
      <w:r w:rsidRPr="00777ABF">
        <w:rPr>
          <w:rFonts w:ascii="Times New Roman" w:eastAsia="Times New Roman" w:hAnsi="Times New Roman" w:cs="Times New Roman"/>
          <w:bCs/>
          <w:color w:val="000000"/>
          <w:sz w:val="24"/>
          <w:szCs w:val="24"/>
          <w:lang w:eastAsia="ar-SA"/>
        </w:rPr>
        <w:t>KLASA: 400-05-25-02-01</w:t>
      </w:r>
    </w:p>
    <w:p w:rsidR="00777ABF" w:rsidRPr="00777ABF" w:rsidRDefault="00777ABF" w:rsidP="00777ABF">
      <w:pPr>
        <w:suppressAutoHyphens/>
        <w:spacing w:after="0" w:line="240" w:lineRule="auto"/>
        <w:rPr>
          <w:rFonts w:ascii="Times New Roman" w:eastAsia="Times New Roman" w:hAnsi="Times New Roman" w:cs="Times New Roman"/>
          <w:bCs/>
          <w:color w:val="000000"/>
          <w:sz w:val="24"/>
          <w:szCs w:val="24"/>
          <w:lang w:eastAsia="ar-SA"/>
        </w:rPr>
      </w:pPr>
      <w:r w:rsidRPr="00777ABF">
        <w:rPr>
          <w:rFonts w:ascii="Times New Roman" w:eastAsia="Times New Roman" w:hAnsi="Times New Roman" w:cs="Times New Roman"/>
          <w:bCs/>
          <w:color w:val="000000"/>
          <w:sz w:val="24"/>
          <w:szCs w:val="24"/>
          <w:lang w:eastAsia="ar-SA"/>
        </w:rPr>
        <w:t>URBROJ: 2178-22-03-25-0</w:t>
      </w:r>
      <w:r w:rsidRPr="00777ABF">
        <w:rPr>
          <w:rFonts w:ascii="Times New Roman" w:eastAsia="Times New Roman" w:hAnsi="Times New Roman" w:cs="Times New Roman"/>
          <w:bCs/>
          <w:color w:val="000000"/>
          <w:sz w:val="24"/>
          <w:szCs w:val="20"/>
          <w:lang w:eastAsia="ar-SA"/>
        </w:rPr>
        <w:t>8</w:t>
      </w:r>
    </w:p>
    <w:p w:rsidR="00777ABF" w:rsidRPr="00777ABF" w:rsidRDefault="00777ABF" w:rsidP="00777ABF">
      <w:pPr>
        <w:keepNext/>
        <w:suppressAutoHyphens/>
        <w:spacing w:after="0" w:line="240" w:lineRule="auto"/>
        <w:ind w:left="576" w:hanging="576"/>
        <w:jc w:val="both"/>
        <w:outlineLvl w:val="1"/>
        <w:rPr>
          <w:rFonts w:ascii="Times New Roman" w:eastAsia="Times New Roman" w:hAnsi="Times New Roman" w:cs="Times New Roman"/>
          <w:bCs/>
          <w:color w:val="000000"/>
          <w:sz w:val="24"/>
          <w:szCs w:val="24"/>
          <w:lang w:eastAsia="ar-SA"/>
        </w:rPr>
      </w:pPr>
      <w:r w:rsidRPr="00777ABF">
        <w:rPr>
          <w:rFonts w:ascii="Times New Roman" w:eastAsia="Times New Roman" w:hAnsi="Times New Roman" w:cs="Times New Roman"/>
          <w:bCs/>
          <w:color w:val="000000"/>
          <w:sz w:val="24"/>
          <w:szCs w:val="24"/>
          <w:lang w:eastAsia="ar-SA"/>
        </w:rPr>
        <w:t>Gornji Bogićevci, 22.prosinca 2025. godine</w:t>
      </w:r>
    </w:p>
    <w:p w:rsidR="00777ABF" w:rsidRPr="00777ABF" w:rsidRDefault="00777ABF" w:rsidP="00777ABF">
      <w:pPr>
        <w:suppressAutoHyphens/>
        <w:spacing w:after="0" w:line="240" w:lineRule="auto"/>
        <w:jc w:val="center"/>
        <w:rPr>
          <w:rFonts w:ascii="Times New Roman" w:eastAsia="Times New Roman" w:hAnsi="Times New Roman" w:cs="Times New Roman"/>
          <w:b/>
          <w:i/>
          <w:sz w:val="24"/>
          <w:szCs w:val="24"/>
          <w:lang w:val="en-GB" w:eastAsia="ar-SA"/>
        </w:rPr>
      </w:pP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 xml:space="preserve">         </w:t>
      </w: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ind w:firstLine="720"/>
        <w:jc w:val="right"/>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 xml:space="preserve">  </w:t>
      </w:r>
      <w:r w:rsidRPr="00777ABF">
        <w:rPr>
          <w:rFonts w:ascii="Times New Roman" w:eastAsia="Times New Roman" w:hAnsi="Times New Roman" w:cs="Times New Roman"/>
          <w:sz w:val="24"/>
          <w:szCs w:val="24"/>
          <w:lang w:val="en-GB" w:eastAsia="ar-SA"/>
        </w:rPr>
        <w:tab/>
      </w:r>
      <w:r w:rsidRPr="00777ABF">
        <w:rPr>
          <w:rFonts w:ascii="Times New Roman" w:eastAsia="Times New Roman" w:hAnsi="Times New Roman" w:cs="Times New Roman"/>
          <w:sz w:val="24"/>
          <w:szCs w:val="24"/>
          <w:lang w:val="en-GB" w:eastAsia="ar-SA"/>
        </w:rPr>
        <w:tab/>
      </w:r>
      <w:r w:rsidRPr="00777ABF">
        <w:rPr>
          <w:rFonts w:ascii="Times New Roman" w:eastAsia="Times New Roman" w:hAnsi="Times New Roman" w:cs="Times New Roman"/>
          <w:sz w:val="24"/>
          <w:szCs w:val="24"/>
          <w:lang w:val="en-GB" w:eastAsia="ar-SA"/>
        </w:rPr>
        <w:tab/>
      </w:r>
      <w:r w:rsidRPr="00777ABF">
        <w:rPr>
          <w:rFonts w:ascii="Times New Roman" w:eastAsia="Times New Roman" w:hAnsi="Times New Roman" w:cs="Times New Roman"/>
          <w:sz w:val="24"/>
          <w:szCs w:val="24"/>
          <w:lang w:val="en-GB" w:eastAsia="ar-SA"/>
        </w:rPr>
        <w:tab/>
        <w:t>PREDSJEDNIK OPĆINSKOG VIJEĆA</w:t>
      </w:r>
    </w:p>
    <w:p w:rsidR="00777ABF" w:rsidRPr="00777ABF" w:rsidRDefault="00777ABF" w:rsidP="00777ABF">
      <w:pPr>
        <w:suppressAutoHyphens/>
        <w:spacing w:after="0" w:line="240" w:lineRule="auto"/>
        <w:ind w:left="4956" w:firstLine="708"/>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Željko Klarić</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Dostaviti:</w:t>
      </w:r>
    </w:p>
    <w:p w:rsidR="00777ABF" w:rsidRPr="00777ABF" w:rsidRDefault="00777ABF" w:rsidP="00A66748">
      <w:pPr>
        <w:numPr>
          <w:ilvl w:val="0"/>
          <w:numId w:val="43"/>
        </w:numPr>
        <w:suppressAutoHyphens/>
        <w:spacing w:after="0" w:line="240" w:lineRule="auto"/>
        <w:contextualSpacing/>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Jedinstveni upravni odjel</w:t>
      </w:r>
    </w:p>
    <w:p w:rsidR="00777ABF" w:rsidRPr="00777ABF" w:rsidRDefault="00777ABF" w:rsidP="00A66748">
      <w:pPr>
        <w:numPr>
          <w:ilvl w:val="0"/>
          <w:numId w:val="43"/>
        </w:numPr>
        <w:suppressAutoHyphens/>
        <w:spacing w:after="0" w:line="240" w:lineRule="auto"/>
        <w:contextualSpacing/>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Službeni glasnik Općine Gornji Bogićevci</w:t>
      </w:r>
    </w:p>
    <w:p w:rsidR="00777ABF" w:rsidRPr="00777ABF" w:rsidRDefault="00777ABF" w:rsidP="00A66748">
      <w:pPr>
        <w:numPr>
          <w:ilvl w:val="0"/>
          <w:numId w:val="43"/>
        </w:numPr>
        <w:suppressAutoHyphens/>
        <w:spacing w:after="0" w:line="240" w:lineRule="auto"/>
        <w:contextualSpacing/>
        <w:rPr>
          <w:rFonts w:ascii="Times New Roman" w:eastAsia="Times New Roman" w:hAnsi="Times New Roman" w:cs="Times New Roman"/>
          <w:sz w:val="24"/>
          <w:szCs w:val="24"/>
          <w:lang w:val="en-GB" w:eastAsia="ar-SA"/>
        </w:rPr>
      </w:pPr>
      <w:r w:rsidRPr="00777ABF">
        <w:rPr>
          <w:rFonts w:ascii="Times New Roman" w:eastAsia="Times New Roman" w:hAnsi="Times New Roman" w:cs="Times New Roman"/>
          <w:sz w:val="24"/>
          <w:szCs w:val="24"/>
          <w:lang w:val="en-GB" w:eastAsia="ar-SA"/>
        </w:rPr>
        <w:t>Pismohrana.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val="en-GB" w:eastAsia="ar-SA"/>
        </w:rPr>
      </w:pPr>
    </w:p>
    <w:p w:rsidR="00777ABF" w:rsidRPr="00777ABF" w:rsidRDefault="00777ABF" w:rsidP="00777ABF">
      <w:pPr>
        <w:suppressAutoHyphens/>
        <w:spacing w:after="0" w:line="240" w:lineRule="auto"/>
        <w:rPr>
          <w:rFonts w:ascii="Times New Roman" w:eastAsia="Times New Roman" w:hAnsi="Times New Roman" w:cs="Times New Roman"/>
          <w:bCs/>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bCs/>
          <w:sz w:val="24"/>
          <w:szCs w:val="24"/>
          <w:lang w:eastAsia="ar-SA"/>
        </w:rPr>
      </w:pPr>
    </w:p>
    <w:p w:rsidR="00777ABF" w:rsidRDefault="00777ABF" w:rsidP="00777ABF">
      <w:pPr>
        <w:spacing w:line="360" w:lineRule="auto"/>
        <w:rPr>
          <w:rFonts w:ascii="Times New Roman" w:hAnsi="Times New Roman" w:cs="Times New Roman"/>
          <w:b/>
          <w:bCs/>
          <w:sz w:val="24"/>
          <w:szCs w:val="24"/>
        </w:rPr>
      </w:pPr>
    </w:p>
    <w:p w:rsidR="00777ABF" w:rsidRDefault="00777ABF" w:rsidP="00777ABF">
      <w:pPr>
        <w:spacing w:line="360" w:lineRule="auto"/>
        <w:rPr>
          <w:rFonts w:ascii="Times New Roman" w:hAnsi="Times New Roman" w:cs="Times New Roman"/>
          <w:b/>
          <w:bCs/>
          <w:sz w:val="24"/>
          <w:szCs w:val="24"/>
        </w:rPr>
      </w:pPr>
    </w:p>
    <w:p w:rsidR="00777ABF" w:rsidRPr="00777ABF" w:rsidRDefault="00777ABF" w:rsidP="00777ABF">
      <w:pPr>
        <w:suppressAutoHyphens/>
        <w:spacing w:after="12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noProof/>
          <w:sz w:val="24"/>
          <w:szCs w:val="24"/>
          <w:lang w:eastAsia="hr-HR"/>
        </w:rPr>
        <w:drawing>
          <wp:inline distT="0" distB="0" distL="0" distR="0">
            <wp:extent cx="485775" cy="647700"/>
            <wp:effectExtent l="0" t="0" r="0" b="0"/>
            <wp:docPr id="68034777"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777ABF" w:rsidRPr="00777ABF" w:rsidRDefault="00777ABF" w:rsidP="00777ABF">
      <w:pPr>
        <w:suppressAutoHyphens/>
        <w:spacing w:after="120" w:line="240" w:lineRule="auto"/>
        <w:ind w:firstLine="720"/>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REPUBLIKA HRVATSKA</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BRODSKO-POSAVSKA ŽUPANIJA</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OPĆINA GORNJI BOGIĆEVCI</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OPĆINSKO VIJEĆE</w:t>
      </w:r>
    </w:p>
    <w:p w:rsidR="00777ABF" w:rsidRPr="00777ABF" w:rsidRDefault="00777ABF" w:rsidP="00777ABF">
      <w:pPr>
        <w:suppressAutoHyphens/>
        <w:spacing w:after="0" w:line="240" w:lineRule="auto"/>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lastRenderedPageBreak/>
        <w:t xml:space="preserve">Trg hrvatskih branitelja 1, </w:t>
      </w:r>
    </w:p>
    <w:p w:rsidR="00777ABF" w:rsidRPr="00777ABF" w:rsidRDefault="00777ABF" w:rsidP="00777ABF">
      <w:pPr>
        <w:suppressAutoHyphens/>
        <w:spacing w:after="0" w:line="240" w:lineRule="auto"/>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35429 Gornji Bogićevci</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OIB: 89414039518</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Tel: 035/375-056</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ab/>
        <w:t>Na temelju članka 21. Zakona o postupanju s nezakonito izgrađenim zgradama („Narodne novine“ broj 86/12, 143/13, 65/17 i 14/19) i članka 39. stavak 5 Statuta općine Gornji Bogićevci („Službeni glasnik Općine Gornji Bogićevci“, broj 02/21, Općinsko vijeće općine Gornji Bogićevci na svojoj 5. sjednici održanoj 22. prosinca 2025. godine, donosi</w:t>
      </w:r>
    </w:p>
    <w:p w:rsidR="00777ABF" w:rsidRPr="00777ABF" w:rsidRDefault="00777ABF" w:rsidP="00777ABF">
      <w:pPr>
        <w:suppressAutoHyphens/>
        <w:spacing w:after="0" w:line="240" w:lineRule="auto"/>
        <w:jc w:val="both"/>
        <w:rPr>
          <w:rFonts w:ascii="Times New Roman" w:eastAsia="Times New Roman" w:hAnsi="Times New Roman" w:cs="Times New Roman"/>
          <w:b/>
          <w:bCs/>
          <w:color w:val="000000"/>
          <w:sz w:val="28"/>
          <w:szCs w:val="28"/>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b/>
          <w:bCs/>
          <w:color w:val="000000"/>
          <w:sz w:val="28"/>
          <w:szCs w:val="28"/>
          <w:lang w:eastAsia="ar-SA"/>
        </w:rPr>
        <w:t>PROGRAM UTROŠKA NAKNADE ZA ZADRŽAVANJE NEZAKONITO IZGRAĐENIH ZGRADA U PROSTORU NA PODRUČJU OPĆINE GORNJI BOGIĆEVCI ZA 2026.</w:t>
      </w:r>
      <w:r w:rsidRPr="00777ABF">
        <w:rPr>
          <w:rFonts w:ascii="Times New Roman" w:eastAsia="Times New Roman" w:hAnsi="Times New Roman" w:cs="Times New Roman"/>
          <w:b/>
          <w:bCs/>
          <w:color w:val="000000"/>
          <w:sz w:val="24"/>
          <w:szCs w:val="24"/>
          <w:lang w:eastAsia="ar-SA"/>
        </w:rPr>
        <w:t xml:space="preserve"> GODINU</w:t>
      </w:r>
    </w:p>
    <w:p w:rsidR="00777ABF" w:rsidRPr="00777ABF" w:rsidRDefault="00777ABF" w:rsidP="00777ABF">
      <w:pPr>
        <w:suppressAutoHyphens/>
        <w:spacing w:after="0" w:line="240" w:lineRule="auto"/>
        <w:jc w:val="center"/>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color w:val="000000"/>
          <w:sz w:val="24"/>
          <w:szCs w:val="24"/>
          <w:lang w:eastAsia="ar-SA"/>
        </w:rPr>
      </w:pPr>
      <w:r w:rsidRPr="00777ABF">
        <w:rPr>
          <w:rFonts w:ascii="Times New Roman" w:eastAsia="Times New Roman" w:hAnsi="Times New Roman" w:cs="Times New Roman"/>
          <w:b/>
          <w:bCs/>
          <w:color w:val="000000"/>
          <w:sz w:val="24"/>
          <w:szCs w:val="24"/>
          <w:lang w:eastAsia="ar-SA"/>
        </w:rPr>
        <w:t>Članak 1.</w:t>
      </w:r>
    </w:p>
    <w:p w:rsidR="00777ABF" w:rsidRPr="00777ABF" w:rsidRDefault="00777ABF" w:rsidP="00777ABF">
      <w:pPr>
        <w:suppressAutoHyphens/>
        <w:spacing w:after="0" w:line="240" w:lineRule="auto"/>
        <w:jc w:val="both"/>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 xml:space="preserve">Programom utroška sredstava naknade za zadržavanje nezakonito izgrađenih zgrada u prostoru Općine Gornji Bogićevci u 2026. godini utvrđuje se namjena korištenja naknade za zadržavanje nezakonito izgrađene zgrade u prostoru koja je prihod Općine Gornji Bogićevci za 2026. godinu. </w:t>
      </w:r>
    </w:p>
    <w:p w:rsidR="00777ABF" w:rsidRPr="00777ABF" w:rsidRDefault="00777ABF" w:rsidP="00777ABF">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 xml:space="preserve">Trideset posto ukupnih sredstava naknade za zadržavanje nezakonito izgrađenih zgrada u prostoru prihod su jedinice lokalne samouprave na čijem se području nalazi nezakonito izgrađena zgrada, odnosno prihod su Proračuna Općine Gornji Bogićevci.  </w:t>
      </w:r>
    </w:p>
    <w:p w:rsidR="00777ABF" w:rsidRPr="00777ABF" w:rsidRDefault="00777ABF" w:rsidP="00777ABF">
      <w:pPr>
        <w:suppressAutoHyphens/>
        <w:spacing w:after="0" w:line="240" w:lineRule="auto"/>
        <w:ind w:firstLine="720"/>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Sredstva se koriste namjenski sukladno članku 31. stavak 3. Zakona o postupanju s nezakonito izgrađenim zgradama („Narodne novine“ broj 86/12, 143/13, 65/17 i 14/19).</w:t>
      </w:r>
    </w:p>
    <w:p w:rsidR="00777ABF" w:rsidRPr="00777ABF" w:rsidRDefault="00777ABF" w:rsidP="00777ABF">
      <w:pPr>
        <w:suppressAutoHyphens/>
        <w:spacing w:after="0" w:line="240" w:lineRule="auto"/>
        <w:ind w:firstLine="720"/>
        <w:jc w:val="both"/>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color w:val="000000"/>
          <w:sz w:val="24"/>
          <w:szCs w:val="24"/>
          <w:lang w:eastAsia="ar-SA"/>
        </w:rPr>
      </w:pPr>
      <w:r w:rsidRPr="00777ABF">
        <w:rPr>
          <w:rFonts w:ascii="Times New Roman" w:eastAsia="Times New Roman" w:hAnsi="Times New Roman" w:cs="Times New Roman"/>
          <w:b/>
          <w:bCs/>
          <w:color w:val="000000"/>
          <w:sz w:val="24"/>
          <w:szCs w:val="24"/>
          <w:lang w:eastAsia="ar-SA"/>
        </w:rPr>
        <w:t>Članak 2.</w:t>
      </w:r>
    </w:p>
    <w:p w:rsidR="00777ABF" w:rsidRPr="00777ABF" w:rsidRDefault="00777ABF" w:rsidP="00777ABF">
      <w:pPr>
        <w:suppressAutoHyphens/>
        <w:spacing w:after="0" w:line="240" w:lineRule="auto"/>
        <w:jc w:val="center"/>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 xml:space="preserve">U Proračunu Općine Gornji Bogićevci za 2026. godinu planiran je prihod od naknade za zadržavanje nezakonito izgrađene zgrade u prostoru u iznosu od </w:t>
      </w:r>
      <w:r w:rsidRPr="00777ABF">
        <w:rPr>
          <w:rFonts w:ascii="Times New Roman" w:eastAsia="Times New Roman" w:hAnsi="Times New Roman" w:cs="Times New Roman"/>
          <w:b/>
          <w:color w:val="000000"/>
          <w:sz w:val="24"/>
          <w:szCs w:val="24"/>
          <w:lang w:eastAsia="ar-SA"/>
        </w:rPr>
        <w:t>2.000,00 eura.</w:t>
      </w:r>
    </w:p>
    <w:p w:rsidR="00777ABF" w:rsidRPr="00777ABF" w:rsidRDefault="00777ABF" w:rsidP="00777ABF">
      <w:pPr>
        <w:suppressAutoHyphens/>
        <w:spacing w:after="0" w:line="240" w:lineRule="auto"/>
        <w:ind w:firstLine="708"/>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 xml:space="preserve">Sredstva iz prethodnog stavka utrošit će se za izradu dokumenta prostornog uređenja, i to za: </w:t>
      </w:r>
    </w:p>
    <w:p w:rsidR="00777ABF" w:rsidRPr="00777ABF" w:rsidRDefault="00777ABF" w:rsidP="00777ABF">
      <w:pPr>
        <w:suppressAutoHyphens/>
        <w:spacing w:after="0" w:line="240" w:lineRule="auto"/>
        <w:ind w:firstLine="720"/>
        <w:jc w:val="both"/>
        <w:rPr>
          <w:rFonts w:ascii="Times New Roman" w:eastAsia="Times New Roman" w:hAnsi="Times New Roman" w:cs="Times New Roman"/>
          <w:b/>
          <w:color w:val="000000"/>
          <w:sz w:val="24"/>
          <w:szCs w:val="24"/>
          <w:lang w:eastAsia="ar-SA"/>
        </w:rPr>
      </w:pPr>
      <w:r w:rsidRPr="00777ABF">
        <w:rPr>
          <w:rFonts w:ascii="Times New Roman" w:eastAsia="Times New Roman" w:hAnsi="Times New Roman" w:cs="Times New Roman"/>
          <w:b/>
          <w:color w:val="000000"/>
          <w:sz w:val="24"/>
          <w:szCs w:val="24"/>
          <w:lang w:eastAsia="ar-SA"/>
        </w:rPr>
        <w:t>- Izmjene i dopune prostornog plana Gornji Bogićevci u 2026. godini.</w:t>
      </w:r>
    </w:p>
    <w:p w:rsidR="00777ABF" w:rsidRPr="00777ABF" w:rsidRDefault="00777ABF" w:rsidP="00777ABF">
      <w:pPr>
        <w:suppressAutoHyphens/>
        <w:spacing w:after="0" w:line="240" w:lineRule="auto"/>
        <w:jc w:val="both"/>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color w:val="000000"/>
          <w:sz w:val="24"/>
          <w:szCs w:val="24"/>
          <w:lang w:eastAsia="ar-SA"/>
        </w:rPr>
      </w:pPr>
      <w:r w:rsidRPr="00777ABF">
        <w:rPr>
          <w:rFonts w:ascii="Times New Roman" w:eastAsia="Times New Roman" w:hAnsi="Times New Roman" w:cs="Times New Roman"/>
          <w:b/>
          <w:bCs/>
          <w:color w:val="000000"/>
          <w:sz w:val="24"/>
          <w:szCs w:val="24"/>
          <w:lang w:eastAsia="ar-SA"/>
        </w:rPr>
        <w:t xml:space="preserve">Članak 3. </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p>
    <w:p w:rsidR="00777ABF" w:rsidRPr="00777ABF" w:rsidRDefault="00777ABF" w:rsidP="00777ABF">
      <w:pPr>
        <w:suppressAutoHyphens/>
        <w:spacing w:after="0" w:line="240" w:lineRule="auto"/>
        <w:jc w:val="both"/>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Ovaj Program stupa na snagu osmi dan od dana objave u "Službenom  glasniku Općine Gornji Bogićevci".</w:t>
      </w:r>
    </w:p>
    <w:p w:rsidR="00777ABF" w:rsidRPr="00777ABF" w:rsidRDefault="00777ABF" w:rsidP="00777ABF">
      <w:pPr>
        <w:suppressAutoHyphens/>
        <w:spacing w:after="0" w:line="240" w:lineRule="auto"/>
        <w:rPr>
          <w:rFonts w:ascii="Times New Roman" w:eastAsia="Times New Roman" w:hAnsi="Times New Roman" w:cs="Times New Roman"/>
          <w:b/>
          <w:i/>
          <w:color w:val="000000"/>
          <w:sz w:val="24"/>
          <w:szCs w:val="24"/>
          <w:lang w:eastAsia="ar-SA"/>
        </w:rPr>
      </w:pPr>
      <w:r w:rsidRPr="00777ABF">
        <w:rPr>
          <w:rFonts w:ascii="Times New Roman" w:eastAsia="Times New Roman" w:hAnsi="Times New Roman" w:cs="Times New Roman"/>
          <w:b/>
          <w:i/>
          <w:color w:val="000000"/>
          <w:sz w:val="24"/>
          <w:szCs w:val="24"/>
          <w:lang w:eastAsia="ar-SA"/>
        </w:rPr>
        <w:t xml:space="preserve">                                </w:t>
      </w:r>
    </w:p>
    <w:p w:rsidR="00777ABF" w:rsidRPr="00777ABF" w:rsidRDefault="00777ABF" w:rsidP="00777ABF">
      <w:pPr>
        <w:suppressAutoHyphens/>
        <w:spacing w:after="0" w:line="240" w:lineRule="auto"/>
        <w:rPr>
          <w:rFonts w:ascii="Times New Roman" w:eastAsia="Times New Roman" w:hAnsi="Times New Roman" w:cs="Times New Roman"/>
          <w:b/>
          <w:i/>
          <w:color w:val="000000"/>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iCs/>
          <w:color w:val="000000"/>
          <w:sz w:val="24"/>
          <w:szCs w:val="24"/>
          <w:lang w:eastAsia="ar-SA"/>
        </w:rPr>
      </w:pPr>
      <w:r w:rsidRPr="00777ABF">
        <w:rPr>
          <w:rFonts w:ascii="Times New Roman" w:eastAsia="Times New Roman" w:hAnsi="Times New Roman" w:cs="Times New Roman"/>
          <w:b/>
          <w:iCs/>
          <w:color w:val="000000"/>
          <w:sz w:val="24"/>
          <w:szCs w:val="24"/>
          <w:lang w:eastAsia="ar-SA"/>
        </w:rPr>
        <w:t>OPĆINSKO VIJEĆE</w:t>
      </w:r>
      <w:r w:rsidRPr="00777ABF">
        <w:rPr>
          <w:rFonts w:ascii="Times New Roman" w:eastAsia="Times New Roman" w:hAnsi="Times New Roman" w:cs="Times New Roman"/>
          <w:b/>
          <w:i/>
          <w:color w:val="000000"/>
          <w:sz w:val="24"/>
          <w:szCs w:val="24"/>
          <w:lang w:eastAsia="ar-SA"/>
        </w:rPr>
        <w:t xml:space="preserve">  </w:t>
      </w:r>
      <w:r w:rsidRPr="00777ABF">
        <w:rPr>
          <w:rFonts w:ascii="Times New Roman" w:eastAsia="Times New Roman" w:hAnsi="Times New Roman" w:cs="Times New Roman"/>
          <w:b/>
          <w:iCs/>
          <w:color w:val="000000"/>
          <w:sz w:val="24"/>
          <w:szCs w:val="24"/>
          <w:lang w:eastAsia="ar-SA"/>
        </w:rPr>
        <w:t>OPĆINE GORNJI BOGIĆEVCI</w:t>
      </w:r>
    </w:p>
    <w:p w:rsidR="00777ABF" w:rsidRPr="00777ABF" w:rsidRDefault="00777ABF" w:rsidP="00777ABF">
      <w:pPr>
        <w:suppressAutoHyphens/>
        <w:spacing w:after="0" w:line="240" w:lineRule="auto"/>
        <w:rPr>
          <w:rFonts w:ascii="Times New Roman" w:eastAsia="Times New Roman" w:hAnsi="Times New Roman" w:cs="Times New Roman"/>
          <w:b/>
          <w:iCs/>
          <w:color w:val="000000"/>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KLASA: 400-05-25-01-01</w:t>
      </w:r>
    </w:p>
    <w:p w:rsidR="00777ABF" w:rsidRPr="00777ABF" w:rsidRDefault="00777ABF" w:rsidP="00777ABF">
      <w:pPr>
        <w:suppressAutoHyphens/>
        <w:spacing w:after="0" w:line="240" w:lineRule="auto"/>
        <w:rPr>
          <w:rFonts w:ascii="Times New Roman" w:eastAsia="Times New Roman" w:hAnsi="Times New Roman" w:cs="Times New Roman"/>
          <w:color w:val="000000"/>
          <w:sz w:val="24"/>
          <w:szCs w:val="24"/>
          <w:lang w:eastAsia="ar-SA"/>
        </w:rPr>
      </w:pPr>
      <w:r w:rsidRPr="00777ABF">
        <w:rPr>
          <w:rFonts w:ascii="Times New Roman" w:eastAsia="Times New Roman" w:hAnsi="Times New Roman" w:cs="Times New Roman"/>
          <w:color w:val="000000"/>
          <w:sz w:val="24"/>
          <w:szCs w:val="24"/>
          <w:lang w:eastAsia="ar-SA"/>
        </w:rPr>
        <w:t>URBROJ: 2178-22-03-25-09</w:t>
      </w:r>
    </w:p>
    <w:p w:rsidR="00777ABF" w:rsidRPr="00777ABF" w:rsidRDefault="00777ABF" w:rsidP="00777ABF">
      <w:pPr>
        <w:suppressAutoHyphens/>
        <w:spacing w:after="0" w:line="240" w:lineRule="auto"/>
        <w:rPr>
          <w:rFonts w:ascii="Times New Roman" w:eastAsia="Times New Roman" w:hAnsi="Times New Roman" w:cs="Times New Roman"/>
          <w:b/>
          <w:i/>
          <w:color w:val="000000"/>
          <w:sz w:val="24"/>
          <w:szCs w:val="24"/>
          <w:lang w:eastAsia="ar-SA"/>
        </w:rPr>
      </w:pPr>
      <w:r w:rsidRPr="00777ABF">
        <w:rPr>
          <w:rFonts w:ascii="Times New Roman" w:eastAsia="Times New Roman" w:hAnsi="Times New Roman" w:cs="Times New Roman"/>
          <w:color w:val="000000"/>
          <w:sz w:val="24"/>
          <w:szCs w:val="24"/>
          <w:lang w:eastAsia="ar-SA"/>
        </w:rPr>
        <w:t>Gornji Bogićevci, 22. prosinca 2025. godine</w:t>
      </w: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PREDSJEDNIK OPĆINSKOG VIJEĆA</w:t>
      </w:r>
    </w:p>
    <w:p w:rsidR="00777ABF" w:rsidRPr="00777ABF" w:rsidRDefault="00777ABF" w:rsidP="00777ABF">
      <w:pPr>
        <w:suppressAutoHyphens/>
        <w:spacing w:after="0" w:line="240" w:lineRule="auto"/>
        <w:ind w:left="4956" w:firstLine="708"/>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Željko Klarić</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Dostaviti:</w:t>
      </w:r>
    </w:p>
    <w:p w:rsidR="00777ABF" w:rsidRPr="00777ABF" w:rsidRDefault="00777ABF" w:rsidP="00A66748">
      <w:pPr>
        <w:numPr>
          <w:ilvl w:val="0"/>
          <w:numId w:val="44"/>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Jedinstveni upravni odjel</w:t>
      </w:r>
    </w:p>
    <w:p w:rsidR="00777ABF" w:rsidRPr="00777ABF" w:rsidRDefault="00777ABF" w:rsidP="00A66748">
      <w:pPr>
        <w:numPr>
          <w:ilvl w:val="0"/>
          <w:numId w:val="44"/>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Službeni glasnik Općine Gornji Bogićevci</w:t>
      </w:r>
    </w:p>
    <w:p w:rsidR="00777ABF" w:rsidRPr="00777ABF" w:rsidRDefault="00777ABF" w:rsidP="00A66748">
      <w:pPr>
        <w:numPr>
          <w:ilvl w:val="0"/>
          <w:numId w:val="44"/>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Pismohrana.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Default="00777ABF" w:rsidP="00777ABF">
      <w:pPr>
        <w:spacing w:line="360" w:lineRule="auto"/>
        <w:rPr>
          <w:rFonts w:ascii="Times New Roman" w:hAnsi="Times New Roman" w:cs="Times New Roman"/>
          <w:b/>
          <w:bCs/>
          <w:sz w:val="24"/>
          <w:szCs w:val="24"/>
        </w:rPr>
      </w:pP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noProof/>
          <w:sz w:val="24"/>
          <w:szCs w:val="24"/>
          <w:lang w:eastAsia="hr-HR"/>
        </w:rPr>
        <w:drawing>
          <wp:inline distT="0" distB="0" distL="0" distR="0">
            <wp:extent cx="485775" cy="647700"/>
            <wp:effectExtent l="0" t="0" r="0" b="0"/>
            <wp:docPr id="1653361569"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5775" cy="647700"/>
                    </a:xfrm>
                    <a:prstGeom prst="rect">
                      <a:avLst/>
                    </a:prstGeom>
                    <a:noFill/>
                    <a:ln>
                      <a:noFill/>
                    </a:ln>
                  </pic:spPr>
                </pic:pic>
              </a:graphicData>
            </a:graphic>
          </wp:inline>
        </w:drawing>
      </w:r>
    </w:p>
    <w:p w:rsidR="00777ABF" w:rsidRPr="00777ABF" w:rsidRDefault="00777ABF" w:rsidP="00777ABF">
      <w:pPr>
        <w:suppressAutoHyphens/>
        <w:spacing w:after="0" w:line="240" w:lineRule="auto"/>
        <w:ind w:firstLine="720"/>
        <w:jc w:val="both"/>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REPUBLIKA HRVATSKA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BRODSKO-POSAVSKA ŽUPANIJA</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OPĆINA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OPĆINSKO VIJEĆE</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Trg hrvatskih branitelja 1, </w:t>
      </w:r>
    </w:p>
    <w:p w:rsidR="00777ABF" w:rsidRPr="00777ABF" w:rsidRDefault="00777ABF" w:rsidP="00777ABF">
      <w:pPr>
        <w:suppressAutoHyphens/>
        <w:spacing w:after="0" w:line="240" w:lineRule="auto"/>
        <w:jc w:val="both"/>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35429 Gornji Bogićevci</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OIB: 89414039518</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Tel: 035/375-056</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Na temelju članka 69. Zakona o šumama ("Narodne novine" broj 68/18, 115/18, 98/19, 32/20, 145/20 i 101/23) i članka 39. stavak 5 Statuta općine Gornji Bogićevci („Službeni glasnik Općine Gornji Bogićevci“, broj 02/21, Općinsko vijeće općine Gornji Bogićevci na svojoj 5. sjednici održanoj 22. prosinca 2025. godine, donosi</w:t>
      </w:r>
    </w:p>
    <w:p w:rsidR="00777ABF" w:rsidRPr="00777ABF" w:rsidRDefault="00777ABF" w:rsidP="00777ABF">
      <w:pPr>
        <w:suppressAutoHyphens/>
        <w:spacing w:after="0" w:line="240" w:lineRule="auto"/>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sz w:val="24"/>
          <w:szCs w:val="24"/>
          <w:lang w:eastAsia="ar-SA"/>
        </w:rPr>
        <w:t xml:space="preserve">                                                              </w:t>
      </w:r>
      <w:r w:rsidRPr="00777ABF">
        <w:rPr>
          <w:rFonts w:ascii="Times New Roman" w:eastAsia="Times New Roman" w:hAnsi="Times New Roman" w:cs="Times New Roman"/>
          <w:b/>
          <w:bCs/>
          <w:sz w:val="24"/>
          <w:szCs w:val="24"/>
          <w:lang w:eastAsia="ar-SA"/>
        </w:rPr>
        <w:t xml:space="preserve"> </w:t>
      </w:r>
    </w:p>
    <w:p w:rsidR="00777ABF" w:rsidRPr="00777ABF" w:rsidRDefault="00777ABF" w:rsidP="00777ABF">
      <w:pPr>
        <w:suppressAutoHyphens/>
        <w:spacing w:after="0" w:line="240" w:lineRule="auto"/>
        <w:jc w:val="center"/>
        <w:rPr>
          <w:rFonts w:ascii="Times New Roman" w:eastAsia="Times New Roman" w:hAnsi="Times New Roman" w:cs="Times New Roman"/>
          <w:b/>
          <w:sz w:val="28"/>
          <w:szCs w:val="28"/>
          <w:lang w:eastAsia="ar-SA"/>
        </w:rPr>
      </w:pPr>
      <w:r w:rsidRPr="00777ABF">
        <w:rPr>
          <w:rFonts w:ascii="Times New Roman" w:eastAsia="Times New Roman" w:hAnsi="Times New Roman" w:cs="Times New Roman"/>
          <w:b/>
          <w:sz w:val="28"/>
          <w:szCs w:val="28"/>
          <w:lang w:eastAsia="ar-SA"/>
        </w:rPr>
        <w:t>PROGRAM</w:t>
      </w:r>
    </w:p>
    <w:p w:rsidR="00777ABF" w:rsidRPr="00777ABF" w:rsidRDefault="00777ABF" w:rsidP="00777ABF">
      <w:pPr>
        <w:suppressAutoHyphens/>
        <w:spacing w:after="0" w:line="240" w:lineRule="auto"/>
        <w:jc w:val="center"/>
        <w:rPr>
          <w:rFonts w:ascii="Times New Roman" w:eastAsia="Times New Roman" w:hAnsi="Times New Roman" w:cs="Times New Roman"/>
          <w:b/>
          <w:sz w:val="28"/>
          <w:szCs w:val="28"/>
          <w:lang w:eastAsia="ar-SA"/>
        </w:rPr>
      </w:pPr>
      <w:r w:rsidRPr="00777ABF">
        <w:rPr>
          <w:rFonts w:ascii="Times New Roman" w:eastAsia="Times New Roman" w:hAnsi="Times New Roman" w:cs="Times New Roman"/>
          <w:b/>
          <w:sz w:val="28"/>
          <w:szCs w:val="28"/>
          <w:lang w:eastAsia="ar-SA"/>
        </w:rPr>
        <w:t>UTROŠKA SREDSTAVA ŠUMSKOG DOPRINOSA ZA 2026. GODINU</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b/>
          <w:bCs/>
          <w:sz w:val="24"/>
          <w:szCs w:val="24"/>
          <w:lang w:eastAsia="ar-SA"/>
        </w:rPr>
        <w:t>Članak 1</w:t>
      </w:r>
      <w:r w:rsidRPr="00777ABF">
        <w:rPr>
          <w:rFonts w:ascii="Times New Roman" w:eastAsia="Times New Roman" w:hAnsi="Times New Roman" w:cs="Times New Roman"/>
          <w:sz w:val="24"/>
          <w:szCs w:val="24"/>
          <w:lang w:eastAsia="ar-SA"/>
        </w:rPr>
        <w:t>.</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Ovim Programom utvrđuje se visina prihoda i utrošak sredstava ostvarenih temeljem uplate šumskog doprinosa u proračun Općine Gornji Bogićevci za 2026. godinu, a kojeg Odredbom članka 69. stavka 1. Zakona o šumama („Narodne novine“ broj 68/18, 115/18, 98/19, 32/20, 145/20 i 101/23) pravne i fizičke osobe, osim malih šumoposjednika, koje obavljaju prodaju proizvoda iskorištavanja šuma (drvni sortimenti) plaćaju jedinicama lokalne samouprave u odnosu na prodajnu cijenu proizvoda na panju. </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 xml:space="preserve">        Članak 2.</w:t>
      </w:r>
    </w:p>
    <w:p w:rsidR="00777ABF" w:rsidRPr="00777ABF" w:rsidRDefault="00777ABF" w:rsidP="00777ABF">
      <w:pPr>
        <w:suppressAutoHyphens/>
        <w:spacing w:after="0" w:line="240" w:lineRule="auto"/>
        <w:jc w:val="center"/>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Odredbom članka 69. stavak 2. Zakona o šumama („Narodne novine“ broj 68/18, 115/18, 98/19, 32/20, 145/20 i 101/23) Općini Gornji Bogićevci kao jedinici lokalne samouprave sa statusom potpomognutog područja utvrđenog posebnim propisom šumski doprinos plaća se u visini od 10%.  </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U 2026. godini planira se prihod od </w:t>
      </w:r>
      <w:r w:rsidRPr="00777ABF">
        <w:rPr>
          <w:rFonts w:ascii="Times New Roman" w:eastAsia="Times New Roman" w:hAnsi="Times New Roman" w:cs="Times New Roman"/>
          <w:b/>
          <w:bCs/>
          <w:sz w:val="24"/>
          <w:szCs w:val="24"/>
          <w:lang w:eastAsia="ar-SA"/>
        </w:rPr>
        <w:t xml:space="preserve"> 20.000,00 eura</w:t>
      </w:r>
      <w:r w:rsidRPr="00777ABF">
        <w:rPr>
          <w:rFonts w:ascii="Times New Roman" w:eastAsia="Times New Roman" w:hAnsi="Times New Roman" w:cs="Times New Roman"/>
          <w:b/>
          <w:sz w:val="24"/>
          <w:szCs w:val="24"/>
          <w:lang w:eastAsia="ar-SA"/>
        </w:rPr>
        <w:t xml:space="preserve">. </w:t>
      </w: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ind w:left="1080" w:hanging="360"/>
        <w:jc w:val="center"/>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Članak 3.</w:t>
      </w: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Sredstva iz članka 2. ove Odluke utrošit će se za kapitalna ulaganja u komunalnu infrastrukturu Općine Gornji Bogićevci u iznosu od 20.000,00 eura sukladno Programu građenja komunalne infrastrukture na području Općine Gornji Bogićevci za 2026. godinu.</w:t>
      </w: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b/>
          <w:bCs/>
          <w:sz w:val="24"/>
          <w:szCs w:val="24"/>
          <w:lang w:eastAsia="ar-SA"/>
        </w:rPr>
      </w:pPr>
      <w:r w:rsidRPr="00777ABF">
        <w:rPr>
          <w:rFonts w:ascii="Times New Roman" w:eastAsia="Times New Roman" w:hAnsi="Times New Roman" w:cs="Times New Roman"/>
          <w:b/>
          <w:bCs/>
          <w:sz w:val="24"/>
          <w:szCs w:val="24"/>
          <w:lang w:eastAsia="ar-SA"/>
        </w:rPr>
        <w:t xml:space="preserve">                                                               Članak 4.  </w:t>
      </w:r>
    </w:p>
    <w:p w:rsidR="00777ABF" w:rsidRPr="00777ABF" w:rsidRDefault="00777ABF" w:rsidP="00777ABF">
      <w:pPr>
        <w:tabs>
          <w:tab w:val="left" w:pos="19320"/>
        </w:tabs>
        <w:suppressAutoHyphens/>
        <w:spacing w:after="0" w:line="240" w:lineRule="auto"/>
        <w:ind w:left="1080" w:hanging="360"/>
        <w:rPr>
          <w:rFonts w:ascii="Times New Roman" w:eastAsia="Times New Roman" w:hAnsi="Times New Roman" w:cs="Times New Roman"/>
          <w:sz w:val="24"/>
          <w:szCs w:val="24"/>
          <w:lang w:eastAsia="ar-SA"/>
        </w:rPr>
      </w:pPr>
    </w:p>
    <w:p w:rsidR="00777ABF" w:rsidRPr="00777ABF" w:rsidRDefault="00777ABF" w:rsidP="00777ABF">
      <w:pPr>
        <w:tabs>
          <w:tab w:val="left" w:pos="19320"/>
        </w:tabs>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Ovaj Program stupa na snagu osmi dan od dana objave  u "Službenom glasniku Općine Gornji Bogićevci“.</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r w:rsidRPr="00777ABF">
        <w:rPr>
          <w:rFonts w:ascii="Times New Roman" w:eastAsia="Times New Roman" w:hAnsi="Times New Roman" w:cs="Times New Roman"/>
          <w:b/>
          <w:i/>
          <w:sz w:val="24"/>
          <w:szCs w:val="24"/>
          <w:lang w:eastAsia="ar-SA"/>
        </w:rPr>
        <w:t xml:space="preserve">                                </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p>
    <w:p w:rsidR="00777ABF" w:rsidRPr="00777ABF" w:rsidRDefault="00777ABF" w:rsidP="00777ABF">
      <w:pPr>
        <w:suppressAutoHyphens/>
        <w:spacing w:after="0" w:line="240" w:lineRule="auto"/>
        <w:jc w:val="center"/>
        <w:rPr>
          <w:rFonts w:ascii="Times New Roman" w:eastAsia="Times New Roman" w:hAnsi="Times New Roman" w:cs="Times New Roman"/>
          <w:b/>
          <w:iCs/>
          <w:sz w:val="24"/>
          <w:szCs w:val="24"/>
          <w:lang w:eastAsia="ar-SA"/>
        </w:rPr>
      </w:pPr>
      <w:r w:rsidRPr="00777ABF">
        <w:rPr>
          <w:rFonts w:ascii="Times New Roman" w:eastAsia="Times New Roman" w:hAnsi="Times New Roman" w:cs="Times New Roman"/>
          <w:b/>
          <w:iCs/>
          <w:sz w:val="24"/>
          <w:szCs w:val="24"/>
          <w:lang w:eastAsia="ar-SA"/>
        </w:rPr>
        <w:t>OPĆINSKO VIJEĆE</w:t>
      </w:r>
      <w:r w:rsidRPr="00777ABF">
        <w:rPr>
          <w:rFonts w:ascii="Times New Roman" w:eastAsia="Times New Roman" w:hAnsi="Times New Roman" w:cs="Times New Roman"/>
          <w:b/>
          <w:i/>
          <w:sz w:val="24"/>
          <w:szCs w:val="24"/>
          <w:lang w:eastAsia="ar-SA"/>
        </w:rPr>
        <w:t xml:space="preserve">  </w:t>
      </w:r>
      <w:r w:rsidRPr="00777ABF">
        <w:rPr>
          <w:rFonts w:ascii="Times New Roman" w:eastAsia="Times New Roman" w:hAnsi="Times New Roman" w:cs="Times New Roman"/>
          <w:b/>
          <w:iCs/>
          <w:sz w:val="24"/>
          <w:szCs w:val="24"/>
          <w:lang w:eastAsia="ar-SA"/>
        </w:rPr>
        <w:t>OPĆINE GORNJI BOGIĆEVCI</w:t>
      </w:r>
    </w:p>
    <w:p w:rsidR="00777ABF" w:rsidRPr="00777ABF" w:rsidRDefault="00777ABF" w:rsidP="00777ABF">
      <w:pPr>
        <w:suppressAutoHyphens/>
        <w:spacing w:after="0" w:line="240" w:lineRule="auto"/>
        <w:rPr>
          <w:rFonts w:ascii="Times New Roman" w:eastAsia="Times New Roman" w:hAnsi="Times New Roman" w:cs="Times New Roman"/>
          <w:b/>
          <w:iCs/>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KLASA: 400-05-25-02-01</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URBROJ: 2178-22-03-25-10</w:t>
      </w:r>
    </w:p>
    <w:p w:rsidR="00777ABF" w:rsidRPr="00777ABF" w:rsidRDefault="00777ABF" w:rsidP="00777ABF">
      <w:pPr>
        <w:suppressAutoHyphens/>
        <w:spacing w:after="0" w:line="240" w:lineRule="auto"/>
        <w:rPr>
          <w:rFonts w:ascii="Times New Roman" w:eastAsia="Times New Roman" w:hAnsi="Times New Roman" w:cs="Times New Roman"/>
          <w:b/>
          <w:i/>
          <w:sz w:val="24"/>
          <w:szCs w:val="24"/>
          <w:lang w:eastAsia="ar-SA"/>
        </w:rPr>
      </w:pPr>
      <w:r w:rsidRPr="00777ABF">
        <w:rPr>
          <w:rFonts w:ascii="Times New Roman" w:eastAsia="Times New Roman" w:hAnsi="Times New Roman" w:cs="Times New Roman"/>
          <w:sz w:val="24"/>
          <w:szCs w:val="24"/>
          <w:lang w:eastAsia="ar-SA"/>
        </w:rPr>
        <w:t>Gornji Bogićevci, 22. prosinca 2025. godine</w:t>
      </w:r>
    </w:p>
    <w:p w:rsidR="00777ABF" w:rsidRPr="00777ABF" w:rsidRDefault="00777ABF" w:rsidP="00777ABF">
      <w:pPr>
        <w:suppressAutoHyphens/>
        <w:spacing w:after="0" w:line="240" w:lineRule="auto"/>
        <w:jc w:val="right"/>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 xml:space="preserve">        PREDSJEDNIK OPĆINSKOG VIJEĆA</w:t>
      </w:r>
    </w:p>
    <w:p w:rsidR="00777ABF" w:rsidRPr="00777ABF" w:rsidRDefault="00777ABF" w:rsidP="00777ABF">
      <w:pPr>
        <w:suppressAutoHyphens/>
        <w:spacing w:after="0" w:line="240" w:lineRule="auto"/>
        <w:ind w:left="4956" w:firstLine="708"/>
        <w:jc w:val="center"/>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Željko Klarić</w:t>
      </w: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p>
    <w:p w:rsidR="00777ABF" w:rsidRPr="00777ABF" w:rsidRDefault="00777ABF" w:rsidP="00777ABF">
      <w:pPr>
        <w:suppressAutoHyphens/>
        <w:spacing w:after="0" w:line="240" w:lineRule="auto"/>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Dostaviti:</w:t>
      </w:r>
    </w:p>
    <w:p w:rsidR="00777ABF" w:rsidRPr="00777ABF" w:rsidRDefault="00777ABF" w:rsidP="00A66748">
      <w:pPr>
        <w:numPr>
          <w:ilvl w:val="0"/>
          <w:numId w:val="45"/>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Jedinstveni upravni odjel</w:t>
      </w:r>
    </w:p>
    <w:p w:rsidR="00777ABF" w:rsidRPr="00777ABF" w:rsidRDefault="00777ABF" w:rsidP="00A66748">
      <w:pPr>
        <w:numPr>
          <w:ilvl w:val="0"/>
          <w:numId w:val="45"/>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Službeni glasnik Općine Gornji Bogićevci</w:t>
      </w:r>
    </w:p>
    <w:p w:rsidR="00777ABF" w:rsidRPr="00777ABF" w:rsidRDefault="00777ABF" w:rsidP="00A66748">
      <w:pPr>
        <w:numPr>
          <w:ilvl w:val="0"/>
          <w:numId w:val="45"/>
        </w:numPr>
        <w:suppressAutoHyphens/>
        <w:spacing w:after="0" w:line="240" w:lineRule="auto"/>
        <w:contextualSpacing/>
        <w:rPr>
          <w:rFonts w:ascii="Times New Roman" w:eastAsia="Times New Roman" w:hAnsi="Times New Roman" w:cs="Times New Roman"/>
          <w:sz w:val="24"/>
          <w:szCs w:val="24"/>
          <w:lang w:eastAsia="ar-SA"/>
        </w:rPr>
      </w:pPr>
      <w:r w:rsidRPr="00777ABF">
        <w:rPr>
          <w:rFonts w:ascii="Times New Roman" w:eastAsia="Times New Roman" w:hAnsi="Times New Roman" w:cs="Times New Roman"/>
          <w:sz w:val="24"/>
          <w:szCs w:val="24"/>
          <w:lang w:eastAsia="ar-SA"/>
        </w:rPr>
        <w:t>Pismohrana.</w:t>
      </w:r>
    </w:p>
    <w:p w:rsidR="00777ABF" w:rsidRDefault="00777ABF"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9E4D5A">
      <w:pPr>
        <w:jc w:val="center"/>
        <w:rPr>
          <w:b/>
          <w:sz w:val="40"/>
          <w:szCs w:val="40"/>
        </w:rPr>
      </w:pPr>
      <w:r>
        <w:rPr>
          <w:b/>
          <w:sz w:val="40"/>
          <w:szCs w:val="40"/>
        </w:rPr>
        <w:t>NARODNA KNJIŽNICA I ČITAONICA</w:t>
      </w:r>
    </w:p>
    <w:p w:rsidR="009E4D5A" w:rsidRDefault="009E4D5A" w:rsidP="009E4D5A">
      <w:pPr>
        <w:jc w:val="center"/>
        <w:rPr>
          <w:b/>
          <w:sz w:val="40"/>
          <w:szCs w:val="40"/>
        </w:rPr>
      </w:pPr>
      <w:r>
        <w:rPr>
          <w:b/>
          <w:sz w:val="40"/>
          <w:szCs w:val="40"/>
        </w:rPr>
        <w:t>„GRIGOR VITEZ“</w:t>
      </w:r>
      <w:r>
        <w:rPr>
          <w:b/>
          <w:sz w:val="40"/>
          <w:szCs w:val="40"/>
        </w:rPr>
        <w:br/>
        <w:t xml:space="preserve"> GORNJI</w:t>
      </w:r>
      <w:r>
        <w:rPr>
          <w:sz w:val="40"/>
          <w:szCs w:val="40"/>
        </w:rPr>
        <w:t xml:space="preserve"> </w:t>
      </w:r>
      <w:r>
        <w:rPr>
          <w:b/>
          <w:sz w:val="40"/>
          <w:szCs w:val="40"/>
        </w:rPr>
        <w:t>BOGIĆEVCI</w:t>
      </w:r>
    </w:p>
    <w:p w:rsidR="009E4D5A" w:rsidRDefault="009E4D5A" w:rsidP="009E4D5A">
      <w:pPr>
        <w:jc w:val="center"/>
        <w:rPr>
          <w:b/>
          <w:sz w:val="40"/>
          <w:szCs w:val="40"/>
        </w:rPr>
      </w:pPr>
      <w:r>
        <w:rPr>
          <w:b/>
          <w:sz w:val="40"/>
          <w:szCs w:val="40"/>
        </w:rPr>
        <w:t>Trg hrvatskih branitelja</w:t>
      </w:r>
      <w:r>
        <w:rPr>
          <w:sz w:val="40"/>
          <w:szCs w:val="40"/>
        </w:rPr>
        <w:t xml:space="preserve"> </w:t>
      </w:r>
      <w:r>
        <w:rPr>
          <w:b/>
          <w:sz w:val="40"/>
          <w:szCs w:val="40"/>
        </w:rPr>
        <w:t>1</w:t>
      </w:r>
    </w:p>
    <w:p w:rsidR="009E4D5A" w:rsidRDefault="009E4D5A" w:rsidP="009E4D5A">
      <w:pPr>
        <w:jc w:val="center"/>
        <w:rPr>
          <w:sz w:val="40"/>
          <w:szCs w:val="40"/>
        </w:rPr>
      </w:pPr>
    </w:p>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Pr>
        <w:jc w:val="center"/>
        <w:rPr>
          <w:b/>
          <w:sz w:val="40"/>
          <w:szCs w:val="40"/>
        </w:rPr>
      </w:pPr>
      <w:r>
        <w:rPr>
          <w:b/>
          <w:sz w:val="40"/>
          <w:szCs w:val="40"/>
        </w:rPr>
        <w:t xml:space="preserve">PLAN I PROGRAM RADA </w:t>
      </w:r>
    </w:p>
    <w:p w:rsidR="009E4D5A" w:rsidRDefault="009E4D5A" w:rsidP="009E4D5A">
      <w:pPr>
        <w:jc w:val="center"/>
        <w:rPr>
          <w:b/>
          <w:sz w:val="40"/>
          <w:szCs w:val="40"/>
        </w:rPr>
      </w:pPr>
      <w:r>
        <w:rPr>
          <w:b/>
          <w:sz w:val="40"/>
          <w:szCs w:val="40"/>
        </w:rPr>
        <w:t>za 2026. godinu</w:t>
      </w:r>
    </w:p>
    <w:p w:rsidR="009E4D5A" w:rsidRDefault="009E4D5A" w:rsidP="009E4D5A">
      <w:pPr>
        <w:jc w:val="center"/>
        <w:rPr>
          <w:b/>
          <w:sz w:val="40"/>
          <w:szCs w:val="40"/>
        </w:rPr>
      </w:pPr>
    </w:p>
    <w:p w:rsidR="009E4D5A" w:rsidRDefault="009E4D5A" w:rsidP="009E4D5A">
      <w:pPr>
        <w:jc w:val="center"/>
        <w:rPr>
          <w:b/>
        </w:rPr>
      </w:pPr>
    </w:p>
    <w:p w:rsidR="009E4D5A" w:rsidRDefault="009E4D5A" w:rsidP="009E4D5A">
      <w:pPr>
        <w:jc w:val="center"/>
        <w:rPr>
          <w:b/>
        </w:rPr>
      </w:pPr>
    </w:p>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 w:rsidR="009E4D5A" w:rsidRDefault="009E4D5A" w:rsidP="009E4D5A">
      <w:pPr>
        <w:jc w:val="center"/>
        <w:rPr>
          <w:b/>
          <w:sz w:val="40"/>
          <w:szCs w:val="40"/>
        </w:rPr>
      </w:pPr>
      <w:r>
        <w:rPr>
          <w:b/>
          <w:sz w:val="40"/>
          <w:szCs w:val="40"/>
        </w:rPr>
        <w:t>Gornji Bogićevci, 12.11.2025. godine</w:t>
      </w:r>
    </w:p>
    <w:p w:rsidR="009E4D5A" w:rsidRDefault="009E4D5A" w:rsidP="009E4D5A">
      <w:pPr>
        <w:rPr>
          <w:b/>
          <w:sz w:val="40"/>
          <w:szCs w:val="40"/>
        </w:rPr>
      </w:pPr>
    </w:p>
    <w:p w:rsidR="009E4D5A" w:rsidRDefault="009E4D5A" w:rsidP="009E4D5A">
      <w:pPr>
        <w:pBdr>
          <w:top w:val="single" w:sz="4" w:space="1" w:color="auto"/>
          <w:left w:val="single" w:sz="4" w:space="4" w:color="auto"/>
          <w:bottom w:val="single" w:sz="4" w:space="1" w:color="auto"/>
          <w:right w:val="single" w:sz="4" w:space="4" w:color="auto"/>
        </w:pBdr>
        <w:jc w:val="center"/>
        <w:rPr>
          <w:b/>
          <w:sz w:val="28"/>
          <w:szCs w:val="28"/>
        </w:rPr>
      </w:pPr>
      <w:r>
        <w:rPr>
          <w:b/>
          <w:sz w:val="28"/>
          <w:szCs w:val="28"/>
        </w:rPr>
        <w:t xml:space="preserve">U V O D </w:t>
      </w:r>
    </w:p>
    <w:p w:rsidR="009E4D5A" w:rsidRDefault="009E4D5A" w:rsidP="009E4D5A">
      <w:pPr>
        <w:jc w:val="center"/>
        <w:rPr>
          <w:b/>
          <w:sz w:val="28"/>
          <w:szCs w:val="28"/>
        </w:rPr>
      </w:pPr>
    </w:p>
    <w:p w:rsidR="009E4D5A" w:rsidRDefault="009E4D5A" w:rsidP="009E4D5A">
      <w:pPr>
        <w:jc w:val="center"/>
        <w:rPr>
          <w:b/>
          <w:sz w:val="28"/>
          <w:szCs w:val="28"/>
        </w:rPr>
      </w:pPr>
    </w:p>
    <w:p w:rsidR="009E4D5A" w:rsidRDefault="009E4D5A" w:rsidP="009E4D5A">
      <w:pPr>
        <w:jc w:val="center"/>
        <w:rPr>
          <w:b/>
          <w:sz w:val="28"/>
          <w:szCs w:val="28"/>
        </w:rPr>
      </w:pPr>
    </w:p>
    <w:p w:rsidR="009E4D5A" w:rsidRDefault="009E4D5A" w:rsidP="009E4D5A">
      <w:pPr>
        <w:ind w:firstLine="720"/>
        <w:jc w:val="both"/>
      </w:pPr>
      <w:r>
        <w:t xml:space="preserve"> Narodna knjižnica i čitaonica „Grigor Vitez“ Gornji Bogićevci dana 28. rujna 2007. godine upisana je u sudski registar kod Trgovačkog suda u Slavonskom Brodu. </w:t>
      </w:r>
    </w:p>
    <w:p w:rsidR="009E4D5A" w:rsidRDefault="009E4D5A" w:rsidP="009E4D5A">
      <w:pPr>
        <w:ind w:firstLine="720"/>
        <w:jc w:val="both"/>
      </w:pPr>
      <w:r>
        <w:t>Narodna knjižnica i čitaonica „Grigor Vitez“ Gornji Bogićevci obavlja djelatnost utvrđenu Zakonom o knjižnicama, osnivačkim aktom i statutom i to:</w:t>
      </w:r>
    </w:p>
    <w:p w:rsidR="009E4D5A" w:rsidRDefault="009E4D5A" w:rsidP="00A66748">
      <w:pPr>
        <w:numPr>
          <w:ilvl w:val="0"/>
          <w:numId w:val="49"/>
        </w:numPr>
        <w:spacing w:after="0" w:line="240" w:lineRule="auto"/>
        <w:jc w:val="both"/>
      </w:pPr>
      <w:r>
        <w:t>nabavu knjižne građe i neknjižne građe</w:t>
      </w:r>
    </w:p>
    <w:p w:rsidR="009E4D5A" w:rsidRDefault="009E4D5A" w:rsidP="00A66748">
      <w:pPr>
        <w:numPr>
          <w:ilvl w:val="0"/>
          <w:numId w:val="49"/>
        </w:numPr>
        <w:spacing w:after="0" w:line="240" w:lineRule="auto"/>
        <w:jc w:val="both"/>
      </w:pPr>
      <w:r>
        <w:t>tehničku i stručnu obradu, čuvanje i zaštitu knjižne građe te provođenje mjera zaštite knjižne građe koje je kulturno dobro,</w:t>
      </w:r>
    </w:p>
    <w:p w:rsidR="009E4D5A" w:rsidRDefault="009E4D5A" w:rsidP="00A66748">
      <w:pPr>
        <w:numPr>
          <w:ilvl w:val="0"/>
          <w:numId w:val="49"/>
        </w:numPr>
        <w:spacing w:after="0" w:line="240" w:lineRule="auto"/>
        <w:jc w:val="both"/>
      </w:pPr>
      <w:r>
        <w:t>izradu biltena, kataloga, bibliografija i drugih informacijskih pomagala,</w:t>
      </w:r>
    </w:p>
    <w:p w:rsidR="009E4D5A" w:rsidRDefault="009E4D5A" w:rsidP="00A66748">
      <w:pPr>
        <w:numPr>
          <w:ilvl w:val="0"/>
          <w:numId w:val="49"/>
        </w:numPr>
        <w:spacing w:after="0" w:line="240" w:lineRule="auto"/>
        <w:jc w:val="both"/>
      </w:pPr>
      <w:r>
        <w:t>sudjelovanje u izradi skupnih kataloga i baza podataka,</w:t>
      </w:r>
    </w:p>
    <w:p w:rsidR="009E4D5A" w:rsidRDefault="009E4D5A" w:rsidP="00A66748">
      <w:pPr>
        <w:numPr>
          <w:ilvl w:val="0"/>
          <w:numId w:val="49"/>
        </w:numPr>
        <w:spacing w:after="0" w:line="240" w:lineRule="auto"/>
        <w:jc w:val="both"/>
      </w:pPr>
      <w:r>
        <w:t>omogućavanje pristupačnosti knjižne građe i informacija korisnicima prema njihovim potrebama i zahtjevima,</w:t>
      </w:r>
    </w:p>
    <w:p w:rsidR="009E4D5A" w:rsidRDefault="009E4D5A" w:rsidP="00A66748">
      <w:pPr>
        <w:numPr>
          <w:ilvl w:val="0"/>
          <w:numId w:val="49"/>
        </w:numPr>
        <w:spacing w:after="0" w:line="240" w:lineRule="auto"/>
        <w:jc w:val="both"/>
      </w:pPr>
      <w:r>
        <w:t xml:space="preserve">osiguravanje korištenja i posudbe knjižne građe, te protok informacija i ideja aktivnim i potencijalnim korisnicima,      </w:t>
      </w:r>
    </w:p>
    <w:p w:rsidR="009E4D5A" w:rsidRDefault="009E4D5A" w:rsidP="00A66748">
      <w:pPr>
        <w:numPr>
          <w:ilvl w:val="0"/>
          <w:numId w:val="49"/>
        </w:numPr>
        <w:spacing w:after="0" w:line="240" w:lineRule="auto"/>
        <w:jc w:val="both"/>
      </w:pPr>
      <w:r>
        <w:t>poticanje i pomoć korisnicima pri izboru i korištenju knjižne građe, informacijskih pomagala i izvora te</w:t>
      </w:r>
    </w:p>
    <w:p w:rsidR="009E4D5A" w:rsidRDefault="009E4D5A" w:rsidP="00A66748">
      <w:pPr>
        <w:numPr>
          <w:ilvl w:val="0"/>
          <w:numId w:val="49"/>
        </w:numPr>
        <w:spacing w:after="0" w:line="240" w:lineRule="auto"/>
        <w:jc w:val="both"/>
      </w:pPr>
      <w:r>
        <w:t>vođenje dokumentacije o građi i korisnicima.</w:t>
      </w:r>
    </w:p>
    <w:p w:rsidR="009E4D5A" w:rsidRDefault="009E4D5A" w:rsidP="009E4D5A">
      <w:pPr>
        <w:jc w:val="both"/>
      </w:pPr>
      <w:r>
        <w:t>- Svojim službama i uslugama knjižnica potiče i širi opće obrazovanje svojih korisnika i šire, stručni i znanstveni rad, a posebice se zalaže da svi slojevi pučanstva steknu naviku čitanja i korištenja raznolikih knjižnih usluga.</w:t>
      </w:r>
    </w:p>
    <w:p w:rsidR="009E4D5A" w:rsidRDefault="009E4D5A" w:rsidP="009E4D5A">
      <w:pPr>
        <w:jc w:val="both"/>
      </w:pPr>
      <w:r>
        <w:t>- Knjižnica kontinuiranom djelatnošću na kulturnom području, uvelike zadovoljava potrebe gotovo svih svojih i potencijalnih korisnika.</w:t>
      </w:r>
    </w:p>
    <w:p w:rsidR="009E4D5A" w:rsidRDefault="009E4D5A" w:rsidP="009E4D5A">
      <w:pPr>
        <w:jc w:val="both"/>
      </w:pPr>
      <w:r>
        <w:t xml:space="preserve">- Narodna knjižnica i čitaonica „Grigor Vitez“ uspješno surađuje s ostalim kulturnim i obrazovnim ustanovama i šire. </w:t>
      </w:r>
    </w:p>
    <w:p w:rsidR="009E4D5A" w:rsidRDefault="009E4D5A" w:rsidP="009E4D5A">
      <w:pPr>
        <w:ind w:firstLine="720"/>
        <w:jc w:val="both"/>
      </w:pPr>
    </w:p>
    <w:p w:rsidR="009E4D5A" w:rsidRDefault="009E4D5A" w:rsidP="009E4D5A">
      <w:pPr>
        <w:ind w:firstLine="720"/>
        <w:jc w:val="both"/>
      </w:pPr>
    </w:p>
    <w:p w:rsidR="009E4D5A" w:rsidRDefault="009E4D5A" w:rsidP="009E4D5A">
      <w:pPr>
        <w:ind w:firstLine="720"/>
        <w:jc w:val="both"/>
      </w:pPr>
    </w:p>
    <w:p w:rsidR="009E4D5A" w:rsidRDefault="009E4D5A" w:rsidP="009E4D5A">
      <w:pPr>
        <w:ind w:firstLine="720"/>
        <w:jc w:val="both"/>
        <w:rPr>
          <w:b/>
        </w:rPr>
      </w:pPr>
      <w:r>
        <w:rPr>
          <w:b/>
        </w:rPr>
        <w:t>RADNI PROSTOR:</w:t>
      </w:r>
    </w:p>
    <w:p w:rsidR="009E4D5A" w:rsidRDefault="009E4D5A" w:rsidP="009E4D5A">
      <w:pPr>
        <w:ind w:firstLine="720"/>
        <w:jc w:val="both"/>
        <w:rPr>
          <w:b/>
        </w:rPr>
      </w:pPr>
    </w:p>
    <w:p w:rsidR="009E4D5A" w:rsidRDefault="009E4D5A" w:rsidP="009E4D5A">
      <w:pPr>
        <w:ind w:firstLine="720"/>
        <w:jc w:val="both"/>
        <w:rPr>
          <w:b/>
        </w:rPr>
      </w:pPr>
    </w:p>
    <w:p w:rsidR="009E4D5A" w:rsidRDefault="009E4D5A" w:rsidP="009E4D5A">
      <w:pPr>
        <w:ind w:firstLine="720"/>
        <w:jc w:val="both"/>
      </w:pPr>
      <w:r>
        <w:lastRenderedPageBreak/>
        <w:t xml:space="preserve">  Narodna knjižnica i čitaonica „Grigor Vitez“ Gornji Bogićevci koristi radni prostor od 160 m2 ( prostor za odrasle korisnike broji 40 stolica, a od toga 20 sjedećih mjesta, a dječji odjel 30 )  i ostali prostor kao što su stepeništa, hodnici koji nam služe kao izložbeni prostor za naše prigodne manifestacije, promocije knjiga i razne izložbe te sanitarni čvor, a sve se to nalazi u zgradi Općine Gornji Bogićevci gdje je smještena i sama knjižnica. </w:t>
      </w:r>
    </w:p>
    <w:p w:rsidR="009E4D5A" w:rsidRDefault="009E4D5A" w:rsidP="009E4D5A">
      <w:pPr>
        <w:ind w:firstLine="720"/>
        <w:jc w:val="both"/>
      </w:pPr>
      <w:r>
        <w:t>U 2026. godini planiramo  prostor u predvorju knjižnice koristiti ( kao i do sada ) za izložbe radova, ukrasa i raznih predmeta izrađenih na našim radionicama kako bi naši posjetitelji mogli vidjeti što se sve radi i izrađuje u našoj knjižnici. A isto tako prostor koristimo i za izložbe fotografija sa raznih kulturnih manifestacija održanih tijekom godine, kako u našoj knjižnici, tako i izvan nje ( razni koncerti, dječje manifestacije, književni susreti, promocije knjiga za djecu i odrasle, itd).</w:t>
      </w:r>
    </w:p>
    <w:p w:rsidR="009E4D5A" w:rsidRDefault="009E4D5A" w:rsidP="009E4D5A">
      <w:pPr>
        <w:ind w:firstLine="720"/>
        <w:jc w:val="both"/>
      </w:pPr>
    </w:p>
    <w:p w:rsidR="009E4D5A" w:rsidRDefault="009E4D5A" w:rsidP="009E4D5A">
      <w:pPr>
        <w:ind w:firstLine="720"/>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rPr>
          <w:b/>
        </w:rPr>
      </w:pPr>
      <w:r>
        <w:rPr>
          <w:b/>
        </w:rPr>
        <w:t xml:space="preserve">          INFORMATIZACIJA I NABAVA INFORMATIČKE OPREME ZA </w:t>
      </w:r>
    </w:p>
    <w:p w:rsidR="009E4D5A" w:rsidRDefault="009E4D5A" w:rsidP="009E4D5A">
      <w:pPr>
        <w:jc w:val="both"/>
        <w:rPr>
          <w:b/>
        </w:rPr>
      </w:pPr>
      <w:r>
        <w:rPr>
          <w:b/>
        </w:rPr>
        <w:t>NARODNE KNJIŽNICE I ČITAONICE GORNJI BOGIĆEVCI U 2026. GODINI</w:t>
      </w:r>
    </w:p>
    <w:p w:rsidR="009E4D5A" w:rsidRDefault="009E4D5A" w:rsidP="009E4D5A">
      <w:pPr>
        <w:ind w:firstLine="720"/>
        <w:jc w:val="both"/>
        <w:rPr>
          <w:b/>
        </w:rPr>
      </w:pPr>
    </w:p>
    <w:p w:rsidR="009E4D5A" w:rsidRDefault="009E4D5A" w:rsidP="009E4D5A">
      <w:pPr>
        <w:ind w:firstLine="720"/>
        <w:jc w:val="both"/>
        <w:rPr>
          <w:b/>
        </w:rPr>
      </w:pPr>
    </w:p>
    <w:p w:rsidR="009E4D5A" w:rsidRDefault="009E4D5A" w:rsidP="009E4D5A">
      <w:pPr>
        <w:jc w:val="both"/>
      </w:pPr>
      <w:r>
        <w:t xml:space="preserve">Velika nam je želja da se u 2025. godini napokon nabavi program knjižničnog softwarea – ZaKiWeb ili Crolist koji godinama pokušavamo nabaviti (od Ministarstva kulture i medija zatražili smo sredstva za njegovu realizaciju, koji godinama kandidiramo i prijavljujemo u nadi kako će Ministarstvo kulture i medija prepoznati važnost instalacije knjižničnog softwarea i pomoći nam u realizaciji) kako bismo što uspješnije i učinkovitije realizirali svakodnevne potrebe knjižnice. Program nismo u mogućnosti sami nabaviti i realizirati zbog financijskih sredstava koja jednostavno nemamo, ali se zato iskreno nadamo da će više distance prepoznati našu potrebu za nabavkom istog. Jer to pokušavamo, kako smo već naveli, dugi niz godina i nikako nam „ne polazi za rukom“, stalno  nailazimo na negativne odgovore i nerazumijevanje.  </w:t>
      </w:r>
    </w:p>
    <w:p w:rsidR="009E4D5A" w:rsidRDefault="009E4D5A" w:rsidP="009E4D5A">
      <w:pPr>
        <w:jc w:val="both"/>
      </w:pPr>
      <w:r>
        <w:t xml:space="preserve">                                        </w:t>
      </w:r>
    </w:p>
    <w:p w:rsidR="009E4D5A" w:rsidRDefault="009E4D5A" w:rsidP="009E4D5A">
      <w:pPr>
        <w:ind w:firstLine="720"/>
        <w:jc w:val="both"/>
      </w:pPr>
      <w:r>
        <w:t xml:space="preserve">     Prijavili smo se na natječaje ŽUPANIJE BRODSKO-POSAVSKE i MINISTARSTVA KULTURE I MEDIJA za programe kulturnog razvitka u 2026. godini s obrazloženjem i traženim financijskim vrijednostima i to za slijedeće programe:</w:t>
      </w:r>
    </w:p>
    <w:p w:rsidR="009E4D5A" w:rsidRDefault="009E4D5A" w:rsidP="009E4D5A">
      <w:pPr>
        <w:ind w:firstLine="720"/>
        <w:jc w:val="both"/>
      </w:pPr>
    </w:p>
    <w:p w:rsidR="009E4D5A" w:rsidRDefault="009E4D5A" w:rsidP="009E4D5A">
      <w:pPr>
        <w:jc w:val="both"/>
      </w:pPr>
      <w:r>
        <w:t xml:space="preserve">     - Program otkupa knjiga - knjižnice</w:t>
      </w:r>
    </w:p>
    <w:p w:rsidR="009E4D5A" w:rsidRDefault="009E4D5A" w:rsidP="009E4D5A">
      <w:pPr>
        <w:jc w:val="both"/>
        <w:rPr>
          <w:b/>
        </w:rPr>
      </w:pPr>
      <w:r>
        <w:rPr>
          <w:b/>
        </w:rPr>
        <w:t>Iskaz interesa za otkup knjiga uvrštenih na popis A i popis B u 2026. godini</w:t>
      </w:r>
    </w:p>
    <w:p w:rsidR="009E4D5A" w:rsidRDefault="009E4D5A" w:rsidP="009E4D5A">
      <w:pPr>
        <w:jc w:val="both"/>
      </w:pPr>
      <w:r>
        <w:t xml:space="preserve">     - Program knjižnične djelatnosti za 2026. godinu -</w:t>
      </w:r>
    </w:p>
    <w:p w:rsidR="009E4D5A" w:rsidRDefault="009E4D5A" w:rsidP="009E4D5A">
      <w:pPr>
        <w:jc w:val="both"/>
        <w:rPr>
          <w:b/>
        </w:rPr>
      </w:pPr>
      <w:r>
        <w:rPr>
          <w:b/>
        </w:rPr>
        <w:t>Nabava knjižne i neknjižne građe u NKČ „Grigor Vitez“ Gornji Bogićevci</w:t>
      </w:r>
    </w:p>
    <w:p w:rsidR="009E4D5A" w:rsidRDefault="009E4D5A" w:rsidP="009E4D5A">
      <w:pPr>
        <w:jc w:val="both"/>
      </w:pPr>
      <w:r>
        <w:t xml:space="preserve">     - Program knjižnične djelatnosti za 2026. godinu -</w:t>
      </w:r>
    </w:p>
    <w:p w:rsidR="009E4D5A" w:rsidRDefault="009E4D5A" w:rsidP="009E4D5A">
      <w:pPr>
        <w:jc w:val="both"/>
        <w:rPr>
          <w:b/>
        </w:rPr>
      </w:pPr>
      <w:r>
        <w:rPr>
          <w:b/>
        </w:rPr>
        <w:lastRenderedPageBreak/>
        <w:t>Promocije knjiga za odrasle i književni susreti s autorima</w:t>
      </w:r>
    </w:p>
    <w:p w:rsidR="009E4D5A" w:rsidRDefault="009E4D5A" w:rsidP="009E4D5A">
      <w:pPr>
        <w:jc w:val="both"/>
      </w:pPr>
      <w:r>
        <w:t xml:space="preserve">     - Program knjižnične djelatnosti za 2026. godinu -</w:t>
      </w:r>
    </w:p>
    <w:p w:rsidR="009E4D5A" w:rsidRDefault="009E4D5A" w:rsidP="009E4D5A">
      <w:pPr>
        <w:jc w:val="both"/>
        <w:rPr>
          <w:b/>
        </w:rPr>
      </w:pPr>
      <w:r>
        <w:rPr>
          <w:b/>
        </w:rPr>
        <w:t>Književni susreti s autorima za djecu i mlade i promocije knjiga</w:t>
      </w:r>
    </w:p>
    <w:p w:rsidR="009E4D5A" w:rsidRDefault="009E4D5A" w:rsidP="009E4D5A">
      <w:pPr>
        <w:jc w:val="both"/>
      </w:pPr>
      <w:r>
        <w:t xml:space="preserve">     -  Program knjižnične djelatnosti za 2026. godinu -</w:t>
      </w:r>
    </w:p>
    <w:p w:rsidR="009E4D5A" w:rsidRDefault="009E4D5A" w:rsidP="009E4D5A">
      <w:pPr>
        <w:jc w:val="both"/>
        <w:rPr>
          <w:b/>
        </w:rPr>
      </w:pPr>
      <w:r>
        <w:rPr>
          <w:b/>
        </w:rPr>
        <w:t>Predstave za djecu i odrasle</w:t>
      </w:r>
    </w:p>
    <w:p w:rsidR="009E4D5A" w:rsidRDefault="009E4D5A" w:rsidP="009E4D5A">
      <w:pPr>
        <w:jc w:val="both"/>
      </w:pPr>
      <w:r>
        <w:rPr>
          <w:b/>
        </w:rPr>
        <w:t xml:space="preserve">     - </w:t>
      </w:r>
      <w:r>
        <w:t>Program knjževnih manifestacija za 2026. godinu -</w:t>
      </w:r>
    </w:p>
    <w:p w:rsidR="009E4D5A" w:rsidRDefault="009E4D5A" w:rsidP="009E4D5A">
      <w:pPr>
        <w:jc w:val="both"/>
        <w:rPr>
          <w:b/>
        </w:rPr>
      </w:pPr>
      <w:r>
        <w:rPr>
          <w:b/>
        </w:rPr>
        <w:t>Književni susreti sa Sanjom Pilić dječjom spisateljicom</w:t>
      </w:r>
    </w:p>
    <w:p w:rsidR="009E4D5A" w:rsidRDefault="009E4D5A" w:rsidP="009E4D5A">
      <w:pPr>
        <w:jc w:val="both"/>
      </w:pPr>
      <w:r>
        <w:t xml:space="preserve">      - Program vizualne umjetnosti za 2026. godinu -  </w:t>
      </w:r>
    </w:p>
    <w:p w:rsidR="009E4D5A" w:rsidRDefault="009E4D5A" w:rsidP="009E4D5A">
      <w:pPr>
        <w:jc w:val="both"/>
        <w:rPr>
          <w:b/>
        </w:rPr>
      </w:pPr>
      <w:r>
        <w:rPr>
          <w:b/>
        </w:rPr>
        <w:t>Kreativno-likovne radionice za djecu i odrasle, te izložbe</w:t>
      </w:r>
    </w:p>
    <w:p w:rsidR="009E4D5A" w:rsidRDefault="009E4D5A" w:rsidP="009E4D5A">
      <w:pPr>
        <w:jc w:val="both"/>
        <w:rPr>
          <w:b/>
        </w:rPr>
      </w:pPr>
      <w:r>
        <w:t xml:space="preserve">     - Program gradnje, rekonstrukcije i opremanja kulturne infrastrukture za 2026. godinu - </w:t>
      </w:r>
      <w:r>
        <w:rPr>
          <w:b/>
        </w:rPr>
        <w:t>Instalacija knjižničnog softwarea ( ZaKiWeb ili Crolist )</w:t>
      </w:r>
    </w:p>
    <w:p w:rsidR="009E4D5A" w:rsidRDefault="009E4D5A" w:rsidP="009E4D5A">
      <w:pPr>
        <w:jc w:val="both"/>
      </w:pPr>
      <w:r>
        <w:t xml:space="preserve">      - Program gradnje, rekonstrukcije i opremanja kulturne infrastrukture za 2026. godinu -  </w:t>
      </w:r>
    </w:p>
    <w:p w:rsidR="009E4D5A" w:rsidRDefault="009E4D5A" w:rsidP="009E4D5A">
      <w:pPr>
        <w:jc w:val="both"/>
        <w:rPr>
          <w:b/>
        </w:rPr>
      </w:pPr>
      <w:r>
        <w:rPr>
          <w:b/>
        </w:rPr>
        <w:t>Nabava kutić mekani – garnitura</w:t>
      </w:r>
    </w:p>
    <w:p w:rsidR="009E4D5A" w:rsidRDefault="009E4D5A" w:rsidP="009E4D5A">
      <w:pPr>
        <w:jc w:val="both"/>
      </w:pPr>
      <w:r>
        <w:t xml:space="preserve">      - Program gradnje, rekonstrukcije i opremanja kulturne infrastrukture za 2026. godinu -</w:t>
      </w:r>
    </w:p>
    <w:p w:rsidR="009E4D5A" w:rsidRDefault="009E4D5A" w:rsidP="009E4D5A">
      <w:pPr>
        <w:jc w:val="both"/>
        <w:rPr>
          <w:b/>
        </w:rPr>
      </w:pPr>
      <w:r>
        <w:rPr>
          <w:b/>
        </w:rPr>
        <w:t>Nabava okruglih stolova i dječjih drvenih stolica</w:t>
      </w:r>
    </w:p>
    <w:p w:rsidR="009E4D5A" w:rsidRDefault="009E4D5A" w:rsidP="009E4D5A">
      <w:pPr>
        <w:jc w:val="both"/>
      </w:pPr>
      <w:r>
        <w:t xml:space="preserve">      - Program gradnje, rekonstrukcije i opremanja kulturne infrastrukture za 2026. godinu -</w:t>
      </w:r>
    </w:p>
    <w:p w:rsidR="009E4D5A" w:rsidRDefault="009E4D5A" w:rsidP="009E4D5A">
      <w:pPr>
        <w:jc w:val="both"/>
        <w:rPr>
          <w:b/>
        </w:rPr>
      </w:pPr>
      <w:r>
        <w:rPr>
          <w:b/>
        </w:rPr>
        <w:t>Nabava FREEON plastičnog stola sa dvije stolice</w:t>
      </w:r>
    </w:p>
    <w:p w:rsidR="009E4D5A" w:rsidRDefault="009E4D5A" w:rsidP="009E4D5A">
      <w:pPr>
        <w:jc w:val="both"/>
      </w:pPr>
      <w:r>
        <w:t xml:space="preserve">     - Program gradnje, rekonstrukcije i opremanja kulturne infrastrukture za 2026. godinu -</w:t>
      </w:r>
    </w:p>
    <w:p w:rsidR="009E4D5A" w:rsidRDefault="009E4D5A" w:rsidP="009E4D5A">
      <w:pPr>
        <w:jc w:val="both"/>
        <w:rPr>
          <w:b/>
        </w:rPr>
      </w:pPr>
      <w:r>
        <w:rPr>
          <w:b/>
        </w:rPr>
        <w:t>Nabava polivalentnog panoa za kazalište lutaka i sjena na kotačima</w:t>
      </w:r>
    </w:p>
    <w:p w:rsidR="009E4D5A" w:rsidRDefault="009E4D5A" w:rsidP="009E4D5A">
      <w:pPr>
        <w:jc w:val="both"/>
      </w:pPr>
      <w:r>
        <w:t xml:space="preserve">     - Program gradnje, rekonstrukcije i opremanja kulturne infrastrukture za 2026. godinu -  </w:t>
      </w:r>
    </w:p>
    <w:p w:rsidR="009E4D5A" w:rsidRDefault="009E4D5A" w:rsidP="009E4D5A">
      <w:pPr>
        <w:jc w:val="both"/>
        <w:rPr>
          <w:b/>
        </w:rPr>
      </w:pPr>
      <w:r>
        <w:rPr>
          <w:b/>
        </w:rPr>
        <w:t>Nabava garderobe s klupicom</w:t>
      </w:r>
    </w:p>
    <w:p w:rsidR="009E4D5A" w:rsidRDefault="009E4D5A" w:rsidP="009E4D5A">
      <w:pPr>
        <w:jc w:val="both"/>
      </w:pPr>
      <w:r>
        <w:t xml:space="preserve">     - Program gradnje, rekonstrukcije i opremanja kulturne infrastrukture za 2026. godinu - </w:t>
      </w:r>
    </w:p>
    <w:p w:rsidR="009E4D5A" w:rsidRDefault="009E4D5A" w:rsidP="009E4D5A">
      <w:pPr>
        <w:jc w:val="both"/>
        <w:rPr>
          <w:b/>
        </w:rPr>
      </w:pPr>
      <w:r>
        <w:rPr>
          <w:b/>
        </w:rPr>
        <w:t>Nabava oglasnog stupa za knjižnicu</w:t>
      </w:r>
    </w:p>
    <w:p w:rsidR="009E4D5A" w:rsidRDefault="009E4D5A" w:rsidP="009E4D5A">
      <w:pPr>
        <w:jc w:val="both"/>
      </w:pPr>
      <w:r>
        <w:t xml:space="preserve">      - Program gradnje, rekonstrukcije i opremanja kulturne infrastrukture za 2026. godinu - </w:t>
      </w:r>
    </w:p>
    <w:p w:rsidR="009E4D5A" w:rsidRDefault="009E4D5A" w:rsidP="009E4D5A">
      <w:pPr>
        <w:jc w:val="both"/>
        <w:rPr>
          <w:b/>
        </w:rPr>
      </w:pPr>
      <w:r>
        <w:rPr>
          <w:b/>
        </w:rPr>
        <w:t>Nabava ormara - vitrina za izložbeni prostor</w:t>
      </w:r>
    </w:p>
    <w:p w:rsidR="009E4D5A" w:rsidRDefault="009E4D5A" w:rsidP="009E4D5A">
      <w:pPr>
        <w:jc w:val="both"/>
      </w:pPr>
      <w:r>
        <w:t xml:space="preserve">      - Program gradnje, rekonstrukcije i opremanja kulturne infrastrukture za 2026. godinu - </w:t>
      </w:r>
    </w:p>
    <w:p w:rsidR="009E4D5A" w:rsidRDefault="009E4D5A" w:rsidP="009E4D5A">
      <w:pPr>
        <w:jc w:val="both"/>
        <w:rPr>
          <w:b/>
        </w:rPr>
      </w:pPr>
      <w:r>
        <w:rPr>
          <w:b/>
        </w:rPr>
        <w:t>Nabava roll bannera i plakat cerade</w:t>
      </w:r>
    </w:p>
    <w:p w:rsidR="009E4D5A" w:rsidRDefault="009E4D5A" w:rsidP="009E4D5A">
      <w:pPr>
        <w:jc w:val="both"/>
      </w:pPr>
      <w:r>
        <w:t xml:space="preserve">   - Program gradnje, rekonstrukcije i opremanja kulturne infrastrukture za 2026. godini – </w:t>
      </w:r>
    </w:p>
    <w:p w:rsidR="009E4D5A" w:rsidRDefault="009E4D5A" w:rsidP="009E4D5A">
      <w:pPr>
        <w:jc w:val="both"/>
        <w:rPr>
          <w:b/>
        </w:rPr>
      </w:pPr>
      <w:r>
        <w:rPr>
          <w:b/>
        </w:rPr>
        <w:t>Nabava klub stolića pokretnog i drvene kutije na kotačima za spremanje didaktike</w:t>
      </w:r>
    </w:p>
    <w:p w:rsidR="009E4D5A" w:rsidRDefault="009E4D5A" w:rsidP="009E4D5A">
      <w:pPr>
        <w:jc w:val="both"/>
      </w:pPr>
      <w:r>
        <w:t xml:space="preserve">    </w:t>
      </w:r>
    </w:p>
    <w:p w:rsidR="009E4D5A" w:rsidRDefault="009E4D5A" w:rsidP="009E4D5A">
      <w:pPr>
        <w:jc w:val="both"/>
      </w:pPr>
      <w:r>
        <w:t xml:space="preserve">      </w:t>
      </w:r>
    </w:p>
    <w:p w:rsidR="009E4D5A" w:rsidRDefault="009E4D5A" w:rsidP="009E4D5A">
      <w:pPr>
        <w:jc w:val="both"/>
      </w:pPr>
      <w:r>
        <w:lastRenderedPageBreak/>
        <w:t>Tu je i naša Općina Gornji Bogićevci kao osnivač koja je uvijek spremna pomoći pri realizaciji značajnih programa kulturnog razvitka u 2026. godini, a sve u skladu sa financijskim mogućnostima.</w:t>
      </w:r>
    </w:p>
    <w:p w:rsidR="009E4D5A" w:rsidRDefault="009E4D5A" w:rsidP="009E4D5A">
      <w:pPr>
        <w:jc w:val="both"/>
      </w:pPr>
    </w:p>
    <w:p w:rsidR="009E4D5A" w:rsidRDefault="009E4D5A" w:rsidP="009E4D5A">
      <w:pPr>
        <w:jc w:val="both"/>
      </w:pPr>
    </w:p>
    <w:p w:rsidR="009E4D5A" w:rsidRDefault="009E4D5A" w:rsidP="009E4D5A">
      <w:pPr>
        <w:jc w:val="both"/>
        <w:rPr>
          <w:b/>
        </w:rPr>
      </w:pPr>
      <w:r>
        <w:rPr>
          <w:b/>
        </w:rPr>
        <w:t>ORGANIZACIJA RADA KNJIŽNICE:</w:t>
      </w:r>
    </w:p>
    <w:p w:rsidR="009E4D5A" w:rsidRDefault="009E4D5A" w:rsidP="009E4D5A">
      <w:pPr>
        <w:jc w:val="both"/>
        <w:rPr>
          <w:b/>
        </w:rPr>
      </w:pPr>
    </w:p>
    <w:p w:rsidR="009E4D5A" w:rsidRDefault="009E4D5A" w:rsidP="009E4D5A">
      <w:pPr>
        <w:jc w:val="both"/>
        <w:rPr>
          <w:b/>
        </w:rPr>
      </w:pPr>
    </w:p>
    <w:p w:rsidR="009E4D5A" w:rsidRDefault="009E4D5A" w:rsidP="009E4D5A">
      <w:pPr>
        <w:jc w:val="both"/>
      </w:pPr>
      <w:r>
        <w:t xml:space="preserve">Narodna knjižnica i čitaonica „Grigor Vitez“ Gornji Bogićevci za sve korisnike svojih usluga, posjetitelje i članove radi: </w:t>
      </w:r>
    </w:p>
    <w:p w:rsidR="009E4D5A" w:rsidRDefault="009E4D5A" w:rsidP="009E4D5A">
      <w:pPr>
        <w:jc w:val="both"/>
      </w:pPr>
      <w:r>
        <w:t>ponedjeljak – petak: od 7:00 do 15:00 sati, a tako će ostati i u 2026. godini, jer našim korisnicima odgovara, a i nama, jer Općina ima isto radno vrijeme ( pa se time izbjegavaju dodatni troškovi npr. grijanje ne radi poslijepodne samo zbog knjižnice, a i zbog toga što djelatnici općine rade prijepodne pa smo svi u istoj smjeni ).</w:t>
      </w:r>
    </w:p>
    <w:p w:rsidR="009E4D5A" w:rsidRDefault="009E4D5A" w:rsidP="009E4D5A">
      <w:pPr>
        <w:jc w:val="both"/>
      </w:pPr>
      <w:r>
        <w:t>U knjižnici radi jedan djelatnik koji obavlja sve poslove vezane za knjižničnu djelatnost i potrebe knjižnice ( nabavku knjiga prema potrebama stanovništva i učenika, uvođenja knjiga, inventarizaciju, stručenje, izradu knjižnih kataloga, pomoć korisnicima i pronalazak potrebne literature za pisanje seminara, pisanje i kandidiranje programa javnih potreba u kulturi naše knjižnice prema MKM i Županiji, organizaciju i vođenje radionica za djecu i odrasle tijekom cijele godine, postavljanje izložbi, organizaciju književnih susreta i manifestacija s uglednim autorima, organizaciju koncerata i ostalo).</w:t>
      </w:r>
    </w:p>
    <w:p w:rsidR="009E4D5A" w:rsidRDefault="009E4D5A" w:rsidP="009E4D5A">
      <w:pPr>
        <w:jc w:val="both"/>
      </w:pPr>
      <w:r>
        <w:t xml:space="preserve">Piše dopise, sastavlja potrebna izvješća i kandidira potrebne programe prema Ministarstvu kulture i medija, Brodsko-posavskoj županiji ili prema drugima. </w:t>
      </w:r>
    </w:p>
    <w:p w:rsidR="009E4D5A" w:rsidRDefault="009E4D5A" w:rsidP="009E4D5A">
      <w:pPr>
        <w:jc w:val="both"/>
      </w:pPr>
      <w:r>
        <w:t>Djelatnik knjižnice prema potrebi ide na ispomoć u tajništvo Općine Gornji Bogićevci  jer još uvijek nemamo tajnicu općine te obavlja druge poslove po nalogu nadređenih. Kao i poslove vezene uz razne kulturne manifestacije i događanja općine i knjižnice radi podizanja kulturnog života jednog mjesta i njenog stanovništva. Naravno, sve što planiramo, želimo i realizirati, a to prije svega ovisi o financijskoj situaciji.</w:t>
      </w:r>
    </w:p>
    <w:p w:rsidR="009E4D5A" w:rsidRDefault="009E4D5A" w:rsidP="009E4D5A">
      <w:pPr>
        <w:jc w:val="both"/>
      </w:pPr>
    </w:p>
    <w:p w:rsidR="009E4D5A" w:rsidRDefault="009E4D5A" w:rsidP="009E4D5A">
      <w:pPr>
        <w:jc w:val="both"/>
      </w:pPr>
    </w:p>
    <w:p w:rsidR="009E4D5A" w:rsidRDefault="009E4D5A" w:rsidP="009E4D5A">
      <w:pPr>
        <w:jc w:val="center"/>
        <w:rPr>
          <w:b/>
        </w:rPr>
      </w:pPr>
      <w:r>
        <w:rPr>
          <w:b/>
          <w:bdr w:val="single" w:sz="4" w:space="0" w:color="auto"/>
        </w:rPr>
        <w:t>PLAN I PROGRAM RADA ZA 2026. GODINU</w:t>
      </w:r>
    </w:p>
    <w:p w:rsidR="009E4D5A" w:rsidRDefault="009E4D5A" w:rsidP="009E4D5A">
      <w:pPr>
        <w:jc w:val="center"/>
        <w:rPr>
          <w:b/>
        </w:rPr>
      </w:pPr>
    </w:p>
    <w:p w:rsidR="009E4D5A" w:rsidRDefault="009E4D5A" w:rsidP="009E4D5A">
      <w:pPr>
        <w:jc w:val="both"/>
        <w:rPr>
          <w:b/>
        </w:rPr>
      </w:pPr>
    </w:p>
    <w:p w:rsidR="009E4D5A" w:rsidRDefault="009E4D5A" w:rsidP="009E4D5A">
      <w:pPr>
        <w:jc w:val="both"/>
      </w:pPr>
      <w:r>
        <w:t>Narodna knjižnica i čitaonica „Grigor Vitez“ Gornji Bogićevci svoje planirane programe za 2026. godinu realizirat će kroz knjižničnu, informacijsku, edukativnu, kreativnu, likovnu i kulturnu djelatnost.</w:t>
      </w:r>
    </w:p>
    <w:p w:rsidR="009E4D5A" w:rsidRDefault="009E4D5A" w:rsidP="009E4D5A"/>
    <w:p w:rsidR="009E4D5A" w:rsidRDefault="009E4D5A" w:rsidP="009E4D5A"/>
    <w:p w:rsidR="009E4D5A" w:rsidRDefault="009E4D5A" w:rsidP="00A66748">
      <w:pPr>
        <w:numPr>
          <w:ilvl w:val="0"/>
          <w:numId w:val="50"/>
        </w:numPr>
        <w:spacing w:after="0" w:line="240" w:lineRule="auto"/>
      </w:pPr>
      <w:r>
        <w:rPr>
          <w:b/>
        </w:rPr>
        <w:t>KNJIŽNIČNA I OSTALE DJELATNOSTI:</w:t>
      </w:r>
    </w:p>
    <w:p w:rsidR="009E4D5A" w:rsidRDefault="009E4D5A" w:rsidP="009E4D5A"/>
    <w:p w:rsidR="009E4D5A" w:rsidRDefault="009E4D5A" w:rsidP="009E4D5A">
      <w:r>
        <w:lastRenderedPageBreak/>
        <w:t>Naša knjižnica prijavila se na natječaje MINISTARSTVA KULTURE I MEDIJA i ŽUPANIJE BRODSKO-POSAVSKE i to za slijedeće programe:</w:t>
      </w:r>
    </w:p>
    <w:p w:rsidR="009E4D5A" w:rsidRDefault="009E4D5A" w:rsidP="009E4D5A">
      <w:r>
        <w:t xml:space="preserve">- za programe javnih potreba u kulturi  </w:t>
      </w:r>
      <w:r>
        <w:rPr>
          <w:b/>
        </w:rPr>
        <w:t>Ministarstva kulture i medija u 2026. godini</w:t>
      </w:r>
      <w:r>
        <w:t xml:space="preserve"> i</w:t>
      </w:r>
    </w:p>
    <w:p w:rsidR="009E4D5A" w:rsidRDefault="009E4D5A" w:rsidP="009E4D5A">
      <w:r>
        <w:t xml:space="preserve">                                                               </w:t>
      </w:r>
      <w:r>
        <w:rPr>
          <w:b/>
        </w:rPr>
        <w:t>Brodsko-posavske županije</w:t>
      </w:r>
      <w:r>
        <w:t>.</w:t>
      </w:r>
    </w:p>
    <w:p w:rsidR="009E4D5A" w:rsidRDefault="009E4D5A" w:rsidP="009E4D5A"/>
    <w:p w:rsidR="009E4D5A" w:rsidRDefault="009E4D5A" w:rsidP="009E4D5A">
      <w:r>
        <w:t xml:space="preserve">Zatražili smo i očekujemo </w:t>
      </w:r>
      <w:r>
        <w:rPr>
          <w:b/>
        </w:rPr>
        <w:t>18.316,50 eura</w:t>
      </w:r>
      <w:r>
        <w:t xml:space="preserve"> za sve prijavljene i kandidirane programe Ministarstva kulture i medija i Brodsko-posavske županije.  </w:t>
      </w:r>
    </w:p>
    <w:p w:rsidR="009E4D5A" w:rsidRDefault="009E4D5A" w:rsidP="009E4D5A">
      <w:r>
        <w:t xml:space="preserve">Naravno tu je i naša Općina Gornji Bogićevci koja nam također pomaže sa svojim dotacijama prema financijskim mogućnostima.                                                                </w:t>
      </w:r>
    </w:p>
    <w:p w:rsidR="009E4D5A" w:rsidRDefault="009E4D5A" w:rsidP="009E4D5A">
      <w:r>
        <w:t xml:space="preserve">Vrijednost planirane nabave knjižne i ne knjižne građe u 2025. godine  iznosi </w:t>
      </w:r>
      <w:r>
        <w:rPr>
          <w:b/>
        </w:rPr>
        <w:t>cca 9.500,00</w:t>
      </w:r>
      <w:r>
        <w:t xml:space="preserve"> </w:t>
      </w:r>
      <w:r>
        <w:rPr>
          <w:b/>
        </w:rPr>
        <w:t xml:space="preserve">eura </w:t>
      </w:r>
      <w:r>
        <w:t xml:space="preserve">od kojih od:                                                                                                                                              - Ministarstva kulture i medija - za nabavu knjiga uvrštenih na popis A i popis B za 2025. god -otkup u knjigama očekujemo cca 4.000,00 eura                              </w:t>
      </w:r>
    </w:p>
    <w:p w:rsidR="009E4D5A" w:rsidRDefault="009E4D5A" w:rsidP="009E4D5A">
      <w:r>
        <w:t xml:space="preserve">- kupnja cca 5.000,00 eura i                                                                                                                                            - darovane knjige cca 500,00 eura </w:t>
      </w:r>
    </w:p>
    <w:p w:rsidR="009E4D5A" w:rsidRDefault="009E4D5A" w:rsidP="009E4D5A"/>
    <w:p w:rsidR="009E4D5A" w:rsidRDefault="009E4D5A" w:rsidP="009E4D5A"/>
    <w:p w:rsidR="009E4D5A" w:rsidRDefault="009E4D5A" w:rsidP="009E4D5A">
      <w:pPr>
        <w:rPr>
          <w:b/>
        </w:rPr>
      </w:pPr>
      <w:r w:rsidRPr="009E4D5A">
        <w:rPr>
          <w:highlight w:val="lightGray"/>
        </w:rPr>
        <w:t xml:space="preserve">Od </w:t>
      </w:r>
      <w:r w:rsidRPr="009E4D5A">
        <w:rPr>
          <w:b/>
          <w:highlight w:val="lightGray"/>
        </w:rPr>
        <w:t>Ministarstva kulture i medija</w:t>
      </w:r>
      <w:r w:rsidRPr="009E4D5A">
        <w:rPr>
          <w:highlight w:val="lightGray"/>
        </w:rPr>
        <w:t xml:space="preserve"> zatražili smo </w:t>
      </w:r>
      <w:r w:rsidRPr="009E4D5A">
        <w:rPr>
          <w:b/>
          <w:highlight w:val="lightGray"/>
        </w:rPr>
        <w:t>13.970,00 eura</w:t>
      </w:r>
      <w:r w:rsidRPr="009E4D5A">
        <w:rPr>
          <w:highlight w:val="lightGray"/>
        </w:rPr>
        <w:t xml:space="preserve"> i očekujemo </w:t>
      </w:r>
      <w:r w:rsidRPr="009E4D5A">
        <w:rPr>
          <w:b/>
          <w:highlight w:val="lightGray"/>
        </w:rPr>
        <w:t>za 2026. godinu:</w:t>
      </w:r>
    </w:p>
    <w:p w:rsidR="009E4D5A" w:rsidRDefault="009E4D5A" w:rsidP="009E4D5A">
      <w:r>
        <w:rPr>
          <w:b/>
        </w:rPr>
        <w:t xml:space="preserve">- </w:t>
      </w:r>
      <w:r>
        <w:t>4.000,00 eura  - za nabavu knjiga uvrštenih na popis A i popis B za 2026. godinu</w:t>
      </w:r>
    </w:p>
    <w:p w:rsidR="009E4D5A" w:rsidRDefault="009E4D5A" w:rsidP="009E4D5A">
      <w:r>
        <w:t xml:space="preserve">- 3.500,00 eura - za nabavu knjižne i ne knjižne građe, </w:t>
      </w:r>
    </w:p>
    <w:p w:rsidR="009E4D5A" w:rsidRDefault="009E4D5A" w:rsidP="009E4D5A">
      <w:r>
        <w:t>-    350,00 eura - za promocije knjiga za odrasle i književni susreti s autorima</w:t>
      </w:r>
    </w:p>
    <w:p w:rsidR="009E4D5A" w:rsidRDefault="009E4D5A" w:rsidP="009E4D5A">
      <w:r>
        <w:t>-    400,00 eura - za književne susrete s autorima za djecu i mlade i promocije knjiga</w:t>
      </w:r>
    </w:p>
    <w:p w:rsidR="009E4D5A" w:rsidRDefault="009E4D5A" w:rsidP="009E4D5A">
      <w:r>
        <w:t>-    800,00 eura - za predstave djecu i odrasle</w:t>
      </w:r>
    </w:p>
    <w:p w:rsidR="009E4D5A" w:rsidRDefault="009E4D5A" w:rsidP="009E4D5A">
      <w:r>
        <w:t>-    400,00 eura - za književni susret sa Sanjom Pilić dječjom spisateljicom</w:t>
      </w:r>
    </w:p>
    <w:p w:rsidR="009E4D5A" w:rsidRDefault="009E4D5A" w:rsidP="009E4D5A">
      <w:r>
        <w:t xml:space="preserve">-    350,00 eura - za vizualne umjetnosti – kreativno-likovne radionice za djecu i odrasle, te </w:t>
      </w:r>
    </w:p>
    <w:p w:rsidR="009E4D5A" w:rsidRDefault="009E4D5A" w:rsidP="009E4D5A">
      <w:r>
        <w:t xml:space="preserve">                           izložbe</w:t>
      </w:r>
    </w:p>
    <w:p w:rsidR="009E4D5A" w:rsidRDefault="009E4D5A" w:rsidP="009E4D5A">
      <w:r>
        <w:t xml:space="preserve">-    600,00 eura - za instalaciju knjižničnog softwarea - ZakiWeb ili Crolist </w:t>
      </w:r>
    </w:p>
    <w:p w:rsidR="009E4D5A" w:rsidRDefault="009E4D5A" w:rsidP="009E4D5A">
      <w:r>
        <w:t>-    550,00 eura - za nabavu opreme - kutić mekani - garnitura</w:t>
      </w:r>
    </w:p>
    <w:p w:rsidR="009E4D5A" w:rsidRDefault="009E4D5A" w:rsidP="009E4D5A">
      <w:r>
        <w:t>-    550,00 eura - za nabavu opreme - okruglih stolova i dječjih drvenih stolica</w:t>
      </w:r>
    </w:p>
    <w:p w:rsidR="009E4D5A" w:rsidRDefault="009E4D5A" w:rsidP="009E4D5A">
      <w:r>
        <w:t>-    300,00 eura - za nabavu opreme - freeon plastičnog stola sa dvije stolice</w:t>
      </w:r>
    </w:p>
    <w:p w:rsidR="009E4D5A" w:rsidRDefault="009E4D5A" w:rsidP="009E4D5A">
      <w:r>
        <w:t xml:space="preserve">-    280,00 eura - za nabavu opreme - polivalentnog panoa za kazalište lutaka i sjene na </w:t>
      </w:r>
    </w:p>
    <w:p w:rsidR="009E4D5A" w:rsidRDefault="009E4D5A" w:rsidP="009E4D5A">
      <w:r>
        <w:t xml:space="preserve">                            kotačima</w:t>
      </w:r>
    </w:p>
    <w:p w:rsidR="009E4D5A" w:rsidRDefault="009E4D5A" w:rsidP="009E4D5A">
      <w:r>
        <w:t xml:space="preserve">-    500,00 eura - za nabavu opreme - garderobe s klupicama </w:t>
      </w:r>
    </w:p>
    <w:p w:rsidR="009E4D5A" w:rsidRDefault="009E4D5A" w:rsidP="009E4D5A">
      <w:r>
        <w:t>-    300,00 eura - za nabavu opreme - oglasnog stupa za knjižnicu</w:t>
      </w:r>
    </w:p>
    <w:p w:rsidR="009E4D5A" w:rsidRDefault="009E4D5A" w:rsidP="009E4D5A">
      <w:r>
        <w:lastRenderedPageBreak/>
        <w:t xml:space="preserve">-    640,00 eura - za nabavu opreme -  ormara - vitrina za izložbeni prostor </w:t>
      </w:r>
    </w:p>
    <w:p w:rsidR="009E4D5A" w:rsidRDefault="009E4D5A" w:rsidP="009E4D5A">
      <w:r>
        <w:t>-    100,00 eura - za nabavu opreme - roll up bannera i plakat cerade</w:t>
      </w:r>
    </w:p>
    <w:p w:rsidR="009E4D5A" w:rsidRDefault="009E4D5A" w:rsidP="009E4D5A">
      <w:r>
        <w:t xml:space="preserve">-    350,00 eura - za nabavu opreme - klub stolića pokretnog i drvene kutije na kotačima za </w:t>
      </w:r>
    </w:p>
    <w:p w:rsidR="009E4D5A" w:rsidRDefault="009E4D5A" w:rsidP="009E4D5A">
      <w:r>
        <w:t xml:space="preserve">                            spremanje didaktike</w:t>
      </w:r>
    </w:p>
    <w:p w:rsidR="009E4D5A" w:rsidRDefault="009E4D5A" w:rsidP="009E4D5A"/>
    <w:p w:rsidR="009E4D5A" w:rsidRDefault="009E4D5A" w:rsidP="009E4D5A">
      <w:pPr>
        <w:jc w:val="both"/>
      </w:pPr>
      <w:r w:rsidRPr="009E4D5A">
        <w:rPr>
          <w:highlight w:val="lightGray"/>
        </w:rPr>
        <w:t xml:space="preserve">Od </w:t>
      </w:r>
      <w:r w:rsidRPr="009E4D5A">
        <w:rPr>
          <w:b/>
          <w:highlight w:val="lightGray"/>
        </w:rPr>
        <w:t>Brodsko-posavske</w:t>
      </w:r>
      <w:r w:rsidRPr="009E4D5A">
        <w:rPr>
          <w:highlight w:val="lightGray"/>
        </w:rPr>
        <w:t xml:space="preserve"> ž</w:t>
      </w:r>
      <w:r w:rsidRPr="009E4D5A">
        <w:rPr>
          <w:b/>
          <w:highlight w:val="lightGray"/>
        </w:rPr>
        <w:t>upanije</w:t>
      </w:r>
      <w:r w:rsidRPr="009E4D5A">
        <w:rPr>
          <w:highlight w:val="lightGray"/>
        </w:rPr>
        <w:t xml:space="preserve"> zatražili </w:t>
      </w:r>
      <w:r w:rsidRPr="009E4D5A">
        <w:rPr>
          <w:b/>
          <w:highlight w:val="lightGray"/>
        </w:rPr>
        <w:t>1.497,50 eura</w:t>
      </w:r>
      <w:r w:rsidRPr="009E4D5A">
        <w:rPr>
          <w:highlight w:val="lightGray"/>
        </w:rPr>
        <w:t xml:space="preserve"> i očekujemo </w:t>
      </w:r>
      <w:r w:rsidRPr="009E4D5A">
        <w:rPr>
          <w:b/>
          <w:highlight w:val="lightGray"/>
        </w:rPr>
        <w:t>za 2026. godinu</w:t>
      </w:r>
      <w:r w:rsidRPr="009E4D5A">
        <w:rPr>
          <w:highlight w:val="lightGray"/>
        </w:rPr>
        <w:t>:</w:t>
      </w:r>
    </w:p>
    <w:p w:rsidR="009E4D5A" w:rsidRDefault="009E4D5A" w:rsidP="009E4D5A">
      <w:r>
        <w:t>-  450,00 eura - za nabavu knjižne i ne knjižne građe</w:t>
      </w:r>
    </w:p>
    <w:p w:rsidR="009E4D5A" w:rsidRDefault="009E4D5A" w:rsidP="009E4D5A">
      <w:r>
        <w:t>-  347,50 eura - za nabavu opreme - okruglih stolova i dječjih drvenih stolica</w:t>
      </w:r>
    </w:p>
    <w:p w:rsidR="009E4D5A" w:rsidRDefault="009E4D5A" w:rsidP="009E4D5A">
      <w:r>
        <w:t>-  400,00 eura - za nabavu opreme - ormara - vitrina za izložbeni prostor</w:t>
      </w:r>
    </w:p>
    <w:p w:rsidR="009E4D5A" w:rsidRDefault="009E4D5A" w:rsidP="009E4D5A">
      <w:r>
        <w:t xml:space="preserve"> </w:t>
      </w:r>
    </w:p>
    <w:p w:rsidR="009E4D5A" w:rsidRDefault="009E4D5A" w:rsidP="009E4D5A">
      <w:pPr>
        <w:jc w:val="both"/>
      </w:pPr>
      <w:r>
        <w:t>Od naše Općine, odnosno Osnivača očekujemo plaćanje troškove grijanja, električne energije, usluge telefona i pošte, usluge tekućeg i investicijskog održavanja, usluge promidžbe, računalne usluge, bankarske usluge, uredski materijal, stručno usavršavanje i službena putovanja ( ako budu moguća, jer u 2025. godini su bila jako skromna (dva odlaska u Matičnu knjižnicu Slavonski Brod ), plaća voditelju knjižnice i ostalo, što cca iznosi 28.000,00 eura.</w:t>
      </w:r>
    </w:p>
    <w:p w:rsidR="009E4D5A" w:rsidRDefault="009E4D5A" w:rsidP="009E4D5A">
      <w:pPr>
        <w:jc w:val="both"/>
      </w:pPr>
      <w:r>
        <w:t>I vlastite prihode očekujemo cca 350,00 eura ( članarine,  zakasnine, oštećenja knjige, korištenje interneta … ) jer smo u 2025. povećali prihode knjižnice.</w:t>
      </w:r>
    </w:p>
    <w:p w:rsidR="009E4D5A" w:rsidRDefault="009E4D5A" w:rsidP="009E4D5A">
      <w:pPr>
        <w:jc w:val="both"/>
      </w:pPr>
      <w:r>
        <w:t>U 2026. godini planiramo nabaviti cca 550 svezaka knjižne građe ( kupnja, otkup Ministarstva kulture i medija, donacije i sami pokloni građana ).</w:t>
      </w:r>
    </w:p>
    <w:p w:rsidR="009E4D5A" w:rsidRDefault="009E4D5A" w:rsidP="009E4D5A">
      <w:pPr>
        <w:jc w:val="both"/>
      </w:pPr>
      <w:r>
        <w:t>Knjižna građa nabavljena u 2025. godini biti će tijekom godine tehnički obrađena, ostručena, klasificirana, katalogizirana i dostupna našim korisnicima na korištenje i pregled.</w:t>
      </w:r>
    </w:p>
    <w:p w:rsidR="009E4D5A" w:rsidRDefault="009E4D5A" w:rsidP="009E4D5A">
      <w:pPr>
        <w:jc w:val="both"/>
      </w:pPr>
      <w:r>
        <w:t>Što se tiče dnevnog tiska, časopisa planiramo nastaviti i dalje s nabavkom dječjih i časopisa za djecu i mlade: „Prvi izbor“, „Smib“, „Moj planet“, „Merdijani“, „Modra lasta“, „History“ ( neki od časopisa se u prošloj godini nisu tiskalo, ali saznali smo kako opet kreće tiskanju u 2025. godini pa ih planiramo nabaviti za našu knjižnicu. Također želimo povećati izbor tiska i časopisa što naravno ovisi i financijskim mogućnostima. Planiramo i nadalje nabavljati časopise za odrasle, „Gospodarski list“, „Posavsku Hrvatsku“. Primali smo ( besplatno ), a isto tako želimo i nastaviti u 2025. godini s  časopisima: „Hrvatske šume“, „Hrvatska vodoprivreda“, „Lovački vjesnik“, „Novosti HKD-u“, „Cajtung“, Zadruga, Poduzetnik, Agro-Hit, Udruga, Vatrogasni vjesnik itd.</w:t>
      </w:r>
    </w:p>
    <w:p w:rsidR="009E4D5A" w:rsidRDefault="009E4D5A" w:rsidP="009E4D5A">
      <w:pPr>
        <w:jc w:val="both"/>
      </w:pPr>
      <w:r>
        <w:t>Svi članovi knjižnice slobodno mogu doći i pročitati što god ih zanima, a nalazi se  na policama naše knjižnice i dostupno je svima tko želi čitati i nešto novo saznati.</w:t>
      </w:r>
    </w:p>
    <w:p w:rsidR="009E4D5A" w:rsidRDefault="009E4D5A" w:rsidP="009E4D5A">
      <w:pPr>
        <w:jc w:val="both"/>
      </w:pPr>
      <w:r>
        <w:t>Članovi i korisnici naših usluga slobodno se mogu javiti i s idejama ili potrebama za nabavkom nekih novih naslova ( bilo knjižne ili neknjižne građe ) kojih nemamo u našoj knjižnici, a bilo bi dobro ih nabaviti i uvrstiti u fond knjižnice.</w:t>
      </w:r>
    </w:p>
    <w:p w:rsidR="009E4D5A" w:rsidRDefault="009E4D5A" w:rsidP="009E4D5A">
      <w:pPr>
        <w:jc w:val="both"/>
      </w:pPr>
    </w:p>
    <w:p w:rsidR="009E4D5A" w:rsidRDefault="009E4D5A" w:rsidP="009E4D5A">
      <w:pPr>
        <w:jc w:val="both"/>
        <w:rPr>
          <w:b/>
        </w:rPr>
      </w:pPr>
      <w:r>
        <w:rPr>
          <w:b/>
        </w:rPr>
        <w:t>Rad s korisnicima:</w:t>
      </w:r>
    </w:p>
    <w:p w:rsidR="009E4D5A" w:rsidRDefault="009E4D5A" w:rsidP="009E4D5A">
      <w:pPr>
        <w:jc w:val="both"/>
      </w:pPr>
    </w:p>
    <w:p w:rsidR="009E4D5A" w:rsidRDefault="009E4D5A" w:rsidP="009E4D5A">
      <w:pPr>
        <w:jc w:val="both"/>
      </w:pPr>
      <w:r>
        <w:lastRenderedPageBreak/>
        <w:t>U predstojećoj 2025. godine posvetit ćemo posebnu pozornost i što veću važnost radu s korisnicima, jer zbog njih i djelujemo. Do sada smo najviše bazirali program rada sa predškolskom i školskom djecom ( razne radionice povodom obilježavanja kulturnih događanja, izložbe naših malih umjetnika i literata, susreti s piscima i njihovo druženje uz znatiželjna pitanja, održavanje satova lektire djece i učiteljica 1-4 razreda osnovne škole, pričaonice, kvizove…). I ove godine nastavit ćemo vrlo uspješnu suradnju s nastavnicima i učenicima nižih razreda područnih škola Gornji Bogićevci i Smrtić, osnovnih škola Okučani i Dragalić, te područne škole Gorice, kao i drugih ustanova i udruga na području naše Općine ( posebno dobru suradnju imamo s Udrugom umirovljenika općine Gornji Bogićevci i učiteljicama naših područnih škola ). Nastojat ćemo pridobiti onu generaciju potencijalnih korisnika knjižnice koji su nezainteresirani, a to je naša mladež koje je sve manje i koji nas po završetku srednjih škola i fakulteta napuštaju, odlaskom u druge dijelove lijepe naše ili druge evropske zemlje u potrazi za poslom.</w:t>
      </w:r>
    </w:p>
    <w:p w:rsidR="009E4D5A" w:rsidRDefault="009E4D5A" w:rsidP="009E4D5A">
      <w:pPr>
        <w:jc w:val="both"/>
      </w:pPr>
      <w:r>
        <w:t>Također planiramo u 2025. godini nastaviti sa dobro prihvaćenim radionicama za djecu i odrasle iz prethodnih godina povodom raznih događanja i obilježavanja poznatih kulturnih datuma i manifestacija, tribinama i edukativnim radionicama za sve zainteresirano pučanstvo Općine Gornji Bogićevci, te našim novim književnim večerima - čajankama.</w:t>
      </w:r>
    </w:p>
    <w:p w:rsidR="009E4D5A" w:rsidRDefault="009E4D5A" w:rsidP="009E4D5A">
      <w:pPr>
        <w:jc w:val="both"/>
      </w:pPr>
      <w:r>
        <w:t>Naravno, sve ovisi o našim mogućnostima i financijama, te vremenu koje ćemo moći odvojiti za rad s našim korisnicima s obzirom da djelatnica knjižnice radi sama i obavlja sve poslove u knjižnici, a prema potrebi i u Općini.</w:t>
      </w:r>
    </w:p>
    <w:p w:rsidR="009E4D5A" w:rsidRDefault="009E4D5A" w:rsidP="009E4D5A">
      <w:pPr>
        <w:jc w:val="both"/>
      </w:pPr>
      <w:r>
        <w:t>Isto tako prihvaćamo sve prijedloge i sugestije koje će utjecati na poboljšanje samoga rada knjižnice i svih članova, te onih koji će to postati.</w:t>
      </w:r>
    </w:p>
    <w:p w:rsidR="009E4D5A" w:rsidRDefault="009E4D5A" w:rsidP="009E4D5A">
      <w:pPr>
        <w:jc w:val="both"/>
      </w:pPr>
    </w:p>
    <w:p w:rsidR="009E4D5A" w:rsidRDefault="009E4D5A" w:rsidP="009E4D5A">
      <w:pPr>
        <w:jc w:val="both"/>
        <w:rPr>
          <w:b/>
        </w:rPr>
      </w:pPr>
      <w:r>
        <w:rPr>
          <w:b/>
        </w:rPr>
        <w:t>Planirani upisi:</w:t>
      </w:r>
    </w:p>
    <w:p w:rsidR="009E4D5A" w:rsidRDefault="009E4D5A" w:rsidP="009E4D5A">
      <w:pPr>
        <w:jc w:val="both"/>
        <w:rPr>
          <w:b/>
        </w:rPr>
      </w:pPr>
    </w:p>
    <w:p w:rsidR="009E4D5A" w:rsidRDefault="009E4D5A" w:rsidP="009E4D5A">
      <w:pPr>
        <w:jc w:val="both"/>
      </w:pPr>
      <w:r>
        <w:t>Djeca od predškolskog uzrasta pa sve do 8 razreda: 30 članova</w:t>
      </w:r>
    </w:p>
    <w:p w:rsidR="009E4D5A" w:rsidRDefault="009E4D5A" w:rsidP="009E4D5A">
      <w:pPr>
        <w:jc w:val="both"/>
      </w:pPr>
      <w:r>
        <w:t>Odrasli:  140 članova</w:t>
      </w:r>
    </w:p>
    <w:p w:rsidR="009E4D5A" w:rsidRDefault="009E4D5A" w:rsidP="009E4D5A">
      <w:pPr>
        <w:jc w:val="both"/>
      </w:pPr>
      <w:r>
        <w:t xml:space="preserve">Iznos godišnje članske iskaznice za odrasle je 6,00 za umirovljenike, za zaposlene 8,00 eura, a za djecu 5,00 eura što je više nego povoljno ( i članarinu smo prvi put mijenjali u 2023. godini od osnutka knjižnice ). Tako smo u prošloj godini imali znatno povećanje upisa u knjižnicu i broja novih članova i vjerujemo kako je na samo povećanje utjecala i besplatno podizanje knjiga. Vjerujemo kako će i iduća 2026. godina bilježiti porast upisa i dolaska novih korisnika što nas jako veseli. Bilježimo i porast interesa za knjigu i čitanje, ne samo knjižne građe odnosno obvezene lektire već i knjiga slobodnog sadržaja i izbora. I vjerujemo kako će 2026. godina bit još bolja, s većim brojem novih članova, kako onih naj mlađih, tako onih najstarijih koji pokazuju sve veći interes za knjigu i čitanje. </w:t>
      </w:r>
    </w:p>
    <w:p w:rsidR="009E4D5A" w:rsidRDefault="009E4D5A" w:rsidP="009E4D5A">
      <w:pPr>
        <w:jc w:val="both"/>
      </w:pPr>
      <w:r>
        <w:t xml:space="preserve">Narodna knjižnica okuplja velik broj djece (većina članova prije su bila djeca, a sada su to naši dragi umirovljenici), jer škola nema svoju vlastitu knjižnicu, pa je naša knjižnica jedina kulturna ustanova, osim škole, koja pruža djeci mogućnosti naučiti  i obogatiti se dodatnim znanjem. Međutim još uvijek se susrećemo s jednim velikim  i sve češćim problemom: nedovoljnom osviješćenošću naših mladih roditelja, što za razvoj i pravilno odrastanje njihova djeteta znači rani i prvi susret s KNJIŽNICOM ( misli se na mali broj članova samih roditelja i djece predškolske dobi ). </w:t>
      </w:r>
    </w:p>
    <w:p w:rsidR="009E4D5A" w:rsidRDefault="009E4D5A" w:rsidP="009E4D5A">
      <w:pPr>
        <w:jc w:val="both"/>
      </w:pPr>
    </w:p>
    <w:p w:rsidR="009E4D5A" w:rsidRDefault="009E4D5A" w:rsidP="009E4D5A">
      <w:pPr>
        <w:jc w:val="both"/>
      </w:pPr>
      <w:r>
        <w:lastRenderedPageBreak/>
        <w:t>Zato u 2025. planiramo povećat broj susreta djece i pisaca, nabaviti dječje igrice ili igračke, dječje filmove i crtiće, povećati broj radionica s djecom, organizirati predstave za djecu, čitanja priča u nabavljenoj fotelji za pričaonicu, video – kutak, likovni izložbi dječjih radova…te učiniti sve što je u našim mogućnostima kako bi privukli nove članove koji vole knjižnicu, knjigu i samo čitanje. Što smo u 2024. godini i postigli, a u 2025. nastojat ćemo „privući“ što veći broj novih članova i korisnika. Trudit ćemo se još bolje osmisliti i realizirati promidžbu naše Knjižnice, a u svemu tomu, uz vlastiti trud i entuzijazam, molimo i za razumijevanje i pomoć Ministarstva kulture i medija, Županije, Osnivača i dr. ustanova, udruga, uspješnih gospodarstvenika ( kao sponzora ) koji razumiju što Knjižnica znači i može značiti za ukupan razvoj jednog mjesta i jedne manje sredine, te njenih mještana. I stvarno vjerujemo kako ćemo moći sve zamišljeno i realizirati na zadovoljstvo svih naših članova i korisnika.</w:t>
      </w:r>
    </w:p>
    <w:p w:rsidR="009E4D5A" w:rsidRDefault="009E4D5A" w:rsidP="009E4D5A">
      <w:pPr>
        <w:jc w:val="both"/>
      </w:pPr>
      <w:r>
        <w:t>I to nam je samo još jedan veliki poticaj za bolji rad nas i naše knjižnice koju svi volimo i rado dolazimo u nju.</w:t>
      </w:r>
    </w:p>
    <w:p w:rsidR="009E4D5A" w:rsidRDefault="009E4D5A" w:rsidP="009E4D5A">
      <w:pPr>
        <w:jc w:val="both"/>
      </w:pPr>
    </w:p>
    <w:p w:rsidR="009E4D5A" w:rsidRDefault="009E4D5A" w:rsidP="009E4D5A">
      <w:pPr>
        <w:jc w:val="both"/>
      </w:pPr>
    </w:p>
    <w:p w:rsidR="009E4D5A" w:rsidRDefault="009E4D5A" w:rsidP="009E4D5A">
      <w:pPr>
        <w:jc w:val="both"/>
        <w:rPr>
          <w:b/>
        </w:rPr>
      </w:pPr>
      <w:r>
        <w:rPr>
          <w:b/>
        </w:rPr>
        <w:t>Planirana posudba:</w:t>
      </w:r>
    </w:p>
    <w:p w:rsidR="009E4D5A" w:rsidRDefault="009E4D5A" w:rsidP="009E4D5A">
      <w:pPr>
        <w:jc w:val="both"/>
        <w:rPr>
          <w:b/>
        </w:rPr>
      </w:pPr>
    </w:p>
    <w:p w:rsidR="009E4D5A" w:rsidRDefault="009E4D5A" w:rsidP="009E4D5A">
      <w:pPr>
        <w:jc w:val="both"/>
      </w:pPr>
      <w:r>
        <w:t xml:space="preserve">U 2026. godini planiramo čitanje knjiga povećati, usprkos brojnim brzim internetskim pogodnostima koja pruža današnja Internet tehnologija. </w:t>
      </w:r>
    </w:p>
    <w:p w:rsidR="009E4D5A" w:rsidRDefault="009E4D5A" w:rsidP="009E4D5A">
      <w:pPr>
        <w:jc w:val="both"/>
      </w:pPr>
      <w:r>
        <w:t>Planirana posudba tijekom 2026. godine je cca 580 knjiga te 2025. opet nam se povećao broj posudbe knjiga, što nas je jako obradovalo i ugodno iznenadilo, a broj posjeta u Narodnoj  knjižnici i čitaonici „Grigor Vitez“ Gornji Bogićevci i svih naših kulturnih manifestacija i događanja broji cca 4950 posjetitelja.</w:t>
      </w:r>
    </w:p>
    <w:p w:rsidR="009E4D5A" w:rsidRDefault="009E4D5A" w:rsidP="009E4D5A">
      <w:pPr>
        <w:jc w:val="both"/>
      </w:pPr>
      <w:r>
        <w:t>* Pružat ćemo stručnu pomoć u odabiru knjižnične građe za različite teme i pismene radove kao i za maturske radnje staviti na korištenje raznoliku referentnu literaturu ( enciklopedije, leksikoni, rječnici, stručni časopisi, bibliografije…)</w:t>
      </w:r>
    </w:p>
    <w:p w:rsidR="009E4D5A" w:rsidRDefault="009E4D5A" w:rsidP="009E4D5A">
      <w:pPr>
        <w:jc w:val="both"/>
      </w:pPr>
      <w:r>
        <w:t>Međuknjižnična posudba za korisnike Narodne knjižnice i čitaonice „Grigor Vitez“ Gornji Bogićevci bit će ostvarena prema potrebi korisnika posudbom i razmjenom preko Matične knjižnice Slavonski Brod, Gradske knjižnice Nova Gradiška, Narodne knjižnice Okučani i školske knjižnice u OŠ Okučani ( s kojom imamo najveću suradnju i međuknjižničnu posudbu – vjerojatno zbog toga što smo najbliže jedna drugoj i najbrže dođemo do potrebnih naslova )  ako je to potrebno, kao što smo to činili i do sada – prethodnih godina, na zadovoljstvo i korist svih nas, naših korisnika i vjernih čllanova i čitatelja.</w:t>
      </w: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A66748">
      <w:pPr>
        <w:pStyle w:val="Odlomakpopisa"/>
        <w:numPr>
          <w:ilvl w:val="0"/>
          <w:numId w:val="50"/>
        </w:numPr>
        <w:spacing w:after="0" w:line="240" w:lineRule="auto"/>
        <w:jc w:val="both"/>
        <w:rPr>
          <w:b/>
        </w:rPr>
      </w:pPr>
      <w:r>
        <w:rPr>
          <w:b/>
        </w:rPr>
        <w:t>INFORMACIJSKA DJELATNOST:</w:t>
      </w:r>
    </w:p>
    <w:p w:rsidR="009E4D5A" w:rsidRDefault="009E4D5A" w:rsidP="009E4D5A">
      <w:pPr>
        <w:pStyle w:val="Odlomakpopisa"/>
        <w:ind w:left="540"/>
        <w:jc w:val="both"/>
        <w:rPr>
          <w:b/>
        </w:rPr>
      </w:pPr>
    </w:p>
    <w:p w:rsidR="009E4D5A" w:rsidRDefault="009E4D5A" w:rsidP="009E4D5A">
      <w:pPr>
        <w:jc w:val="both"/>
        <w:rPr>
          <w:b/>
        </w:rPr>
      </w:pPr>
    </w:p>
    <w:p w:rsidR="009E4D5A" w:rsidRDefault="009E4D5A" w:rsidP="009E4D5A">
      <w:pPr>
        <w:jc w:val="both"/>
      </w:pPr>
      <w:r>
        <w:t xml:space="preserve">Što se tiče informacijske djelatnosti od 2007. godine naša Općina izdaje „Službeni glasnik“ u kojem će se objavljuju sve važne odluke i  zakonski akti vezani za rad knjižnice ( statut, odluke, pravilnici, izvješća i dr.…). </w:t>
      </w:r>
      <w:r>
        <w:lastRenderedPageBreak/>
        <w:t>Svi prilozi o radu naše knjižnice, važna zbivanja i obilježavanja prigodnih datuma, intervjui, poziv na radionice i književne susrete kao i prigodne koncerte, objavljivat će se, kao i do sada, u emisijama i medija „RADIO-BLJESAK“ Okučani, Hrvatski radio Nova Gradiška, Novagra – tekuće vijest, NG - Buntovnici, RP „Prkos“ Nova Gradiška, Posavskoj Hrvatskoj te novo nabavljenoj oglasnoj ploči u predvorju Općine i na web portalu Općine Gornji Bogićevci, kao i na novom facebooku knjižnice ( od 12. mjeseca 2022. godine ) tako da će cjelokupno pučanstvo naše Općine na vrijeme biti informirano o svim aktivnostima naše knjižnice. A zainteresirano pučanstvo za sve nejasnoće i pitanja može se obratiti i u knjižnicu koja uvijek svima stoji na raspolaganju i koja je uvijek tu sa sve naše članove i korisnike i sve one koji žele postati članovi i korisnici naše knjižnice.</w:t>
      </w:r>
    </w:p>
    <w:p w:rsidR="009E4D5A" w:rsidRDefault="009E4D5A" w:rsidP="009E4D5A">
      <w:pPr>
        <w:jc w:val="both"/>
      </w:pPr>
      <w:r>
        <w:t>Svaki prijedlog i sugestija su uvijek dobro došli i rado prihvaćeni.</w:t>
      </w:r>
    </w:p>
    <w:p w:rsidR="009E4D5A" w:rsidRDefault="009E4D5A" w:rsidP="009E4D5A">
      <w:pPr>
        <w:jc w:val="both"/>
      </w:pPr>
    </w:p>
    <w:p w:rsidR="009E4D5A" w:rsidRDefault="009E4D5A" w:rsidP="009E4D5A">
      <w:pPr>
        <w:jc w:val="both"/>
      </w:pPr>
    </w:p>
    <w:p w:rsidR="009E4D5A" w:rsidRDefault="009E4D5A" w:rsidP="009E4D5A">
      <w:pPr>
        <w:jc w:val="both"/>
        <w:rPr>
          <w:b/>
        </w:rPr>
      </w:pPr>
      <w:r>
        <w:rPr>
          <w:b/>
        </w:rPr>
        <w:t>3. EDUKATIVNA DJELATNOST:</w:t>
      </w:r>
    </w:p>
    <w:p w:rsidR="009E4D5A" w:rsidRDefault="009E4D5A" w:rsidP="009E4D5A">
      <w:pPr>
        <w:jc w:val="both"/>
        <w:rPr>
          <w:b/>
        </w:rPr>
      </w:pPr>
    </w:p>
    <w:p w:rsidR="009E4D5A" w:rsidRDefault="009E4D5A" w:rsidP="009E4D5A">
      <w:pPr>
        <w:jc w:val="both"/>
      </w:pPr>
      <w:r>
        <w:t>U svrhu učinkovite edukacije korisnika, djelatnik će tijekom 2026. godine ( naravno ako za to bude financijskih sredstava ) sudjelovati na stručnim  predavanjima koja će organizirati naša Matična knjižnica u suradnji s uglednim knjižničarima i knjižničarskim udrugama te suradnjom s NSK-Zagreb, Knjižnicama Grada Zagreba i ostalim knjižnicama u Hrvatskoj. Prema raspoloživim sredstvima, planiramo sudjelovati i na redovitoj edukaciji djelatnika ( edukativni seminari, aktivi, predavanja vezana uz knjižničarsku djelatnost ), te u programu CENTRA ZA STALNO USAVRŠAVANJE KNJIŽNIČARA u organizaciji NSK Zagreb, Knjižnicama Grada Zagreba, Gradskom knjižnicom te Filozofskog fakulteta – Odsjek za informacijske znanosti. Iskreno se nadamo realizaciji budućih edukacija, naravno, sve ovisi o financijskim sredstvima i mogućnostima. Najviše sudjelujemo na webinarima u organizaciji Centra za stalno stručno usavršavanje knjižničara u RH zato što su besplatni i nama svima dostupni i prihvatljivi ( nemamo nikakav trošak niti odlazak s radnog mjesta na zadovoljstvo i knjižničara  i naših korisnika, a najviše našeg osnivača jer ništa ne mora plaćati za seminar).</w:t>
      </w:r>
    </w:p>
    <w:p w:rsidR="009E4D5A" w:rsidRDefault="009E4D5A" w:rsidP="009E4D5A">
      <w:pPr>
        <w:jc w:val="both"/>
      </w:pPr>
    </w:p>
    <w:p w:rsidR="009E4D5A" w:rsidRDefault="009E4D5A" w:rsidP="009E4D5A">
      <w:pPr>
        <w:jc w:val="both"/>
      </w:pPr>
    </w:p>
    <w:p w:rsidR="009E4D5A" w:rsidRDefault="009E4D5A" w:rsidP="009E4D5A">
      <w:pPr>
        <w:jc w:val="both"/>
      </w:pPr>
      <w:r>
        <w:rPr>
          <w:b/>
        </w:rPr>
        <w:t>4. KREATIVNA DJELATNOST</w:t>
      </w:r>
      <w:r>
        <w:t>:</w:t>
      </w:r>
    </w:p>
    <w:p w:rsidR="009E4D5A" w:rsidRDefault="009E4D5A" w:rsidP="009E4D5A">
      <w:pPr>
        <w:jc w:val="both"/>
      </w:pPr>
      <w:r>
        <w:t xml:space="preserve"> </w:t>
      </w:r>
    </w:p>
    <w:p w:rsidR="009E4D5A" w:rsidRDefault="009E4D5A" w:rsidP="009E4D5A">
      <w:pPr>
        <w:jc w:val="both"/>
      </w:pPr>
      <w:r>
        <w:t>Naša knjižnica već nekoliko godina organizira brojne radionice kako za djecu tako i za odrasle članove i sve one koji se žele dobrovoljno uključiti u sam rad istih. Radionice su uvijek tematski vezane za nekakav događaj ili obilježavanje poznatih datuma, godišnjica rođenja i smrti ( kao što je godišnjica rođenje pjesnika našega kraja Grigora Viteza, povodom Valentinova, Međunarodnog dana darivanja knjiga, Međunarodnog dana materinskog jezika, Mjeseca hrvatskog jezika, Maskenbala, Uskrsa, Dana dječje knjige, Majčinog dana, Noći knjige, Dana kruha, Mjeseca hrvatske knjige, Dječjeg tjedna, Dana hrvatskih knjižnica, Dana pada Vukovara, Svetog Nikole, Božića, godišnjih doba – proljeće, ljeto, jesen i zima i dr. našim književnim večerima čitanja poezije - čajankama - koje održavamo također prema godišnjim dobima ).</w:t>
      </w:r>
    </w:p>
    <w:p w:rsidR="009E4D5A" w:rsidRDefault="009E4D5A" w:rsidP="009E4D5A">
      <w:pPr>
        <w:jc w:val="both"/>
      </w:pPr>
      <w:r>
        <w:t xml:space="preserve">Sve naše radionice su dobro posjećene i odaziv je uvijek jako veliki,  a osobito radionice s djecom koji su uvijek najvjerniji i naši najkreativniji članovi, korisnici i posjetitelji. Izrađene predmete smo izlagali u našoj knjižnici, predvorju općine i poklanjali onima kojima je to potrebno, a nisu u mogućnosti sami napraviti. To </w:t>
      </w:r>
      <w:r>
        <w:lastRenderedPageBreak/>
        <w:t>je našim mještanima izazov i jedan vid zajedničkog druženja, a i dokaz što sve mogu naše vrijedne ruke kada se slože.</w:t>
      </w:r>
    </w:p>
    <w:p w:rsidR="009E4D5A" w:rsidRDefault="009E4D5A" w:rsidP="009E4D5A">
      <w:pPr>
        <w:jc w:val="both"/>
      </w:pPr>
    </w:p>
    <w:p w:rsidR="009E4D5A" w:rsidRDefault="009E4D5A" w:rsidP="009E4D5A">
      <w:pPr>
        <w:jc w:val="both"/>
      </w:pPr>
    </w:p>
    <w:p w:rsidR="009E4D5A" w:rsidRDefault="009E4D5A" w:rsidP="009E4D5A">
      <w:pPr>
        <w:jc w:val="both"/>
        <w:rPr>
          <w:b/>
        </w:rPr>
      </w:pPr>
      <w:r>
        <w:rPr>
          <w:b/>
        </w:rPr>
        <w:t>5. KULTURNA DJELATNOST:</w:t>
      </w:r>
    </w:p>
    <w:p w:rsidR="009E4D5A" w:rsidRDefault="009E4D5A" w:rsidP="009E4D5A">
      <w:pPr>
        <w:jc w:val="both"/>
        <w:rPr>
          <w:b/>
        </w:rPr>
      </w:pPr>
    </w:p>
    <w:p w:rsidR="009E4D5A" w:rsidRDefault="009E4D5A" w:rsidP="009E4D5A">
      <w:pPr>
        <w:jc w:val="both"/>
      </w:pPr>
      <w:r>
        <w:t>Narodna knjižnica i čitaonica „Grigor Vitez“ Gornji Bogićevci kulturni program u 2026. godini  planira ostvariti kroz razne sadržaje:</w:t>
      </w:r>
    </w:p>
    <w:p w:rsidR="009E4D5A" w:rsidRDefault="009E4D5A" w:rsidP="009E4D5A">
      <w:pPr>
        <w:jc w:val="both"/>
      </w:pPr>
      <w:r>
        <w:t>- organizirati književne susrete za djecu, mlade i odrasle s poznatim književnicima i poznatim osobama iz javnog života, kao što smo to činili i do sada, ali u idućoj godini trudit ćemo se  još proširiti književne i kulturne manifestacije i programe za sve naše članove i korisnike, naravno i one koji će to postati;</w:t>
      </w:r>
    </w:p>
    <w:p w:rsidR="009E4D5A" w:rsidRDefault="009E4D5A" w:rsidP="009E4D5A">
      <w:pPr>
        <w:jc w:val="both"/>
      </w:pPr>
      <w:r>
        <w:t>-   izložbe poznatih slikara  našeg kraja i Gornjih Bogićevaca tijekom cijele godine;</w:t>
      </w:r>
    </w:p>
    <w:p w:rsidR="009E4D5A" w:rsidRDefault="009E4D5A" w:rsidP="009E4D5A">
      <w:pPr>
        <w:jc w:val="both"/>
      </w:pPr>
      <w:r>
        <w:t>-  radionice djece i roditelja – malih i velikih, te izložbe zajedničkih izrađenih predmeta ( povodom Maskenbala, Valentinova, Dana darivanja knjiga, Dana hrvatskog jezika, Dana ružičastih majica, Uskrsa, Svjetskog dana šuma, Svjetskog dana voda, Svjetskog dana zdravlja, Uskrsa, Dana planeta Zemlje, Dana sunca, Noći knjige, Svjetskog dana zaštite okoliša, Dana Općine, Obilježavanja dječjeg tjedna i Međunarodnog dana djeteta, Jeseni u knjižnici, Dana kruha, Mjeseca hrvatske knjige, Dana hrvatskih knjižnica, pada Vukovara, Adventa, Svetog Nikole, Božića ( radionica za Božić i naš tradicionalni Božićni koncert )…;</w:t>
      </w:r>
    </w:p>
    <w:p w:rsidR="009E4D5A" w:rsidRDefault="009E4D5A" w:rsidP="009E4D5A">
      <w:pPr>
        <w:jc w:val="both"/>
      </w:pPr>
      <w:r>
        <w:t>-  edukativne radionice, tribine i susrete s poznatim autorima;</w:t>
      </w:r>
    </w:p>
    <w:p w:rsidR="009E4D5A" w:rsidRDefault="009E4D5A" w:rsidP="009E4D5A">
      <w:pPr>
        <w:jc w:val="both"/>
      </w:pPr>
      <w:r>
        <w:t>- prigodna obilježavanja tijekom godine ( kulturne manifestacije posvećene značajnim datumima i događajima iz prošlosti značajnih za općinu Gornji Bogićevci i našu Knjižnicu );</w:t>
      </w:r>
    </w:p>
    <w:p w:rsidR="009E4D5A" w:rsidRDefault="009E4D5A" w:rsidP="009E4D5A">
      <w:pPr>
        <w:jc w:val="both"/>
      </w:pPr>
      <w:r>
        <w:t>-  susreti s djecom predškolske i školske dobi naše škole te posjet grobu Grigora Viteza u Kosovcu povodom godišnjice rođenja i smrti samoga pjesnika;</w:t>
      </w:r>
    </w:p>
    <w:p w:rsidR="009E4D5A" w:rsidRDefault="009E4D5A" w:rsidP="009E4D5A">
      <w:pPr>
        <w:jc w:val="both"/>
      </w:pPr>
      <w:r>
        <w:t>- obilježavanje obljetnica rođenja ili smrti poznatih književnika i znanstvenika popraćenih izložbama na tu temu;</w:t>
      </w:r>
    </w:p>
    <w:p w:rsidR="009E4D5A" w:rsidRDefault="009E4D5A" w:rsidP="009E4D5A">
      <w:pPr>
        <w:jc w:val="both"/>
      </w:pPr>
      <w:r>
        <w:t xml:space="preserve">- organiziranje, sada već tradicionalnih godišnjih čajanki u knjižnici prema godišnjim dobima   </w:t>
      </w:r>
    </w:p>
    <w:p w:rsidR="009E4D5A" w:rsidRDefault="009E4D5A" w:rsidP="009E4D5A">
      <w:pPr>
        <w:jc w:val="both"/>
      </w:pPr>
      <w:r>
        <w:t xml:space="preserve">  ( zimska, proljetna, ljetna i jesenska ) s raznim gostima i izvođačima;</w:t>
      </w:r>
    </w:p>
    <w:p w:rsidR="009E4D5A" w:rsidRDefault="009E4D5A" w:rsidP="009E4D5A">
      <w:pPr>
        <w:jc w:val="both"/>
      </w:pPr>
      <w:r>
        <w:t>- obilježavanje Svjetskog dana čitanja naglas;</w:t>
      </w:r>
    </w:p>
    <w:p w:rsidR="009E4D5A" w:rsidRDefault="009E4D5A" w:rsidP="009E4D5A">
      <w:pPr>
        <w:jc w:val="both"/>
      </w:pPr>
      <w:r>
        <w:t>- obilježavanja Međunarodnog dana dječje knjige;</w:t>
      </w:r>
    </w:p>
    <w:p w:rsidR="009E4D5A" w:rsidRDefault="009E4D5A" w:rsidP="009E4D5A">
      <w:pPr>
        <w:jc w:val="both"/>
      </w:pPr>
      <w:r>
        <w:t>- obilježavanje Međunarodnog dana materinskog jezika;</w:t>
      </w:r>
    </w:p>
    <w:p w:rsidR="009E4D5A" w:rsidRDefault="009E4D5A" w:rsidP="009E4D5A">
      <w:pPr>
        <w:jc w:val="both"/>
      </w:pPr>
      <w:r>
        <w:t>- obilježavanje Mjeseca hrvatskog jezika – brojnim susretima i čitanjem djela hrvatskih autora u našoj čarobnoj fotelji, te izložbama djela hrvatskih autora;</w:t>
      </w:r>
    </w:p>
    <w:p w:rsidR="009E4D5A" w:rsidRDefault="009E4D5A" w:rsidP="009E4D5A">
      <w:pPr>
        <w:jc w:val="both"/>
      </w:pPr>
      <w:r>
        <w:t>- obilježavanje Noći knjige 2026. s djecom i odraslima – poznatim autorima;</w:t>
      </w:r>
    </w:p>
    <w:p w:rsidR="009E4D5A" w:rsidRDefault="009E4D5A" w:rsidP="009E4D5A">
      <w:pPr>
        <w:jc w:val="both"/>
      </w:pPr>
      <w:r>
        <w:t>- obilježavanje „Mjeseca hrvatske knjige 2026“ ( 15.10.-15.11. ) uz poznate književnike i goste kako za djecu tako i odrasle, književne promocije i predstavljanje knjiga;</w:t>
      </w:r>
    </w:p>
    <w:p w:rsidR="009E4D5A" w:rsidRDefault="009E4D5A" w:rsidP="009E4D5A">
      <w:pPr>
        <w:jc w:val="both"/>
      </w:pPr>
      <w:r>
        <w:lastRenderedPageBreak/>
        <w:t>-  izložbe noviteta u knjižnici tijekom cijele godine;</w:t>
      </w:r>
    </w:p>
    <w:p w:rsidR="009E4D5A" w:rsidRDefault="009E4D5A" w:rsidP="009E4D5A">
      <w:pPr>
        <w:jc w:val="both"/>
      </w:pPr>
      <w:r>
        <w:t>-  razni koncerti naši malih glazbenika;</w:t>
      </w:r>
    </w:p>
    <w:p w:rsidR="009E4D5A" w:rsidRDefault="009E4D5A" w:rsidP="009E4D5A">
      <w:pPr>
        <w:jc w:val="both"/>
      </w:pPr>
      <w:r>
        <w:t>-  razne igraonice, radionice, pričaonice, bajkaonice i susrete za najmlađe;</w:t>
      </w:r>
    </w:p>
    <w:p w:rsidR="009E4D5A" w:rsidRDefault="009E4D5A" w:rsidP="009E4D5A">
      <w:pPr>
        <w:jc w:val="both"/>
      </w:pPr>
      <w:r>
        <w:t>-  satovi lektire i kvizovi;</w:t>
      </w:r>
    </w:p>
    <w:p w:rsidR="009E4D5A" w:rsidRDefault="009E4D5A" w:rsidP="009E4D5A">
      <w:pPr>
        <w:jc w:val="both"/>
      </w:pPr>
      <w:r>
        <w:t>-  obilježavanje Dječjeg tjedna brojnim kreativnim i edukativnim radionicama, programima i akcijama posvećene djeci;</w:t>
      </w:r>
    </w:p>
    <w:p w:rsidR="009E4D5A" w:rsidRDefault="009E4D5A" w:rsidP="009E4D5A">
      <w:pPr>
        <w:jc w:val="both"/>
      </w:pPr>
      <w:r>
        <w:t>- obilježiti Dan hrvatskih knjižnica organiziranim posjeta učenika PŠ i izložbom;</w:t>
      </w:r>
    </w:p>
    <w:p w:rsidR="009E4D5A" w:rsidRDefault="009E4D5A" w:rsidP="009E4D5A">
      <w:pPr>
        <w:jc w:val="both"/>
      </w:pPr>
      <w:r>
        <w:t>- obilježiti Dan sjećanja na žrtve Domovinskog rata i Dan sjećanja na žrtve Vukovara i Škabrnje, pad Gornjih Bogićevaca i progonstva mještana, prigodnim radionicama i paljenjem svijeća kod centralnog križa i spomenika našim braniteljima također iz Domovinskog rata iz Gornjih Bogićevaca;</w:t>
      </w:r>
    </w:p>
    <w:p w:rsidR="009E4D5A" w:rsidRDefault="009E4D5A" w:rsidP="009E4D5A">
      <w:pPr>
        <w:jc w:val="both"/>
      </w:pPr>
      <w:r>
        <w:t>-  tradicionalne adventske radionice i susreti, dolazak sv. Nikole, božićne radionice s našim najveselijim korisnicima – učenicima PŠ Gornji Bogićevci te naš tradicionalni i svima nadaleko dobro poznat Božićno-novogodišnji koncert za pučanstvo naše Općine i šire…</w:t>
      </w: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rPr>
          <w:b/>
        </w:rPr>
      </w:pPr>
      <w:r>
        <w:rPr>
          <w:b/>
        </w:rPr>
        <w:t>6. PROGRAM INFORMATIZACIJE:</w:t>
      </w:r>
    </w:p>
    <w:p w:rsidR="009E4D5A" w:rsidRDefault="009E4D5A" w:rsidP="009E4D5A">
      <w:pPr>
        <w:jc w:val="both"/>
        <w:rPr>
          <w:b/>
        </w:rPr>
      </w:pPr>
    </w:p>
    <w:p w:rsidR="009E4D5A" w:rsidRDefault="009E4D5A" w:rsidP="009E4D5A">
      <w:pPr>
        <w:jc w:val="both"/>
      </w:pPr>
      <w:r>
        <w:t>Iskreno se nadamo kako će se u 2026. godini napokon riješiti započeti program informatizacije u 2009. godini  u Narodnoj knjižnici i čitaonici „Grigor Vitez“ Gornji Bogićevci i nabavku knjižničnog softvera ( ZaKiWeb ili Crolist ), kako bi se olakšao i rad same knjižnice. Vjerujemo de će se riješiti i  „Internet“ za same korisnike na svim postojećim računalima jer „Internet“ je stvarno neophodan za rad i napredak svih nas u zajednici. Ali i jačina interneta koja nam često stvara problem u samom radu ( jako spor ili se često gubi…) i hitno nam treba pojačivač.</w:t>
      </w:r>
    </w:p>
    <w:p w:rsidR="009E4D5A" w:rsidRDefault="009E4D5A" w:rsidP="009E4D5A">
      <w:pPr>
        <w:jc w:val="both"/>
      </w:pPr>
      <w:r>
        <w:t>Nastojimo svake godine kupiti bar jedan dio potrebne oprema za nabavku programa knjižnice, jer sve odjednom jednostavno ne možemo zbog  samih financija. U 2026. godini također planiramo kupiti još jedan dio potrebne opreme, naravno sve ovisi o prijavljenim programima i njihovom odobrenju, odnosno financijskoj pomoći viših distanci, pa tek onda o samoj realizaciji istih.</w:t>
      </w:r>
    </w:p>
    <w:p w:rsidR="009E4D5A" w:rsidRDefault="009E4D5A" w:rsidP="009E4D5A">
      <w:pPr>
        <w:jc w:val="both"/>
      </w:pPr>
      <w:r>
        <w:t>Svake godine kandidiramo programe pri Ministarstvu kulture i medija i Brodsko-posavskoj županiji kako bismo mogli napokon uvesti informatizaciju i knjižni softver u našu knjižnicu kojoj je jako potreban.</w:t>
      </w:r>
    </w:p>
    <w:p w:rsidR="009E4D5A" w:rsidRDefault="009E4D5A" w:rsidP="009E4D5A">
      <w:pPr>
        <w:jc w:val="both"/>
      </w:pPr>
      <w:r>
        <w:t>Iskreno se nadamo što bržoj realizaciji na zadovoljstvo svih nas, članova, korisnika, djelatnika.</w:t>
      </w:r>
    </w:p>
    <w:p w:rsidR="009E4D5A" w:rsidRDefault="009E4D5A" w:rsidP="009E4D5A">
      <w:pPr>
        <w:jc w:val="both"/>
      </w:pPr>
    </w:p>
    <w:p w:rsidR="009E4D5A" w:rsidRDefault="009E4D5A" w:rsidP="009E4D5A">
      <w:pPr>
        <w:jc w:val="both"/>
        <w:rPr>
          <w:b/>
        </w:rPr>
      </w:pPr>
      <w:r>
        <w:rPr>
          <w:b/>
        </w:rPr>
        <w:t>7. OSTALO:</w:t>
      </w:r>
    </w:p>
    <w:p w:rsidR="009E4D5A" w:rsidRDefault="009E4D5A" w:rsidP="009E4D5A">
      <w:pPr>
        <w:jc w:val="both"/>
        <w:rPr>
          <w:b/>
        </w:rPr>
      </w:pPr>
    </w:p>
    <w:p w:rsidR="009E4D5A" w:rsidRDefault="009E4D5A" w:rsidP="00A66748">
      <w:pPr>
        <w:numPr>
          <w:ilvl w:val="0"/>
          <w:numId w:val="51"/>
        </w:numPr>
        <w:spacing w:after="0" w:line="240" w:lineRule="auto"/>
        <w:jc w:val="both"/>
      </w:pPr>
      <w:r>
        <w:t>Suradnja s Osnivačem – Općina Gornji Bogićevci</w:t>
      </w:r>
    </w:p>
    <w:p w:rsidR="009E4D5A" w:rsidRDefault="009E4D5A" w:rsidP="00A66748">
      <w:pPr>
        <w:numPr>
          <w:ilvl w:val="0"/>
          <w:numId w:val="51"/>
        </w:numPr>
        <w:spacing w:after="0" w:line="240" w:lineRule="auto"/>
        <w:jc w:val="both"/>
      </w:pPr>
      <w:r>
        <w:t>Matičnom knjižnicom Slavonski Brod ( djelatnica  knjižnice član je Društva knjižničara Slavonski Brod )</w:t>
      </w:r>
    </w:p>
    <w:p w:rsidR="009E4D5A" w:rsidRDefault="009E4D5A" w:rsidP="00A66748">
      <w:pPr>
        <w:numPr>
          <w:ilvl w:val="0"/>
          <w:numId w:val="51"/>
        </w:numPr>
        <w:spacing w:after="0" w:line="240" w:lineRule="auto"/>
        <w:jc w:val="both"/>
      </w:pPr>
      <w:r>
        <w:lastRenderedPageBreak/>
        <w:t>Suradnja s Nacionalnom i sveučilišnom knjižnicom Zagreb i Centrom za stalno stručno usavršavanje knjižničnih djelatnika</w:t>
      </w:r>
    </w:p>
    <w:p w:rsidR="009E4D5A" w:rsidRDefault="009E4D5A" w:rsidP="00A66748">
      <w:pPr>
        <w:numPr>
          <w:ilvl w:val="0"/>
          <w:numId w:val="51"/>
        </w:numPr>
        <w:spacing w:after="0" w:line="240" w:lineRule="auto"/>
        <w:jc w:val="both"/>
      </w:pPr>
      <w:r>
        <w:t>Knjižnicama Grada Zagreba</w:t>
      </w:r>
    </w:p>
    <w:p w:rsidR="009E4D5A" w:rsidRDefault="009E4D5A" w:rsidP="00A66748">
      <w:pPr>
        <w:numPr>
          <w:ilvl w:val="0"/>
          <w:numId w:val="51"/>
        </w:numPr>
        <w:spacing w:after="0" w:line="240" w:lineRule="auto"/>
        <w:jc w:val="both"/>
      </w:pPr>
      <w:r>
        <w:t>Drugim knjižnicama u Hrvatskoj</w:t>
      </w:r>
    </w:p>
    <w:p w:rsidR="009E4D5A" w:rsidRDefault="009E4D5A" w:rsidP="00A66748">
      <w:pPr>
        <w:numPr>
          <w:ilvl w:val="0"/>
          <w:numId w:val="51"/>
        </w:numPr>
        <w:spacing w:after="0" w:line="240" w:lineRule="auto"/>
        <w:jc w:val="both"/>
      </w:pPr>
      <w:r>
        <w:t>Ogrankom Matice Hrvatske Nova Gradiška ( djelatnica knjižnice član je Matice Hrvatske - Ogranak Nova Gradiška )</w:t>
      </w:r>
    </w:p>
    <w:p w:rsidR="009E4D5A" w:rsidRDefault="009E4D5A" w:rsidP="00A66748">
      <w:pPr>
        <w:numPr>
          <w:ilvl w:val="0"/>
          <w:numId w:val="51"/>
        </w:numPr>
        <w:spacing w:after="0" w:line="240" w:lineRule="auto"/>
        <w:jc w:val="both"/>
      </w:pPr>
      <w:r>
        <w:t>Strukovnim udrugama</w:t>
      </w:r>
    </w:p>
    <w:p w:rsidR="009E4D5A" w:rsidRDefault="009E4D5A" w:rsidP="00A66748">
      <w:pPr>
        <w:numPr>
          <w:ilvl w:val="0"/>
          <w:numId w:val="51"/>
        </w:numPr>
        <w:spacing w:after="0" w:line="240" w:lineRule="auto"/>
        <w:jc w:val="both"/>
      </w:pPr>
      <w:r>
        <w:t>Sredstvima javnog priopćenja</w:t>
      </w:r>
    </w:p>
    <w:p w:rsidR="009E4D5A" w:rsidRDefault="009E4D5A" w:rsidP="00A66748">
      <w:pPr>
        <w:numPr>
          <w:ilvl w:val="0"/>
          <w:numId w:val="51"/>
        </w:numPr>
        <w:spacing w:after="0" w:line="240" w:lineRule="auto"/>
        <w:jc w:val="both"/>
      </w:pPr>
      <w:r>
        <w:t>Izdavačkim kućama</w:t>
      </w:r>
    </w:p>
    <w:p w:rsidR="009E4D5A" w:rsidRDefault="009E4D5A" w:rsidP="00A66748">
      <w:pPr>
        <w:numPr>
          <w:ilvl w:val="0"/>
          <w:numId w:val="51"/>
        </w:numPr>
        <w:spacing w:after="0" w:line="240" w:lineRule="auto"/>
        <w:jc w:val="both"/>
      </w:pPr>
      <w:r>
        <w:t>Drugim ustanovama, osnovnim i srednjim školama, dječjim vrtićima</w:t>
      </w:r>
    </w:p>
    <w:p w:rsidR="009E4D5A" w:rsidRDefault="009E4D5A" w:rsidP="00A66748">
      <w:pPr>
        <w:numPr>
          <w:ilvl w:val="0"/>
          <w:numId w:val="51"/>
        </w:numPr>
        <w:spacing w:after="0" w:line="240" w:lineRule="auto"/>
        <w:jc w:val="both"/>
      </w:pPr>
      <w:r>
        <w:t>Kulturnim, humanitarnim i drugim udrugama u mjestu i šire kojima je od značaja suradnja s nama Crkveni zbor ŽUPE DUHA SVETOGA Gornji Bogićevci ( i sama članica pjevačkog zbora ), učenicima i učiteljicama PŠ „Gornji Bogićevci“, OŠ „Okučani“ „Stara Gradiška“, „Dragalić“ i proširili suradnju s OŠ „Rajić“i  PŠ Gorice, te odgajateljima polaznika male škole, te samim mještanima i članovima Knjižnice…) što je na obostranu korist i zadovoljstvo svih nas.</w:t>
      </w:r>
    </w:p>
    <w:p w:rsidR="009E4D5A" w:rsidRDefault="009E4D5A" w:rsidP="00A66748">
      <w:pPr>
        <w:numPr>
          <w:ilvl w:val="0"/>
          <w:numId w:val="51"/>
        </w:numPr>
        <w:spacing w:after="0" w:line="240" w:lineRule="auto"/>
        <w:jc w:val="both"/>
      </w:pPr>
      <w:r>
        <w:t>Djelatnica knjižnice usko će surađivati i raditi na promicanju kulture i kulturnog života same knjižnice i Općine Gornji Bogićevci u kojoj radi.</w:t>
      </w:r>
    </w:p>
    <w:p w:rsidR="009E4D5A" w:rsidRDefault="009E4D5A" w:rsidP="009E4D5A">
      <w:pPr>
        <w:jc w:val="both"/>
      </w:pPr>
    </w:p>
    <w:p w:rsidR="009E4D5A" w:rsidRDefault="009E4D5A" w:rsidP="009E4D5A">
      <w:pPr>
        <w:jc w:val="both"/>
      </w:pPr>
      <w:r>
        <w:t>Moramo naglasiti kako ćemo se u 2026. godini truditi i učiniti više nego u 2025. godini i godišnji program rada nastojati realizirati u cijelosti, dakako sve ovisi o realizaciji planiranih prihoda u 2026. godini i samoj financijskoj situaciji.</w:t>
      </w:r>
    </w:p>
    <w:p w:rsidR="009E4D5A" w:rsidRDefault="009E4D5A" w:rsidP="009E4D5A">
      <w:pPr>
        <w:jc w:val="both"/>
      </w:pPr>
      <w:r>
        <w:t>Nadamo se potpori i beskrajnom razumijevanju našeg Osnivača, Ministarstva kulture i medija i Brodsko-posavske županije kako bi i ostvarili svoj plan i program predviđen  za ovu godinu. A isto tako živimo u nadi da će 2026. godina biti još uspješnija, nego 2025 godina, iako je 2025. godina bila jako dobra i puno toga smo odradili za našu knjižnicu i njen napredak. Nabavili dosta nove knjižne i neknjižne građe kao i nove opreme za knjižnicu. I zadovoljni smo postignutim, iako uvijek možemo više i bolje i više se trudimo i zalažemo za napredak i boljitak svih naših članova i korisnika i za samu knjižnicu.</w:t>
      </w:r>
    </w:p>
    <w:p w:rsidR="009E4D5A" w:rsidRDefault="009E4D5A" w:rsidP="009E4D5A">
      <w:pPr>
        <w:jc w:val="both"/>
      </w:pPr>
      <w:r>
        <w:t>Do sada smo imali dobru suradnju sa svima, pa se nadamo dobroj i uspješnoj suradnji i ubuduće.</w:t>
      </w:r>
    </w:p>
    <w:p w:rsidR="009E4D5A" w:rsidRDefault="009E4D5A" w:rsidP="009E4D5A">
      <w:pPr>
        <w:jc w:val="both"/>
      </w:pPr>
      <w:r>
        <w:t xml:space="preserve">I kao uvijek trebamo biti svjesni i shvatiti kako Knjižnica nije „profitabilna ustanova i samo prostor za posudbu knjiga – kako ga mnogi nazivaju“, stalno napominjem i govorim, nego i mjesto obogaćeno kulturnim sadržajima i raznim aktivnostima koje pruža svima koji to žele i hoće, i u 2026. godini. </w:t>
      </w: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r>
        <w:t xml:space="preserve">Gornji Bogićevci, 12.11.2025.   </w:t>
      </w: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p>
    <w:p w:rsidR="009E4D5A" w:rsidRDefault="009E4D5A" w:rsidP="009E4D5A">
      <w:pPr>
        <w:jc w:val="both"/>
      </w:pPr>
      <w:r>
        <w:t>Sastavila: voditeljica knjižnice                                                                    V.D. ravnatelj:</w:t>
      </w:r>
    </w:p>
    <w:p w:rsidR="009E4D5A" w:rsidRDefault="009E4D5A" w:rsidP="009E4D5A">
      <w:r>
        <w:t>Jasminka Klarić, struč.spec.admin.publ.                                   Aleksandra Zdunić, dipl.ing.agr.</w:t>
      </w:r>
    </w:p>
    <w:p w:rsidR="009E4D5A" w:rsidRDefault="009E4D5A" w:rsidP="009E4D5A"/>
    <w:p w:rsidR="009E4D5A" w:rsidRDefault="009E4D5A" w:rsidP="009E4D5A"/>
    <w:p w:rsidR="009E4D5A" w:rsidRDefault="009E4D5A" w:rsidP="009E4D5A"/>
    <w:p w:rsidR="009E4D5A" w:rsidRDefault="009E4D5A" w:rsidP="009E4D5A"/>
    <w:p w:rsidR="009E4D5A" w:rsidRDefault="009E4D5A" w:rsidP="00777ABF">
      <w:pPr>
        <w:spacing w:line="360" w:lineRule="auto"/>
        <w:rPr>
          <w:rFonts w:ascii="Times New Roman" w:hAnsi="Times New Roman" w:cs="Times New Roman"/>
          <w:b/>
          <w:bCs/>
          <w:sz w:val="24"/>
          <w:szCs w:val="24"/>
        </w:rPr>
      </w:pPr>
    </w:p>
    <w:p w:rsidR="009E4D5A" w:rsidRDefault="009E4D5A" w:rsidP="009E4D5A">
      <w:pPr>
        <w:pStyle w:val="Bezproreda"/>
        <w:rPr>
          <w:rFonts w:ascii="Times New Roman" w:hAnsi="Times New Roman" w:cs="Times New Roman"/>
          <w:b/>
          <w:bCs/>
          <w:sz w:val="24"/>
          <w:szCs w:val="24"/>
        </w:rPr>
      </w:pPr>
      <w:r w:rsidRPr="009E4D5A">
        <w:rPr>
          <w:rFonts w:ascii="Times New Roman" w:hAnsi="Times New Roman" w:cs="Times New Roman"/>
          <w:b/>
          <w:bCs/>
          <w:sz w:val="24"/>
          <w:szCs w:val="24"/>
        </w:rPr>
        <w:t>42</w:t>
      </w:r>
      <w:r>
        <w:rPr>
          <w:rFonts w:ascii="Times New Roman" w:hAnsi="Times New Roman" w:cs="Times New Roman"/>
          <w:b/>
          <w:bCs/>
          <w:sz w:val="24"/>
          <w:szCs w:val="24"/>
        </w:rPr>
        <w:t>. Odluka</w:t>
      </w:r>
      <w:r w:rsidRPr="009E4D5A">
        <w:rPr>
          <w:rFonts w:ascii="Times New Roman" w:hAnsi="Times New Roman" w:cs="Times New Roman"/>
          <w:b/>
          <w:bCs/>
          <w:sz w:val="24"/>
          <w:szCs w:val="24"/>
        </w:rPr>
        <w:t xml:space="preserve"> o grobljima</w:t>
      </w:r>
    </w:p>
    <w:p w:rsidR="009E4D5A" w:rsidRDefault="009E4D5A" w:rsidP="009E4D5A">
      <w:pPr>
        <w:pStyle w:val="Bezproreda"/>
        <w:rPr>
          <w:rFonts w:ascii="Times New Roman" w:hAnsi="Times New Roman" w:cs="Times New Roman"/>
          <w:b/>
          <w:bCs/>
          <w:sz w:val="24"/>
          <w:szCs w:val="24"/>
        </w:rPr>
      </w:pP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Na temelju članka 9. st.10, članka 46. i članka 47. Zakona o grobljima („Narodne novine“ broj 78/25, 80/25), te članka 39. Statuta Općine Gornji Bogićevci (“Službeni glasnik Općine Gornji Bogićevci” 02/21), Općinsko vijeće Općine Gornji Bogićevci na 5. sjednici održanoj 22.12. 2025. godine, donijelo je</w:t>
      </w:r>
    </w:p>
    <w:p w:rsidR="009E4D5A" w:rsidRDefault="009E4D5A" w:rsidP="009E4D5A">
      <w:pPr>
        <w:pStyle w:val="Bezproreda"/>
        <w:jc w:val="center"/>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Odluku o grobljima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OPĆE ODREDBE</w:t>
      </w:r>
    </w:p>
    <w:p w:rsidR="009E4D5A" w:rsidRDefault="009E4D5A" w:rsidP="009E4D5A">
      <w:pPr>
        <w:pStyle w:val="Bezproreda"/>
        <w:rPr>
          <w:rFonts w:ascii="Times New Roman" w:hAnsi="Times New Roman" w:cs="Times New Roman"/>
          <w:b/>
          <w:bCs/>
          <w:sz w:val="24"/>
          <w:szCs w:val="24"/>
        </w:rPr>
      </w:pPr>
    </w:p>
    <w:p w:rsidR="009E4D5A" w:rsidRDefault="009E4D5A" w:rsidP="009E4D5A">
      <w:pPr>
        <w:pStyle w:val="Bezproreda"/>
        <w:rPr>
          <w:rFonts w:ascii="Times New Roman" w:hAnsi="Times New Roman" w:cs="Times New Roman"/>
          <w:b/>
          <w:bCs/>
          <w:sz w:val="24"/>
          <w:szCs w:val="24"/>
        </w:rPr>
      </w:pPr>
    </w:p>
    <w:p w:rsidR="009E4D5A" w:rsidRDefault="009E4D5A" w:rsidP="009E4D5A">
      <w:pPr>
        <w:pStyle w:val="Bezproreda"/>
        <w:rPr>
          <w:rFonts w:ascii="Times New Roman" w:hAnsi="Times New Roman" w:cs="Times New Roman"/>
          <w:b/>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w:t>
      </w:r>
    </w:p>
    <w:p w:rsidR="009E4D5A" w:rsidRDefault="009E4D5A" w:rsidP="009E4D5A">
      <w:pPr>
        <w:pStyle w:val="Bezproreda"/>
        <w:jc w:val="center"/>
        <w:rPr>
          <w:rFonts w:ascii="Times New Roman" w:hAnsi="Times New Roman" w:cs="Times New Roman"/>
          <w:b/>
          <w:bCs/>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Ovom odlukom uređuje se upravljanje grobljima i obavljanje komunalne djelatnosti održavanja groblja na području Općine Gornji Bogićevci:</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građenje, zatvaranje i stavljanje groblja izvan upotrebe;</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način i uvjeti upravljanja grobljima od strane općine Gornji Bogićevci,</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mjerila i način dodjeljivanja i ustupanja grobnih mjesta na korištenje, </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grobni očevidnik</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utvrđivanje usklađenosti grobnog mjesta i spomen obilježja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način ukopa umrlih nepoznatih osoba te umrlih hrvatskih ratnih invalida i hrvatskih branitelja  iz Domovinskog rata;</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održavanje groblja i uklanjanje otpada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uvjeti i mjerila za plaćanje naknade kod dodjele grobnog mjesta i godišnje naknade za korištenje grobnog mjesta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radovi na groblju;</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način i uvjeti ukopa pokojnika;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vremenski razmaci ukopa u popunjena grobna mjesta;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 nadzor i prekršajne odredbe </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Izrazi koji se koriste u ovoj Odluci, a imaju rodno značenje, koriste se neutralno i odnose se jednako na muški i ženski rod.</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Grobno mjesto je grob, grobnica, kazeta za urne, kolumbarij te svako drugo mjesto u kojem se nalaze posmrtni ostaci ili je namijenjeno za ukapanje ili trajnu pohranu posmrtnih ostataka.</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Pod korisnikom grobnog mjesta u smislu ove Odluke podrazumijevaju se osobe kojima je grobno mjesto dodijeljeno rješenjem, odnosno osobe koje su se do stupanja na snagu ove Odluke upisale u grobne očevidnike Općine Gornji Bogićevci kao korisnici – skrbnici grobnog mjesta, te nakon smrti tih osoba njihovi nasljednici, a sve u skladu sa Zakonom o grobljima i odredbama ove Odluke.</w:t>
      </w:r>
    </w:p>
    <w:p w:rsidR="009E4D5A" w:rsidRDefault="009E4D5A" w:rsidP="009E4D5A">
      <w:pPr>
        <w:pStyle w:val="Bezproreda"/>
        <w:ind w:firstLine="708"/>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3.</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Na području općine Gornji Bogićevci postoje groblja: Gornji Bogićevci, Smrtić, Ratkovac, Trnava i Kosovac.</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b/>
          <w:sz w:val="24"/>
          <w:szCs w:val="24"/>
        </w:rPr>
      </w:pPr>
      <w:r>
        <w:rPr>
          <w:rFonts w:ascii="Times New Roman" w:hAnsi="Times New Roman" w:cs="Times New Roman"/>
          <w:b/>
          <w:sz w:val="24"/>
          <w:szCs w:val="24"/>
        </w:rPr>
        <w:t>GRAĐENJE, ZATVARANJE I STAVLJANJE GROBLJA IZVAN  UPORABE</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4.</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Prostorni plan jedinice lokalne samouprave kojim se utvrđuje proširenje, izgradnja odnosno rekonstrukcija groblja mora se temeljiti na programu uređenja groblja utvrđenom za razdoblje od najmanje 30 godina.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Program iz stavka 1. ovog članka obvezatno sadrži podatke o predvidivom povećanju broja stanovnika i smrtnosti na određenom području.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Program uređenja groblja iz stavka 1. ovog članka donosi Općinsko vijeće Općine Gornji Bogićevci.</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Groblje se može staviti izvan uporabe u cijelosti ili samo djelomično.</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Izvan uporabe stavlja se groblje ili dio groblja samo iz zakonom određenih razloga.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Odluku iz stavka 4. i 5. ovog članka donosi Općinsko vijeće.</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Premještanje groblja ili dijela groblja moguće je nakon isteka 30 godina od posljednjeg ukopa.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Iznimno od stavka 5. ovog članka, kad je to potrebno radi izgradnje građevine ili izvođenja radova u interesu Republike Hrvatske, odlukom predstavničkog tijela jedinice lokalne samouprave groblje se može premjestiti nakon isteka roka od deset godina od posljednjeg ukopa, pod uvjetima utvrđenim propisima kojima se uređuje zaštita pučanstva od zaraznih bolesti.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b/>
          <w:bCs/>
          <w:sz w:val="24"/>
          <w:szCs w:val="24"/>
        </w:rPr>
        <w:t>NAČIN I UVJETI UPRAVLJANJA GROBLJIMA OD STRANE OPĆINE GORNJI BOGIĆEVCI</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4.</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Grobljima na području općine Gornji Bogićevci upravlja općina Jedinstveni upravni odjela općine Gornji Bogićevci koji u svom sastavu ima Komunalni pogon (u daljnjem tekstu : Upravitelj groblja).</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Upravitelj groblja obavlja i pogrebne poslove na području općine Gornji Bogićevci.</w:t>
      </w:r>
    </w:p>
    <w:p w:rsidR="009E4D5A" w:rsidRDefault="009E4D5A" w:rsidP="009E4D5A">
      <w:pPr>
        <w:pStyle w:val="Bezproreda"/>
        <w:ind w:firstLine="708"/>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5.</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 xml:space="preserve">Pod upravljanjem grobljima podrazumijeva se dodjela grobnih mjesta, uređenje, održavanje i rekonstrukcija groblja (promjena površine, razmještaj putova i slično) na način koji odgovara </w:t>
      </w:r>
      <w:r>
        <w:rPr>
          <w:rFonts w:ascii="Times New Roman" w:hAnsi="Times New Roman" w:cs="Times New Roman"/>
          <w:sz w:val="24"/>
          <w:szCs w:val="24"/>
        </w:rPr>
        <w:lastRenderedPageBreak/>
        <w:t>tehničkim i sanitarnim uvjetima, uz posebno uvažavanje brige o zaštiti okoliša, a osobito krajobraznim i estetskim vrijednostima.</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Osim navedenih poslova, pod upravljanjem grobljem podrazumijevaju se i:</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 poslovi naplaćivanja naknade za dodijeljeno grobno mjesto i naknade za korištenje grobnog mjesta,</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 poslovi vođenja grobnih očevidnika i registra umrlih osoba,</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 drugi poslovi propisani Zakonom o grobljima i ovom Odlukom.</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Održavanje groblja podrazumijeva održavanje prostora i zgrada za obavljanje ispraćaja umrlih osoba i ukopa tijela umrlih osoba te uređivanje putova, zelenih i drugih površina unutar groblja te predstavlja komunalnu djelatnost u nadležnosti jedinica lokalne samouprave.</w:t>
      </w:r>
    </w:p>
    <w:p w:rsidR="009E4D5A" w:rsidRDefault="009E4D5A" w:rsidP="009E4D5A">
      <w:pPr>
        <w:pStyle w:val="Bezproreda"/>
        <w:ind w:firstLine="708"/>
        <w:rPr>
          <w:rFonts w:ascii="Times New Roman" w:hAnsi="Times New Roman" w:cs="Times New Roman"/>
          <w:sz w:val="24"/>
          <w:szCs w:val="24"/>
        </w:rPr>
      </w:pPr>
    </w:p>
    <w:p w:rsidR="009E4D5A" w:rsidRDefault="009E4D5A" w:rsidP="009E4D5A">
      <w:pPr>
        <w:pStyle w:val="Bezproreda"/>
        <w:rPr>
          <w:rFonts w:ascii="Times New Roman" w:hAnsi="Times New Roman" w:cs="Times New Roman"/>
          <w:b/>
          <w:sz w:val="24"/>
          <w:szCs w:val="24"/>
        </w:rPr>
      </w:pPr>
      <w:r>
        <w:rPr>
          <w:rFonts w:ascii="Times New Roman" w:hAnsi="Times New Roman" w:cs="Times New Roman"/>
          <w:b/>
          <w:sz w:val="24"/>
          <w:szCs w:val="24"/>
        </w:rPr>
        <w:t xml:space="preserve">                                                                    Članak 6.</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Upravitelj groblja obvezan je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1. upravljati grobljem pažnjom dobrog gospodara</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2. osigurati uređenje i održavanje groblja na način da se ne narušava pijetet prema umrlim osobama</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3. osigurati odgovarajući broj slobodnih grobnih mjesta za potrebe redovitog ukopa umrlih osoba na području općine Gornji Bogićevci</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4. osigurati opće polje za ukop nepoznatih osoba te dijelove groblja odnosno aleju za ukop i davanje na korištenje odgovarajućih grobnih mjesta hrvatskim ratnim vojnim invalidima i hrvatskim braniteljima sukladno posebnom propisu kojim se utvrđuju prava hrvatskih branitelja iz Domovinskog rata</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5. pravovremeno poduzimati odgovarajuće mjere u svezi s potrebom povećanja potrebnih grobnih mjesta</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6. za svako groblje voditi grobni očevidnik čiji je sastavni dio položajni plan grobnih mjesta i grobnica, i registar umrlih osoba. Grobne očevidnike vodi Jedinstveni upravni odjel Općine Gornji Bogićevci.</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ind w:left="3540"/>
        <w:rPr>
          <w:rFonts w:ascii="Times New Roman" w:hAnsi="Times New Roman" w:cs="Times New Roman"/>
          <w:b/>
          <w:sz w:val="24"/>
          <w:szCs w:val="24"/>
        </w:rPr>
      </w:pPr>
      <w:r>
        <w:rPr>
          <w:rFonts w:ascii="Times New Roman" w:hAnsi="Times New Roman" w:cs="Times New Roman"/>
          <w:b/>
          <w:sz w:val="24"/>
          <w:szCs w:val="24"/>
        </w:rPr>
        <w:t xml:space="preserve">           Članak 7.</w:t>
      </w:r>
    </w:p>
    <w:p w:rsidR="009E4D5A" w:rsidRDefault="009E4D5A" w:rsidP="009E4D5A">
      <w:pPr>
        <w:pStyle w:val="Bezproreda"/>
        <w:jc w:val="center"/>
        <w:rPr>
          <w:rFonts w:ascii="Times New Roman" w:hAnsi="Times New Roman" w:cs="Times New Roman"/>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Grobljem se upravlja na način kojim se iskazuje poštovanje prema umrlim osobama koje na njemu počivaju.</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 Upravitelj groblja donosi odluku o ponašanju na groblju u kojoj se određuje radno vrijeme groblja i vrijeme ukopa, načini i primjereno vrijeme za obavljanje radova na groblju te pravila ponašanja na groblju koja vrijede za korisnike grobnih mjesta i posjetitelje.</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Upravitelj groblja obvezan je obavijestiti nadležnu policijsku upravu ako ima saznanja o okupljanju unutar groblja koje je protivno odredbama zakona kojim se uređuju javna okupljanja, kao i o svakom ponašanju unutar groblja protivnom odredbama zakona kojim se uređuju prekršaji protiv javnog reda i mira.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8.</w:t>
      </w:r>
    </w:p>
    <w:p w:rsidR="009E4D5A" w:rsidRDefault="009E4D5A" w:rsidP="009E4D5A">
      <w:pPr>
        <w:pStyle w:val="Bezproreda"/>
        <w:jc w:val="center"/>
        <w:rPr>
          <w:rFonts w:ascii="Times New Roman" w:hAnsi="Times New Roman" w:cs="Times New Roman"/>
          <w:b/>
          <w:bCs/>
          <w:sz w:val="24"/>
          <w:szCs w:val="24"/>
        </w:rPr>
      </w:pP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Grobna mjesta u kojima su pokopani posmrtni ostaci znamenitih povijesnih osoba, posmrtni ostaci hrvatskih branitelja iz Domovinskog rata bez nasljednika ili posmrtni ostaci lokalno značajnih osoba, a na kojima je prestalo pravo korištenja grobnog mjesta ne dodjeljuje se novom korisniku grobnog mjesta, već ga, ako se utvrdi da nema korisnika grobnog mjesta, održava i obnavlja jedinica lokalne samouprave. </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9.</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lastRenderedPageBreak/>
        <w:t xml:space="preserve">Osim obveznih podataka o imenu i prezimenu umrle osobe te godini rođenja i smrti, na nadgrobnoj ploči ili spomen-obilježju ili uz njega mogu biti istaknuti odnosno postavljeni podaci o osobama koje podižu nadgrobnu ploču ili spomen-obilježje te, po slobodnom odabiru korisnika grobnih mjesta tekstualni nadgrobni natpisi, simboli i druga uobičajena grobna obilježja koja pripadaju grobnoj ikonografiji i simbolici lokalne sredine, određenog naroda ili vjerske zajednice, ili su univerzalnog značaja. </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10.</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Upravitelj groblja ne odgovara za štete nastale na grobljima, grobnim mjestima i slično koje prouzrokuju treće i nepoznate osobe (krađe, vandalizam, izvođenje radova u blizini grobnih mjesta i slično).</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11.</w:t>
      </w:r>
    </w:p>
    <w:p w:rsidR="009E4D5A" w:rsidRDefault="009E4D5A" w:rsidP="009E4D5A">
      <w:pPr>
        <w:spacing w:after="0"/>
        <w:jc w:val="both"/>
        <w:rPr>
          <w:rFonts w:ascii="Times New Roman" w:eastAsia="Calibri" w:hAnsi="Times New Roman" w:cs="Times New Roman"/>
          <w:sz w:val="24"/>
        </w:rPr>
      </w:pPr>
      <w:r>
        <w:rPr>
          <w:rFonts w:ascii="Times New Roman" w:eastAsia="Calibri" w:hAnsi="Times New Roman" w:cs="Times New Roman"/>
          <w:sz w:val="24"/>
        </w:rPr>
        <w:t>Umrla osoba ne smije se ukopati bez dozvole za ukop.</w:t>
      </w:r>
    </w:p>
    <w:p w:rsidR="009E4D5A" w:rsidRDefault="009E4D5A" w:rsidP="009E4D5A">
      <w:pPr>
        <w:spacing w:after="0"/>
        <w:jc w:val="both"/>
        <w:rPr>
          <w:rFonts w:ascii="Times New Roman" w:eastAsia="Calibri" w:hAnsi="Times New Roman" w:cs="Times New Roman"/>
          <w:sz w:val="24"/>
        </w:rPr>
      </w:pPr>
      <w:r>
        <w:rPr>
          <w:rFonts w:ascii="Times New Roman" w:eastAsia="Calibri" w:hAnsi="Times New Roman" w:cs="Times New Roman"/>
          <w:sz w:val="24"/>
        </w:rPr>
        <w:t>Dozvolu za ukop izdaje ovlaštena osoba Upravitelja groblja.</w:t>
      </w:r>
    </w:p>
    <w:p w:rsidR="009E4D5A" w:rsidRDefault="009E4D5A" w:rsidP="009E4D5A">
      <w:pPr>
        <w:spacing w:after="0"/>
        <w:jc w:val="both"/>
        <w:rPr>
          <w:rFonts w:ascii="Times New Roman" w:eastAsia="Calibri" w:hAnsi="Times New Roman" w:cs="Times New Roman"/>
          <w:sz w:val="24"/>
        </w:rPr>
      </w:pPr>
    </w:p>
    <w:p w:rsidR="009E4D5A" w:rsidRDefault="009E4D5A" w:rsidP="009E4D5A">
      <w:pPr>
        <w:spacing w:after="0"/>
        <w:jc w:val="both"/>
        <w:rPr>
          <w:rFonts w:ascii="Times New Roman" w:eastAsia="Calibri" w:hAnsi="Times New Roman" w:cs="Times New Roman"/>
          <w:sz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MJERILA I NAČIN KORIŠTENJA I USTUPANJA GROBNIH MJESTA NA KORIŠTENJE</w:t>
      </w:r>
    </w:p>
    <w:p w:rsidR="009E4D5A" w:rsidRDefault="009E4D5A" w:rsidP="009E4D5A">
      <w:pPr>
        <w:pStyle w:val="Bezproreda"/>
        <w:rPr>
          <w:rFonts w:ascii="Times New Roman" w:hAnsi="Times New Roman" w:cs="Times New Roman"/>
          <w:b/>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12.</w:t>
      </w:r>
    </w:p>
    <w:p w:rsidR="009E4D5A" w:rsidRDefault="009E4D5A" w:rsidP="009E4D5A">
      <w:pPr>
        <w:pStyle w:val="Bezproreda"/>
        <w:rPr>
          <w:rFonts w:ascii="Times New Roman" w:hAnsi="Times New Roman" w:cs="Times New Roman"/>
          <w:b/>
          <w:bCs/>
          <w:sz w:val="24"/>
          <w:szCs w:val="24"/>
        </w:rPr>
      </w:pP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Pravo korištenja grobnog mjesta predmet je nasljeđivanja.</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Pravomoćno rješenje o nasljeđivanju prava korištenja grobnog mjesta donosi sud, odnosno javni bilježnik kao povjerenik suda Upravitelju groblja po službenoj dužnosti.</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Korisnik grobnog mjesta može svoje pravo korištenja grobnog mjesta ugovorom ustupiti trećim osobama. Mora biti sklopljeno u pisanom obliku, uz obveznu ovjeru potpisa od strane javnog bilježnika. </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Ništeni su pravni poslovi iz stavka 3. ovog članka koji nisu sklopljeni u odgovarajućem obliku.</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Ugovori o ustupu prava korištenja grobnog mjesta javni bilježnik dostavlja Upravitelju groblja radi upisa novog korisnika grobnog mjesta u grobni očevidnik. </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Upravitelj groblja će, nakon što mu javni bilježnik dostavi rješenje o nasljeđivanju ili ugovor o ustupu grobnog mjesta, rješenjem utvrditi novog korisnika grobnog mjesta i upisati ga u grobni očevidnik. </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Protiv rješenja iz stavka 6. ovog članka može se izjaviti žalba o kojoj odlučuje nadležno tijelo jedinice lokalne samouprave, osim ako je Upravitelj groblja jedinica lokalne samouprave, u kojem slučaju žalba nije dopuštena, ali se može pokrenuti upravni spor.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13.</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Pravo ukopa u grobno mjesto ima korisnik grobnog mjesta i članovi njegove obitelji, osim ako korisnik grobnog mjesta ne odredi drugačije.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Članom obitelji korisnika grobnog mjesta koji ima pravo ukopa smatra se njegov bračni ili izvanbračni drug, životni ili neformalni životni partner, potomci i posvojena djeca i njihov bračni li izvanbračni drugovi te njegovi roditelji.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lastRenderedPageBreak/>
        <w:t>Korisnik grobnog mjesta može dati i pravo ukopa i drugim osobama, a korisnik grobnog mjesta koji je dao pravo ukopa može to pravo i povući do trenutka smrti osobe kojoj je pravo dano, o čemu je dužan obavijestiti osobu kojoj je dao pravo ukopa.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Osoba kojoj je korisnik grobnog mjesta ustupio pravo ukopa ne može prenijeti pravo ukopa na treću osobu.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Pravo ukopa i povlačenje danog prava ukopa daje se u pisanom obliku i korisnik grobnog mjesta dužan ga je dostaviti upravitelju groblja koji činjenicu o tome upisuje u grobni očevidnik.</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Prestanak prava ukopa iz prethodnog članka može se upisati u grobni očevidnik na temelju izjave korisnika grobnog mjesta o povlačenju prava ukopa, na temelju sporazuma, odluke suda ili pisane izjave osobe koja je stekla pravo ukopa.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Ako pravo korištenja ima više korisnika grobnog mjesta, za stjecanje prava ukopa iz stavka 4. ovog članka i za obilježavanje ili uređivanje grobnog mjesta potrebna je suglasnost svih su korisnika.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Nakon smrti korisnika grobnog mjesta do upisa njegovih nasljednika odnosno novog korisnika grobnog mjesta u grobno mjesto mogu se ukapati: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 osobe kojima je korisnik grobnog mjesta dao pravo ukopa u njegovo grobno mjesto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osobe koje su u trenutku smrti korisnika grobnog mjesta bile članovi njegove obitelji sukladno stavku 2. i stavku 3. ovog članka i osobe koje bi se smatrale članovima obitelji korisnika grobnog mjesta da je on živ, osim onih osoba koje je korisnik grobnog mjesta za života isključio.</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Na grobljima na području općine Gornji Bogićevci mogu se ukapati i pokojnici koji nisu imali prebivalište na području općine Gornji Bogićevci, ukoliko su korisnici grobnog mjesta prema članku 2. stavku 2. ove Odluke.</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14.</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Korisniku grobnog mjesta na korištenje se dodjeljuje određeno grobno mjesto rješenjem u upravnom postupku koji se pokreće javnom objavom ili po službenoj dužnosti. </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Osoba koja smatra da je korisnik grobnog mjesta, a nije upisana u grobni očevidnik može zatražiti upis na temelju valjane pravne osnove. </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O Zahtjevu korisnika grobnog mjesta iz stavka 2. ove Odluke Upravitelj groblja odlučuje rješenjem. </w:t>
      </w:r>
    </w:p>
    <w:p w:rsidR="009E4D5A" w:rsidRDefault="009E4D5A" w:rsidP="009E4D5A">
      <w:pPr>
        <w:jc w:val="both"/>
        <w:rPr>
          <w:rFonts w:ascii="Times New Roman" w:eastAsia="Calibri" w:hAnsi="Times New Roman" w:cs="Times New Roman"/>
          <w:sz w:val="24"/>
        </w:rPr>
      </w:pPr>
      <w:r>
        <w:rPr>
          <w:rFonts w:ascii="Times New Roman" w:eastAsia="Calibri" w:hAnsi="Times New Roman" w:cs="Times New Roman"/>
          <w:sz w:val="24"/>
        </w:rPr>
        <w:t xml:space="preserve">Protiv rješenja iz stavka 2. i 3. ovog članka može se izjaviti žalba o kojoj odlučuje nadležno tijelo jedinice lokalne samouprave, osim ako je upravitelj groblja jedinica lokalne samouprave, u kojem slučaju žalba nije dopuštena, ali se može pokrenuti upravni spor. </w:t>
      </w:r>
    </w:p>
    <w:p w:rsidR="009E4D5A" w:rsidRDefault="009E4D5A" w:rsidP="009E4D5A">
      <w:pPr>
        <w:jc w:val="both"/>
        <w:rPr>
          <w:rFonts w:ascii="Times New Roman" w:eastAsia="Calibri" w:hAnsi="Times New Roman" w:cs="Times New Roman"/>
          <w:b/>
          <w:sz w:val="24"/>
        </w:rPr>
      </w:pPr>
      <w:r>
        <w:rPr>
          <w:rFonts w:ascii="Times New Roman" w:eastAsia="Calibri" w:hAnsi="Times New Roman" w:cs="Times New Roman"/>
          <w:b/>
          <w:sz w:val="24"/>
        </w:rPr>
        <w:t>GROBNI OČEVIDNIK</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15.</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Upravitelj groblja dužan je voditi grobni očevidnik o ukopu svih umrlih osoba na području jedinice lokalne samouprave koji sadrži podatke o: </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nazivu groblja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vrsti, površini i položaju grobnih mjesta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ograničenju prava korištenja grobnih mjesta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korisnicima grobnih mjesta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osnovi stjecanja prava korištenja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lokaciji grobnog mjesta ako se ono nalazi izvan groblja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xml:space="preserve">- imenu i prezimenu, imenu oca te OIB-u umrle osobe, adresi, datumu rođenja i smrti,  </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              vjeroispovijesti, datumu pogreba, broju i oznaci groba te datumu i mjestu ekshumacije</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pogrebniku koji je dopremio tijelo umrle osobe te o pogrebniku koji je, nakon</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              ekshumacije, preuzeo tijelo umrle osobe radi prijevoza na drugo groblje</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svim promjenama podataka</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ab/>
        <w:t xml:space="preserve">- uzroku smrti. </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color w:val="EE0000"/>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Sastavni dio grobnog očevidnika iz stavka 1. ovog članka je položajni plan svih grobnih mjesta i pratećih građevina.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16.</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Upravitelj groblja dužan je uz svaki grobni očevidnik voditi i registar umrlih osoba. </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Registar umrlih osoba pohranjuje se i trajno čuva. </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17.</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Grobni očevidnik i registar umrlih osoba vodi se u digitalnom obliku ili u obliku knjige.</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18.</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Upis podataka u grobni očevidnik obavlja za to ovlašteni djelatnik upravitelja groblja.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Upis podataka u grobni očevidnik obavlja se na temelju isprava o identitetu umrle osobe i podataka koje daje osoba koja skrbi o ukopu umrle osobe, s tim da će rubrike za koje podaci nisu poznati ostaviti nepopunjene.</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UTVRĐIVANJE USKLAĐENOSTI GROBNOG MJESTA I SPOMEN OBILJEŽJA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19.</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Jedinstvenom upravnom odjelu Općine Gornji Bogićevci povjereni su poslovi postupanja i rješavanja u upravnim stvarima u kojima se odlučuje o usklađenosti izgleda grobnog mjesta i spomen-obilježja koji moraju biti u skladu s ovom Odlukom i važećim Zakonom o grobljima. </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Spomenici i nadgrobni simboli koji vrijeđaju nacionalne, vjerske ili moralne osjećaje, veličaju agresiju na Republiku Hrvatsku ili omalovažavaju Domovinski rat će biti uklonjeni. Ako korisnik u roku od 30 dana od dana upozorenja ne ukloni sporni spomenik, uklanjanje će izvršiti Upravitelj groblja na njegov trošak. Spomenici postavljeni prije 30. svibnja 1990. godine neće biti obuhvaćeni ovim pravilima.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Uspostavljaju se radna tijela za ocjenu primjerenosti simbolike nadgroba</w:t>
      </w:r>
      <w:r>
        <w:rPr>
          <w:rFonts w:ascii="Times New Roman" w:hAnsi="Times New Roman" w:cs="Times New Roman"/>
          <w:bCs/>
          <w:color w:val="EE0000"/>
          <w:sz w:val="24"/>
          <w:szCs w:val="24"/>
        </w:rPr>
        <w:t>.</w:t>
      </w:r>
      <w:r>
        <w:rPr>
          <w:rFonts w:ascii="Times New Roman" w:hAnsi="Times New Roman" w:cs="Times New Roman"/>
          <w:bCs/>
          <w:sz w:val="24"/>
          <w:szCs w:val="24"/>
        </w:rPr>
        <w:t xml:space="preserve"> Radna tijela, odnosno povjerenstvo imenuje Općinski načelnik.</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NAČIN UKOPA UMRLIH NEPOZNATIH OSOBA TE UMRLIH HRVATSKIH RATNIH VOJNIH INVALIDA I HRVATSKIH BRANITELJA IZ DOMOVINSKOG RATA</w:t>
      </w:r>
    </w:p>
    <w:p w:rsidR="009E4D5A" w:rsidRDefault="009E4D5A" w:rsidP="009E4D5A">
      <w:pPr>
        <w:pStyle w:val="Bezproreda"/>
        <w:rPr>
          <w:rFonts w:ascii="Times New Roman" w:hAnsi="Times New Roman" w:cs="Times New Roman"/>
          <w:b/>
          <w:bCs/>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20.</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Nepoznate osobe ukopat će se na groblju na način uobičajen mjesnim prilikama, osiguravajući pritom dostupne podatke o nepoznatoj osobi (dob, spol, datum smrti) na odgovarajući način.</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lastRenderedPageBreak/>
        <w:t>Ukop nepoznatih osoba izvršit će se na dijelu groblja označenom u Planu uređenja groblja, rasporeda i korištenja grobnih mjesta kojeg odredi Upravitelj groblja (zajednička grobnica ili opće polje).</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 xml:space="preserve">Za ukop iz stavka 2. ovog članka ne plaća se naknada, a trošak pogreba nepoznate osobe snosi Općina Gornji Bogićevci. </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21.</w:t>
      </w: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Upravitelj groblja dužan je osigurati dio groblja na mjesnim grobljima odnosno aleju za ukop hrvatskih branitelja iz Domovinskog rata.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rPr>
          <w:rFonts w:ascii="Times New Roman" w:hAnsi="Times New Roman" w:cs="Times New Roman"/>
          <w:bCs/>
          <w:sz w:val="24"/>
          <w:szCs w:val="24"/>
        </w:rPr>
      </w:pPr>
      <w:r>
        <w:rPr>
          <w:rFonts w:ascii="Times New Roman" w:hAnsi="Times New Roman" w:cs="Times New Roman"/>
          <w:bCs/>
          <w:sz w:val="24"/>
          <w:szCs w:val="24"/>
        </w:rPr>
        <w:t>Upravitelj groblja dužan je osigurati davanje na korištenje grobnih mjesta za umrle hrvatske ratne vojne invalide iz Domovinskog rata i za umrle hrvatske branitelje iz Domovinskog rata sukladno posebnom propisu kojim se utvrđuju prava hrvatskih branitelja iz Domovinskog rata.</w:t>
      </w:r>
    </w:p>
    <w:p w:rsidR="009E4D5A" w:rsidRDefault="009E4D5A" w:rsidP="009E4D5A">
      <w:pPr>
        <w:pStyle w:val="Bezproreda"/>
        <w:rPr>
          <w:rFonts w:ascii="Times New Roman" w:hAnsi="Times New Roman" w:cs="Times New Roman"/>
          <w:bCs/>
          <w:sz w:val="24"/>
          <w:szCs w:val="24"/>
        </w:rPr>
      </w:pPr>
    </w:p>
    <w:p w:rsidR="009E4D5A" w:rsidRDefault="009E4D5A" w:rsidP="009E4D5A">
      <w:pPr>
        <w:pStyle w:val="Bezproreda"/>
        <w:jc w:val="center"/>
        <w:rPr>
          <w:rFonts w:ascii="Times New Roman" w:hAnsi="Times New Roman" w:cs="Times New Roman"/>
          <w:b/>
          <w:bCs/>
          <w:sz w:val="24"/>
          <w:szCs w:val="24"/>
        </w:rPr>
      </w:pP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ODRŽAVANJE GROBLJA I UKLANJANJE OTPADA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22.</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Pod održavanjem groblja u smislu ove Odluke podrazumijeva se održavanje i čišćenje zemljišta, staza i putova na groblju od otpada, održavanje mrtvačnica i drugih pratećih objekata vezanih za pogrebne poslove, te uzgoj i održavanje zelenila.</w:t>
      </w:r>
    </w:p>
    <w:p w:rsidR="009E4D5A" w:rsidRDefault="009E4D5A" w:rsidP="009E4D5A">
      <w:pPr>
        <w:pStyle w:val="Bezproreda"/>
        <w:ind w:firstLine="708"/>
        <w:jc w:val="both"/>
        <w:rPr>
          <w:rFonts w:ascii="Times New Roman" w:hAnsi="Times New Roman" w:cs="Times New Roman"/>
          <w:sz w:val="24"/>
          <w:szCs w:val="24"/>
        </w:rPr>
      </w:pP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Pod otpadom u smislu ove Odluke smatraju se svi materijali koji su na bilo koji način nastali, odnosno dospjeli na groblje, a po svojoj prirodi ne pripadaju groblju ili narušavaju izgled groblja, te ostatci vijenaca i cvijeća na grobovima koji zbog proteka vremena narušavaju izgled groblja, a korisnici grobnih mjesta su ih propustili pravovremeno ukloniti.</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Groblje održava i otpad uklanja Upravitelj groblja koji je dužan donijeti godišnji plan održavanja groblja.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23.</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Upravitelj groblja je dužan radnje iz članka 22. ove Odluke obavljati kontinuirano, na način da groblje i objekti na groblju budu uredni i čisti, u funkcionalnom smislu ispravni, i način da se ne vrijeđaju osjećaji poštovanja prema mrtvima.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24.</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Grobna mjesta i drugi objekti na groblju moraju se izrađivati prema planu uređenja groblja i rasporeda grobova, a u skladu s propisima o građenju, estetskim, sanitarnim i drugim tehničkim pravilima.</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25.</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Upravitelj groblja mora Planom uređenja i rasporeda grobova predvidjeti grobna mjesta za privremeni ukop.</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Umrla osoba može se smjestiti u privremeno grobno mjesto samo u dvostrukom (limenom i drvenom) lijesu i to najduže do 6 (šest) mjeseci uz plaćanje naknade od 3,00 eura po danu o čemu se sklapa poseban ugovor o zakupu.</w:t>
      </w:r>
    </w:p>
    <w:p w:rsidR="009E4D5A" w:rsidRDefault="009E4D5A" w:rsidP="009E4D5A">
      <w:pPr>
        <w:pStyle w:val="Bezproreda"/>
        <w:ind w:firstLine="708"/>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26.</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O uređenju i održavanju grobnih mjesta dužni su se brinuti korisnici o svom trošku.</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lastRenderedPageBreak/>
        <w:t>Korisnici grobnog mjesta dužni su grobna mjesta koja koriste uređivati na primjeren način te održavati red i čistoću na način da ne oštete susjedna grobna mjesta, a otpad odložiti na za to određeno mjesto.</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Korisnici grobnog mjesta mogu na osnovi ugovora za uređenje i održavanje grobnih mjesta održavanje povjeriti pravnim ili fizičkim osobama registriranim za obavljanje tih poslova.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Upravitelj groblja dužan je nadzirati uređenje i održavanje grobnih mjesta od strane korisnika.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Ukoliko korisnik grobnog mjesta ne održava red i čistoću grobnog mjesta, Upravitelj groblja može izvršiti čišćenje grobnog mjesta na trošak korisnika.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O uklanjanju otpada s groblja brine Upravitelj groblja.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Upravitelj groblja dužan je osigurati prostor za pravilno odlaganje otpada te odvoz i uklanjanje istog.</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27.</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Održavanje grobnih mjesta osoba od posebnog povijesnog i društvenog značaja obavlja Upravitelj groblja. Radi davanja prijedloga i mišljenja o vrijednim nadgrobnim spomenicima, a u svrhu očuvanja kulturno-povijesne baštine na grobljima općine Gornji Bogićevci.</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Odluku donosi Općinsko vijeće Općine Gornji Bogićevci.</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 xml:space="preserve">UVJETI I MJERILA  ZA PLAĆANJE NAKNADE KOD DODJELE GROBNOG MJESTA I GODIŠNJE NAKNADE ZA KORIŠTENJE GROBNOG MJESTA </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28.</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Korisnik kojemu se grobno mjesto dodjeljuje na korištenje dužan je platiti jednokratnu naknadu za otkup prava korištenja grobnog mjesta.</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Visina naknade iz stavka 1. ovoga članka iznosi 140,00 eura po grobnom mjestu, a predlaže je Upravitelj groblja.</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29.</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Naknadu iz članka 20. ove Odluke plaćaju korisnici u roku 30 dana od donošenja rješenja o davanju grobnog mjesta na korištenje.</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30.</w:t>
      </w:r>
    </w:p>
    <w:p w:rsidR="009E4D5A" w:rsidRDefault="009E4D5A" w:rsidP="009E4D5A">
      <w:pPr>
        <w:pStyle w:val="Bezproreda"/>
        <w:ind w:firstLine="708"/>
        <w:rPr>
          <w:rFonts w:ascii="Times New Roman" w:hAnsi="Times New Roman" w:cs="Times New Roman"/>
          <w:sz w:val="24"/>
          <w:szCs w:val="24"/>
        </w:rPr>
      </w:pPr>
      <w:r>
        <w:rPr>
          <w:rFonts w:ascii="Times New Roman" w:hAnsi="Times New Roman" w:cs="Times New Roman"/>
          <w:sz w:val="24"/>
          <w:szCs w:val="24"/>
        </w:rPr>
        <w:t>Za održavanje groblja na kojemu je korisnik stekao pravo korištenja grobnog odnosno grobnih mjesta,  korisnik plaća grobnu naknadu.</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Visina godišnje naknade po grobnom mjestu je 10,00 eura, utvrđuje ju Upravitelj groblja, a korisnik je plaća najkasnije do 31. prosinca tekuće godine po ispostavljenom računu Upravitelja groblja.</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Godišnja naknada za korištenje grobnog mjesta utvrđuje se na bazi procjene održavanja i uređenja groblja utvrđene Programom uređenja i održavanja, na način da se troškovi dijele na sve korisnike grobnih mjesta.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b/>
          <w:sz w:val="24"/>
          <w:szCs w:val="24"/>
        </w:rPr>
      </w:pPr>
      <w:r>
        <w:rPr>
          <w:rFonts w:ascii="Times New Roman" w:hAnsi="Times New Roman" w:cs="Times New Roman"/>
          <w:b/>
          <w:sz w:val="24"/>
          <w:szCs w:val="24"/>
        </w:rPr>
        <w:t>RADOVI NA GROBLJU</w:t>
      </w:r>
    </w:p>
    <w:p w:rsidR="009E4D5A" w:rsidRDefault="009E4D5A" w:rsidP="009E4D5A">
      <w:pPr>
        <w:pStyle w:val="Bezproreda"/>
        <w:jc w:val="both"/>
        <w:rPr>
          <w:rFonts w:ascii="Times New Roman" w:hAnsi="Times New Roman" w:cs="Times New Roman"/>
          <w:b/>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31.</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Iskop grobova i grobnica, te izvođenje osnovnih građevinskih radova (izgradnja grobnih temelja, okvira, grobnica, kazeta za urne i betonskih dekica) organizira Upravitelj groblja, a obavlja ovlaštena osoba.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Radove na izgradnji nadgrobnih spomenika i uređaja na grobovima mogu izvoditi fizičke i pravne osobe registrirane za obavljanje te djelatnosti.</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Pri izvođenju radova iz stavka 2. ovog članka, izvođači su dužni pridržavati se odredaba o redu na groblju, a naročito:</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radovi se moraju izvoditi na način da se do najveće mjere očuva mir i dostojanstvo na groblju, a mogu se obavljati samo u radne dane u vrijeme uredovnog radnog vremena groblja, nikako za vrijeme sprovoda, nedjeljom ili na dane vjerskih blagdana.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građevni materijal (opeka, kamen, šljunak, pijesak, cement, vapno i drugo) može se držati na groblju samo kraće vrijeme koje je neophodno za izvršenje radova i na način da se time ne ometaju korisnici,</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u slučaju prekida radova, kao i poslije njihova završetka izvođač je dužan bez odlaganja radilište dovesti u prijašnje stanje,</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za prijevoz materijala potrebnog za izvođenje radova na groblju, mogu se koristiti samo oni putovi i staze koje odredi Upravitelj groblja.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Radovi na uređenju i izgradnji novih grobova i drugih objekata na groblju mogu se obavljati samo nakon prethodne prijave Upravitelju groblja i plaćanje takse za izvođenje radova u iznosu od 20,00 eura po grobnom mjestu za namirenje troškova koje će Upravitelj groblja imati u svezi s uređenjem grobnog mjesta, odvoz iskopane zemlje i drugih otpadaka, uređenje putova i staza, utrošak vode i slično.</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Upravitelj groblja će zabraniti rad na određenom mjestu onom izvođaču radova koji započne s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 radom bez prethodne dozvole i plaćanja takse za namirenje troškova iz prethodnog stavka.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32.</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Za izdavanje suglasnosti iz prethodnog članka, korisnik grobnog mjesta obvezan je priložiti: </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ab/>
        <w:t>- zahtjev za izdavanje suglasnosti vlastoručno potpisan, s naznačenim OIB-om korisnika grobnog mjesta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ab/>
        <w:t>- ako ima više korisnika grobnog mjesta za izvođenje radova, potrebna je suglasnost svih korisnika grobnog mjesta, a iznimno korisnik grobnog mjesta može izvoditi radove i bez njihove suglasnosti, uz obvezno prilaganje javnobilježnički ovjerene izjave kojom prihvaća odgovornost prema ostalim su korisnicima i – dva nacrta gradnje i opremanja grobnog mjesta te nacrte gravure s navedenim dimenzijama ploče i položajem i dimenzijama teksta koji odgovaraju propisanim dimenzijama i po načinu izvođenju u skladu s okolinom.</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Upravitelj groblja izdaje suglasnost iz ovog članka u roku od 60 dana od dana uredno predanog zahtjeva. Ukoliko upravitelj ne izda suglasnost u navedenom roku, smatra se da je suglasnost dana, osim ako groblje ili grobno mjesto na kojem će se radovi izvoditi ima status kulturnog dobra ili status dobra od lokalnog značenja.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 xml:space="preserve">Ukoliko su radovi na grobnom mjestu obavljeni bez suglasnosti Upravitelja te je za iste Upravitelj naknadno saznao, Upravitelj zadržava pravo donijeti Rješenje o usklađivanju radova s ovom Odlukom i Zakonom o grobljima. </w:t>
      </w:r>
    </w:p>
    <w:p w:rsidR="009E4D5A" w:rsidRDefault="009E4D5A" w:rsidP="009E4D5A">
      <w:pPr>
        <w:pStyle w:val="Bezproreda"/>
        <w:jc w:val="both"/>
        <w:rPr>
          <w:rFonts w:ascii="Times New Roman" w:hAnsi="Times New Roman" w:cs="Times New Roman"/>
          <w:b/>
          <w:sz w:val="24"/>
          <w:szCs w:val="24"/>
        </w:rPr>
      </w:pPr>
    </w:p>
    <w:p w:rsidR="009E4D5A" w:rsidRDefault="009E4D5A" w:rsidP="009E4D5A">
      <w:pPr>
        <w:pStyle w:val="Bezproreda"/>
        <w:jc w:val="both"/>
        <w:rPr>
          <w:rFonts w:ascii="Times New Roman" w:hAnsi="Times New Roman" w:cs="Times New Roman"/>
          <w:b/>
          <w:sz w:val="24"/>
          <w:szCs w:val="24"/>
        </w:rPr>
      </w:pPr>
      <w:r>
        <w:rPr>
          <w:rFonts w:ascii="Times New Roman" w:hAnsi="Times New Roman" w:cs="Times New Roman"/>
          <w:b/>
          <w:sz w:val="24"/>
          <w:szCs w:val="24"/>
        </w:rPr>
        <w:t>NAČIN I UVJETI UKOPA POKOJNIKA</w:t>
      </w:r>
    </w:p>
    <w:p w:rsidR="009E4D5A" w:rsidRDefault="009E4D5A" w:rsidP="009E4D5A">
      <w:pPr>
        <w:pStyle w:val="Bezproreda"/>
        <w:jc w:val="both"/>
        <w:rPr>
          <w:rFonts w:ascii="Times New Roman" w:hAnsi="Times New Roman" w:cs="Times New Roman"/>
          <w:b/>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33.</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lastRenderedPageBreak/>
        <w:t>Poslovima organiziranja i obavljanja ukopa smatraju se poslovi smještaja pokojnika u mrtvačnicu, pripreme grobnog mjesta (iskop groba, otvaranje i zatvaranje grobnice), prijevoz pokojnika od mrtvačnice do grobnog mjesta, ukop pokojnika te uređenje grobnog mjesta nakon ukopa.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Za pružanje usluga iz stavka 1.ovog članka  može obavljati ovlaštena pravna ili fizička osoba ili Upravitelj groblja.</w:t>
      </w: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34.</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Naručitelj ukopa je svaka fizička ili pravna osoba koja je uz predočenje i predaju dozvole za ukop, a po potrebi i drugih isprava, preuzimanjem obveze podmirenja grobnih naknada i podmirenje troškova pogrebnih poslova, zatražila obavljanje ukopa.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35.</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Ukopi pokojnika obavljaju se radnim danom u vremenu do 14:00 sati.</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Iznimno od stavka 1. ovog članka, ukopi umrlih osoba mogu se obavljati subotom, nedjeljom, blagdanom i praznikom, ukoliko se za to pokaže opravdano neodgodiva potreba.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Ekshumacija pokojnika obavljat će se u slučajevima i na način utvrđen zakonskim odredbama i drugim propisima.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36.</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Načini i uvjeti korištenja groblja, kao i uvjeti ostalih oblika korištenja groblja, detaljnije će biti regulirani Odlukom o pravilima ponašanja na groblju.</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Odluku iz prethodnog stavka donosi Upravitelj groblja, a dužan ju je objaviti i izvjesiti na vidnom mjestu groblja.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b/>
          <w:sz w:val="24"/>
          <w:szCs w:val="24"/>
        </w:rPr>
      </w:pPr>
      <w:r>
        <w:rPr>
          <w:rFonts w:ascii="Times New Roman" w:hAnsi="Times New Roman" w:cs="Times New Roman"/>
          <w:b/>
          <w:sz w:val="24"/>
          <w:szCs w:val="24"/>
        </w:rPr>
        <w:t>VREMENSKI RAZMACI UKOPA U POPUNJENA GROBNOG MJESTA</w:t>
      </w:r>
    </w:p>
    <w:p w:rsidR="009E4D5A" w:rsidRDefault="009E4D5A" w:rsidP="009E4D5A">
      <w:pPr>
        <w:pStyle w:val="Bezproreda"/>
        <w:jc w:val="both"/>
        <w:rPr>
          <w:rFonts w:ascii="Times New Roman" w:hAnsi="Times New Roman" w:cs="Times New Roman"/>
          <w:b/>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37.</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U popunjena grobna mjesta ukop se može odobriti i redovno obaviti nakon isteka 10 godina od posljednjeg ukopa u grob, odnosno 20 godina u grobnicu, a ovisno o vrsti grobnog mjesta</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utvrđenog u Grobnom očevidniku Uprave groblja, ako su stečeni sanitarni uvjeti za sabiranje i zbrinjavanje posmrtnih ostataka.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38.</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U napuštena grobna mjesta ukop se može obaviti nakon proteka 10 godina od posljednjeg ukopa u grob, odnosno nakon proteka 20 godina od ukopa u grobnicu.</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39.</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Upravitelj groblja će prije dodjele napuštenog grobnog mjesta drugom korisniku premjestiti ostatke preminulog iz napuštenog grobnog mjesta u zajedničko grobno mjesto izrađeno za tu namjenu.</w:t>
      </w: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40.</w:t>
      </w: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Sredstva za redovno održavanje groblja osiguravaju se iz naknade za dodijeljeno grobno mjesto i sredstava godišnje grobne naknade te ostalih prihoda vezanih uz davanje grobnih usluga.</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r>
        <w:rPr>
          <w:rFonts w:ascii="Times New Roman" w:hAnsi="Times New Roman" w:cs="Times New Roman"/>
          <w:sz w:val="24"/>
          <w:szCs w:val="24"/>
        </w:rPr>
        <w:t>Sredstva za investicijsko ulaganje i proširenje groblja osiguravaju se iz sredstava proračuna Općine Gornji Bogićevci.</w:t>
      </w: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jc w:val="both"/>
        <w:rPr>
          <w:rFonts w:ascii="Times New Roman" w:hAnsi="Times New Roman" w:cs="Times New Roman"/>
          <w:sz w:val="24"/>
          <w:szCs w:val="24"/>
        </w:rPr>
      </w:pPr>
    </w:p>
    <w:p w:rsidR="009E4D5A" w:rsidRDefault="009E4D5A" w:rsidP="009E4D5A">
      <w:pPr>
        <w:pStyle w:val="Bezproreda"/>
        <w:rPr>
          <w:rFonts w:ascii="Times New Roman" w:hAnsi="Times New Roman" w:cs="Times New Roman"/>
          <w:b/>
          <w:sz w:val="24"/>
          <w:szCs w:val="24"/>
        </w:rPr>
      </w:pPr>
      <w:r>
        <w:rPr>
          <w:rFonts w:ascii="Times New Roman" w:hAnsi="Times New Roman" w:cs="Times New Roman"/>
          <w:b/>
          <w:sz w:val="24"/>
          <w:szCs w:val="24"/>
        </w:rPr>
        <w:lastRenderedPageBreak/>
        <w:t>NADZOR I PREKRŠAJNE ODREDBE</w:t>
      </w:r>
    </w:p>
    <w:p w:rsidR="009E4D5A" w:rsidRDefault="009E4D5A" w:rsidP="009E4D5A">
      <w:pPr>
        <w:pStyle w:val="Bezproreda"/>
        <w:rPr>
          <w:rFonts w:ascii="Times New Roman" w:hAnsi="Times New Roman" w:cs="Times New Roman"/>
          <w:b/>
          <w:sz w:val="24"/>
          <w:szCs w:val="24"/>
        </w:rPr>
      </w:pP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41.</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Nadzor nad primjenom odredbi ove Odluke provodi Jedinstveni upravni odjel Općine Gornji Bogićevci.</w:t>
      </w:r>
    </w:p>
    <w:p w:rsidR="009E4D5A" w:rsidRDefault="009E4D5A" w:rsidP="009E4D5A">
      <w:pPr>
        <w:pStyle w:val="Bezproreda"/>
        <w:jc w:val="center"/>
        <w:rPr>
          <w:rFonts w:ascii="Times New Roman" w:hAnsi="Times New Roman" w:cs="Times New Roman"/>
          <w:b/>
          <w:sz w:val="24"/>
          <w:szCs w:val="24"/>
        </w:rPr>
      </w:pPr>
      <w:r>
        <w:rPr>
          <w:rFonts w:ascii="Times New Roman" w:hAnsi="Times New Roman" w:cs="Times New Roman"/>
          <w:b/>
          <w:sz w:val="24"/>
          <w:szCs w:val="24"/>
        </w:rPr>
        <w:t>Članak 42.</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Novčanom kaznom u iznosu od 1.000,00 do 5.000,00 eura kaznit će se za prekršaj korisnik grobnog mjesta ili spomen-obilježja odnosno vlasnik ili posjednik grobnog mjesta ili spomen-obilježja izvan groblja ako u roku od 15 dana od dana zaprimanja rješenja iz članka 36. stavka 1. Zakona o groblju (NN 78/25,80/25)  ne ukloni opremu i uređaje grobnog mjesta ili ne ukloni u cijelosti spomen-obilježje koje nije u skladu s odredbom članka 13. stavka 2. Zakona</w:t>
      </w:r>
      <w:r>
        <w:t xml:space="preserve"> </w:t>
      </w:r>
      <w:r>
        <w:rPr>
          <w:rFonts w:ascii="Times New Roman" w:hAnsi="Times New Roman" w:cs="Times New Roman"/>
          <w:sz w:val="24"/>
          <w:szCs w:val="24"/>
        </w:rPr>
        <w:t>o groblju (NN 78/25,80/25).</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Novčanom kaznom u iznosu od 1.000,00 do 5.000,00 eura kaznit će se za prekršaj korisnik grobnog mjesta ili spomen-obilježja unutar groblja odnosno vlasnik ili posjednik grobnog mjesta ili spomen-obilježja izvan groblja ako izvedbom opreme i uređaja grobnog mjesta i spomen-obilježja, bez obzira na to gdje se nalaze, vrijeđa nacionalne, vjerske ili moralne osjećaje građana, ili vrijeđa vrijednosti obrambenog Domovinskog rata ili na bilo koji način veliča agresiju na Republiku Hrvatsku ili oružanu pobunu protiv Republike Hrvatske tijekom Domovinskog rata ili sudionike u toj pobuni, ili na bilo koji način povrijedi uspomenu na umrlu osobu.</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Novčanom kaznom u iznosu od 3.000,00 do 10.000,00 eura kaznit će se upravitelj groblja ako:</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u roku od 30 dana od dana saznanja za činjenicu da na groblju kojim upravlja postoji grobno mjesto ili spomen-obilježje koje vrijeđa nacionalne, vjerske ili moralne osjećaje građana, ili vrijeđa vrijednosti obrambenog Domovinskog rata ili na bilo koji način veliča agresiju na Republiku Hrvatsku ili oružanu pobunu protiv Republike Hrvatske tijekom Domovinskog rata ili sudionike u toj pobuni, ili na bilo koji način povrjeđuje uspomenu na umrlu osobu ne podnese zahtjev za pokretanje upravnog postupka usklađivanja izgleda grobnog mjesta i spomen-obilježja s odredbama ovoga Zakona u skladu s odredbom članka 31. stavka 3. Zakona o groblju (NN 78/25,80/25).</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u roku od 30 dana od dana saznanja za činjenicu da korisnici grobnih mjesta i spomen-obilježja unutar groblja nisu u roku od 30 dana od stupanja na snagu Zakona o groblju (NN 78/25,80/25) uredili grobna mjesta i spomen-obilježja unutar groblja odnosno uklonili opremu i uređaje grobnog mjesta i spomen-obilježja koji nisu u skladu s odredbom članka 13. stavka 2. Zakona o groblju (NN 78/25,80/25) ne podnese zahtjev za pokretanje upravnog postupka iz članka 31. stavka 3. Zakona o groblju (NN 78/25,80/25), odnosno ako ne postupi u skladu s odredbom članka 49. stavka 3. Zakona o groblju (NN 78/25,80/25)</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 xml:space="preserve"> Novčanom kaznom u iznosu od 1.000,00 do 5.000,00 eura kaznit će se odgovorna osoba u pravnoj osobi za prekršaj iz stavka 3. ovoga članka.</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Novčane kazne iz ovoga članka prekršajnim nalogom izriče nadležno tijelo područne lokalne (regionalne) samouprave.</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b/>
          <w:bCs/>
          <w:sz w:val="24"/>
          <w:szCs w:val="24"/>
        </w:rPr>
      </w:pPr>
      <w:r>
        <w:rPr>
          <w:rFonts w:ascii="Times New Roman" w:hAnsi="Times New Roman" w:cs="Times New Roman"/>
          <w:b/>
          <w:bCs/>
          <w:sz w:val="24"/>
          <w:szCs w:val="24"/>
        </w:rPr>
        <w:t>PRIJELAZNE I ZAVRŠNE ODREDBE</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43.</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 xml:space="preserve">Korisnici grobnih mjesta koji su pravo korištenja grobnog mjesta stekli do dana stupanja na snagu ovoga Zakona, bez obzira na to jesu li to pravo stekli na određeno ili neodređeno vrijeme, s danom stupanja na snagu ovoga Zakona postaju korisnici grobnih mjesta na neodređeno vrijeme. </w:t>
      </w:r>
    </w:p>
    <w:p w:rsidR="009E4D5A" w:rsidRDefault="009E4D5A" w:rsidP="009E4D5A">
      <w:pPr>
        <w:pStyle w:val="Bezproreda"/>
        <w:jc w:val="center"/>
        <w:rPr>
          <w:rFonts w:ascii="Times New Roman" w:hAnsi="Times New Roman" w:cs="Times New Roman"/>
          <w:sz w:val="24"/>
          <w:szCs w:val="24"/>
        </w:rPr>
      </w:pP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44.</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Upravitelj groblja dužan je voditi grobni očevidnik, registar umrlih osoba, donijeti planove uređenja, održavanja i rasporeda grobova, Odluku o pravilima ponašanja na groblju i ostale akte i propise predviđene Zakonom o grobljima (Narodne novine, broj 78/25, 80/25) i ovom Odlukom.</w:t>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45.</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Stupanjem na snagu ove Odluke prestaje važiti Odluka o grobljima (“Službeni glasnik općine Gornji Bogićevci 01/23) Klasa: 363-01/23-01/01, Urbroj: 2178-22-03/1-23-01 od 12.1.2023.</w:t>
      </w:r>
      <w:r>
        <w:rPr>
          <w:rFonts w:ascii="Times New Roman" w:hAnsi="Times New Roman" w:cs="Times New Roman"/>
          <w:sz w:val="24"/>
          <w:szCs w:val="24"/>
        </w:rPr>
        <w:tab/>
      </w:r>
      <w:r>
        <w:rPr>
          <w:rFonts w:ascii="Times New Roman" w:hAnsi="Times New Roman" w:cs="Times New Roman"/>
          <w:sz w:val="24"/>
          <w:szCs w:val="24"/>
        </w:rPr>
        <w:tab/>
      </w:r>
    </w:p>
    <w:p w:rsidR="009E4D5A" w:rsidRDefault="009E4D5A" w:rsidP="009E4D5A">
      <w:pPr>
        <w:pStyle w:val="Bezproreda"/>
        <w:jc w:val="center"/>
        <w:rPr>
          <w:rFonts w:ascii="Times New Roman" w:hAnsi="Times New Roman" w:cs="Times New Roman"/>
          <w:b/>
          <w:bCs/>
          <w:sz w:val="24"/>
          <w:szCs w:val="24"/>
        </w:rPr>
      </w:pPr>
      <w:r>
        <w:rPr>
          <w:rFonts w:ascii="Times New Roman" w:hAnsi="Times New Roman" w:cs="Times New Roman"/>
          <w:b/>
          <w:bCs/>
          <w:sz w:val="24"/>
          <w:szCs w:val="24"/>
        </w:rPr>
        <w:t>Članak 46.</w:t>
      </w:r>
    </w:p>
    <w:p w:rsidR="009E4D5A" w:rsidRDefault="009E4D5A" w:rsidP="009E4D5A">
      <w:pPr>
        <w:pStyle w:val="Bezproreda"/>
        <w:ind w:firstLine="708"/>
        <w:jc w:val="both"/>
        <w:rPr>
          <w:rFonts w:ascii="Times New Roman" w:hAnsi="Times New Roman" w:cs="Times New Roman"/>
          <w:sz w:val="24"/>
          <w:szCs w:val="24"/>
        </w:rPr>
      </w:pPr>
      <w:r>
        <w:rPr>
          <w:rFonts w:ascii="Times New Roman" w:hAnsi="Times New Roman" w:cs="Times New Roman"/>
          <w:sz w:val="24"/>
          <w:szCs w:val="24"/>
        </w:rPr>
        <w:t>Ova Odluka stupa na snagu osmog dana od dana objave, a bit će objavljena u „Službenom glasniku općine Gornji Bogićevci“.</w:t>
      </w:r>
    </w:p>
    <w:p w:rsidR="009E4D5A" w:rsidRDefault="009E4D5A" w:rsidP="009E4D5A">
      <w:pPr>
        <w:pStyle w:val="Bezproreda"/>
        <w:rPr>
          <w:rFonts w:ascii="Times New Roman" w:hAnsi="Times New Roman" w:cs="Times New Roman"/>
          <w:sz w:val="24"/>
          <w:szCs w:val="24"/>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KLASA:</w:t>
      </w:r>
      <w:r>
        <w:t xml:space="preserve"> </w:t>
      </w:r>
      <w:r>
        <w:rPr>
          <w:rFonts w:ascii="Times New Roman" w:hAnsi="Times New Roman" w:cs="Times New Roman"/>
          <w:sz w:val="24"/>
          <w:szCs w:val="24"/>
        </w:rPr>
        <w:t>363-01/25-01/01</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URBROJ: 2178-22-03-25-01</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Gornji Bogićevci, 22.12. 2025. godine</w:t>
      </w:r>
    </w:p>
    <w:p w:rsidR="009E4D5A" w:rsidRDefault="009E4D5A" w:rsidP="009E4D5A">
      <w:pPr>
        <w:pStyle w:val="Bezproreda"/>
        <w:ind w:left="6372" w:firstLine="708"/>
        <w:rPr>
          <w:rFonts w:ascii="Times New Roman" w:hAnsi="Times New Roman" w:cs="Times New Roman"/>
          <w:sz w:val="24"/>
          <w:szCs w:val="24"/>
        </w:rPr>
      </w:pPr>
      <w:r>
        <w:rPr>
          <w:rFonts w:ascii="Times New Roman" w:hAnsi="Times New Roman" w:cs="Times New Roman"/>
          <w:sz w:val="24"/>
          <w:szCs w:val="24"/>
        </w:rPr>
        <w:t>Predsjednik vijeća:</w:t>
      </w:r>
    </w:p>
    <w:p w:rsidR="009E4D5A" w:rsidRDefault="009E4D5A" w:rsidP="009E4D5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Željko Klarić</w:t>
      </w:r>
    </w:p>
    <w:p w:rsidR="009E4D5A" w:rsidRPr="009E4D5A" w:rsidRDefault="009E4D5A" w:rsidP="009E4D5A">
      <w:pPr>
        <w:pStyle w:val="Bezproreda"/>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9E4D5A">
      <w:pPr>
        <w:pStyle w:val="Bezproreda"/>
        <w:rPr>
          <w:rFonts w:ascii="Times New Roman" w:hAnsi="Times New Roman" w:cs="Times New Roman"/>
          <w:b/>
          <w:bCs/>
          <w:sz w:val="24"/>
          <w:szCs w:val="24"/>
        </w:rPr>
      </w:pPr>
      <w:r w:rsidRPr="009E4D5A">
        <w:rPr>
          <w:rFonts w:ascii="Times New Roman" w:hAnsi="Times New Roman" w:cs="Times New Roman"/>
          <w:b/>
          <w:bCs/>
          <w:sz w:val="24"/>
          <w:szCs w:val="24"/>
        </w:rPr>
        <w:t xml:space="preserve">43. </w:t>
      </w:r>
      <w:r>
        <w:rPr>
          <w:rFonts w:ascii="Times New Roman" w:hAnsi="Times New Roman" w:cs="Times New Roman"/>
          <w:b/>
          <w:bCs/>
          <w:sz w:val="24"/>
          <w:szCs w:val="24"/>
        </w:rPr>
        <w:t>O</w:t>
      </w:r>
      <w:r w:rsidRPr="009E4D5A">
        <w:rPr>
          <w:rFonts w:ascii="Times New Roman" w:hAnsi="Times New Roman" w:cs="Times New Roman"/>
          <w:b/>
          <w:bCs/>
          <w:sz w:val="24"/>
          <w:szCs w:val="24"/>
        </w:rPr>
        <w:t>dluk</w:t>
      </w:r>
      <w:r>
        <w:rPr>
          <w:rFonts w:ascii="Times New Roman" w:hAnsi="Times New Roman" w:cs="Times New Roman"/>
          <w:b/>
          <w:bCs/>
          <w:sz w:val="24"/>
          <w:szCs w:val="24"/>
        </w:rPr>
        <w:t>a</w:t>
      </w:r>
      <w:r w:rsidRPr="009E4D5A">
        <w:rPr>
          <w:rFonts w:ascii="Times New Roman" w:hAnsi="Times New Roman" w:cs="Times New Roman"/>
          <w:b/>
          <w:bCs/>
          <w:sz w:val="24"/>
          <w:szCs w:val="24"/>
        </w:rPr>
        <w:t xml:space="preserve"> o ponašanju na groblju</w:t>
      </w:r>
    </w:p>
    <w:p w:rsidR="009E4D5A" w:rsidRPr="009E4D5A" w:rsidRDefault="009E4D5A" w:rsidP="009E4D5A">
      <w:pPr>
        <w:pStyle w:val="Bezproreda"/>
        <w:rPr>
          <w:rFonts w:ascii="Times New Roman" w:hAnsi="Times New Roman" w:cs="Times New Roman"/>
          <w:b/>
          <w:bCs/>
          <w:sz w:val="24"/>
          <w:szCs w:val="24"/>
        </w:rPr>
      </w:pPr>
    </w:p>
    <w:p w:rsidR="009E4D5A" w:rsidRDefault="009E4D5A" w:rsidP="009E4D5A">
      <w:pPr>
        <w:pStyle w:val="StandardWeb"/>
        <w:shd w:val="clear" w:color="auto" w:fill="FFFFFF"/>
        <w:spacing w:before="0" w:beforeAutospacing="0" w:after="360" w:afterAutospacing="0"/>
        <w:jc w:val="both"/>
        <w:rPr>
          <w:rFonts w:ascii="Arial" w:hAnsi="Arial" w:cs="Arial"/>
          <w:color w:val="000000" w:themeColor="text1"/>
          <w:sz w:val="22"/>
          <w:szCs w:val="22"/>
        </w:rPr>
      </w:pPr>
      <w:r>
        <w:rPr>
          <w:rFonts w:ascii="Arial" w:hAnsi="Arial" w:cs="Arial"/>
          <w:color w:val="000000" w:themeColor="text1"/>
          <w:sz w:val="22"/>
          <w:szCs w:val="22"/>
        </w:rPr>
        <w:lastRenderedPageBreak/>
        <w:tab/>
        <w:t>Temeljem članka 11. stavka 3. Zakona o grobljima ( „Narodne novine“ br. 78/25, 80/25 – u daljnjem tekstu: Zakon o grobljima), i te članka 39. Statuta Općine Gornji Bogićevci (“Službeni glasnik Općine Gornji Bogićevci” 02/21), Općinsko vijeće Općine Gornji Bogićevci na 5. sjednici održanoj 22.12. 2025. godine, donijelo je</w:t>
      </w:r>
    </w:p>
    <w:p w:rsidR="009E4D5A" w:rsidRDefault="009E4D5A" w:rsidP="009E4D5A">
      <w:pPr>
        <w:pStyle w:val="StandardWeb"/>
        <w:shd w:val="clear" w:color="auto" w:fill="FFFFFF"/>
        <w:spacing w:before="0" w:beforeAutospacing="0" w:after="360" w:afterAutospacing="0"/>
        <w:jc w:val="center"/>
        <w:rPr>
          <w:b/>
          <w:bCs/>
        </w:rPr>
      </w:pPr>
      <w:r>
        <w:rPr>
          <w:rStyle w:val="Naglaeno"/>
          <w:rFonts w:ascii="Arial" w:hAnsi="Arial" w:cs="Arial"/>
          <w:color w:val="000000" w:themeColor="text1"/>
          <w:sz w:val="22"/>
          <w:szCs w:val="22"/>
        </w:rPr>
        <w:t>ODLUKU O PRAVILIMA PONAŠANJA NA GROBLJU</w:t>
      </w:r>
    </w:p>
    <w:p w:rsidR="009E4D5A" w:rsidRDefault="009E4D5A" w:rsidP="009E4D5A">
      <w:pPr>
        <w:pStyle w:val="StandardWeb"/>
        <w:shd w:val="clear" w:color="auto" w:fill="FFFFFF"/>
        <w:spacing w:before="0" w:beforeAutospacing="0" w:after="0" w:afterAutospacing="0"/>
        <w:jc w:val="center"/>
        <w:rPr>
          <w:rStyle w:val="Naglaeno"/>
          <w:rFonts w:ascii="Arial" w:hAnsi="Arial" w:cs="Arial"/>
          <w:color w:val="000000" w:themeColor="text1"/>
          <w:sz w:val="22"/>
          <w:szCs w:val="22"/>
        </w:rPr>
      </w:pPr>
      <w:r>
        <w:rPr>
          <w:rStyle w:val="Naglaeno"/>
          <w:rFonts w:ascii="Arial" w:hAnsi="Arial" w:cs="Arial"/>
          <w:color w:val="000000" w:themeColor="text1"/>
          <w:sz w:val="22"/>
          <w:szCs w:val="22"/>
        </w:rPr>
        <w:t>I. OPĆE ODREDBE</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360" w:afterAutospacing="0"/>
        <w:jc w:val="center"/>
        <w:rPr>
          <w:rFonts w:ascii="Arial" w:hAnsi="Arial" w:cs="Arial"/>
          <w:color w:val="000000" w:themeColor="text1"/>
          <w:sz w:val="22"/>
          <w:szCs w:val="22"/>
        </w:rPr>
      </w:pPr>
      <w:r>
        <w:rPr>
          <w:rFonts w:ascii="Arial" w:hAnsi="Arial" w:cs="Arial"/>
          <w:color w:val="000000" w:themeColor="text1"/>
          <w:sz w:val="22"/>
          <w:szCs w:val="22"/>
        </w:rPr>
        <w:t>Članak 1.</w:t>
      </w:r>
    </w:p>
    <w:p w:rsidR="009E4D5A" w:rsidRDefault="009E4D5A" w:rsidP="009E4D5A">
      <w:pPr>
        <w:pStyle w:val="StandardWeb"/>
        <w:shd w:val="clear" w:color="auto" w:fill="FFFFFF"/>
        <w:spacing w:before="0" w:beforeAutospacing="0" w:after="360" w:afterAutospacing="0"/>
        <w:jc w:val="both"/>
        <w:rPr>
          <w:rFonts w:ascii="Arial" w:hAnsi="Arial" w:cs="Arial"/>
          <w:color w:val="000000" w:themeColor="text1"/>
          <w:sz w:val="22"/>
          <w:szCs w:val="22"/>
        </w:rPr>
      </w:pPr>
      <w:r>
        <w:rPr>
          <w:rFonts w:ascii="Arial" w:hAnsi="Arial" w:cs="Arial"/>
          <w:color w:val="000000" w:themeColor="text1"/>
          <w:sz w:val="22"/>
          <w:szCs w:val="22"/>
        </w:rPr>
        <w:t>Ovom Odlukom o ponašanju na groblju (u daljnjem tekstu: Odluka) Upravitelj groblja utvrđuje radno vrijeme groblja, vrijeme ukopa način i primjereno vrijeme za obavljanje radova na groblju od strane drugih pravnih osoba te pravila ponašanja na groblju i pružanje određenih usluga na groblju od strane drugih pravnih osoba te pravila ponašanja koja vrijede za korisnike posjetitelje.</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2.</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Groblja na području Općine Gornji Bogićevci su mjesna groblja u naseljima Gornji Bogićevci, Smrtić, Ratkovac, Trnava i Kosovac.</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3.</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O uređenju i održavanju groblja i pratećih objekata brine se Upravitelj groblja, a o uređenju grobova i grobnih mjesta brinu se korisnici.</w:t>
      </w: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Style w:val="Naglaeno"/>
          <w:rFonts w:ascii="Arial" w:hAnsi="Arial" w:cs="Arial"/>
          <w:color w:val="000000" w:themeColor="text1"/>
          <w:sz w:val="22"/>
          <w:szCs w:val="22"/>
        </w:rPr>
        <w:t>II. RADNO VRIJEME GROBLJA</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4.</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Groblje je otvoreno za posjet svaki dan od 00:00 do 24:00 sata. Pogrebi se obavljaju u dogovoru s pravnom osobom kojoj su povjereni poslovi održavanja groblja i poslovi ukopa.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Ako poslovi održavanja groblja i ukopa nisu povjereni pravnoj osobi, pogrebi se obavljanju u koordinaciji s Upraviteljem groblja, obitelji pokojnika i pravnom osobom koju je obitelj pokojnika angažirala za poslove ukopa. </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Style w:val="Naglaeno"/>
          <w:rFonts w:ascii="Arial" w:hAnsi="Arial" w:cs="Arial"/>
          <w:color w:val="000000" w:themeColor="text1"/>
          <w:sz w:val="22"/>
          <w:szCs w:val="22"/>
        </w:rPr>
        <w:t>III. NAČIN I PRIMJERENO VRIJEME ZA IZVOĐENJE RADOVA</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5.</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Za izvođenje radova i preinaku odnosno za odstranjivanje opreme ili uređaja grobnog mjesta potrebna je prethodna suglasnost Upravitelja groblja. Za izdavanje suglasnosti je zadužen Jedinstveni upravni odjel Općine Gornji Bogićevci. </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Za izdavanje suglasnosti iz stavka 1. ovog članka korisnik grobnog mjesta obvezan je priložiti:</w:t>
      </w:r>
      <w:r>
        <w:rPr>
          <w:rFonts w:ascii="Arial" w:hAnsi="Arial" w:cs="Arial"/>
          <w:color w:val="000000" w:themeColor="text1"/>
          <w:sz w:val="22"/>
          <w:szCs w:val="22"/>
        </w:rPr>
        <w:br/>
      </w:r>
      <w:r>
        <w:rPr>
          <w:rFonts w:ascii="Arial" w:hAnsi="Arial" w:cs="Arial"/>
          <w:color w:val="000000" w:themeColor="text1"/>
          <w:sz w:val="22"/>
          <w:szCs w:val="22"/>
        </w:rPr>
        <w:br/>
        <w:t>– Vlastoručno potpisan zahtjev za izdavanje suglasnosti s naznačenim OIB-om korisnika grobnog mjesta,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br/>
        <w:t>– Ako ima više korisnika grobnog mjesta za izvođenje radova potrebna je suglasnost svih korisnika, a iznimno korisnik može izvoditi radove i bez njihove suglasnosti, uz obvezno prilaganje javnobilježnički ovjerene izjave kojom prihvaća odgovornost prema ostalim sukorisnicima.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lastRenderedPageBreak/>
        <w:br/>
        <w:t>– Opis i vrstu poslova koja se planira raditi na grobnom mjestu i po načinu izvođenja moraju biti u skladu s okolinom.</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Za izvođenje radova na grobnom mjestu plaća se taksa u iznosu od 20,00 eura.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br/>
        <w:t xml:space="preserve">Za radove na groblju ili grobnom mjestu koje ima status kulturnog dobra potrebno je prethodno pribaviti odobrenje sukladno propisima o zaštiti i očuvanju kulturnih dobara. </w:t>
      </w: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ind w:left="3540"/>
        <w:rPr>
          <w:rFonts w:ascii="Arial" w:hAnsi="Arial" w:cs="Arial"/>
          <w:color w:val="000000" w:themeColor="text1"/>
          <w:sz w:val="22"/>
          <w:szCs w:val="22"/>
        </w:rPr>
      </w:pPr>
      <w:r>
        <w:rPr>
          <w:rFonts w:ascii="Arial" w:hAnsi="Arial" w:cs="Arial"/>
          <w:color w:val="000000" w:themeColor="text1"/>
          <w:sz w:val="22"/>
          <w:szCs w:val="22"/>
        </w:rPr>
        <w:t xml:space="preserve">        Članak 6.</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 xml:space="preserve">Izvođač radova iz članka 5. stavak 1. može izvoditi radnim danom, u vrijeme kad je groblje otvoreno sukladno odredbama članka 4. ove Odluke. </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Radovi se ne smiju izvoditi na blagdan ili neradnog dana određenog posebnim zakonom. Početak i završetak radova izvođač mora prijaviti Upravitelju groblja.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7.</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Radovi na groblju moraju se obaviti na način da se očuva potpuni red i mir. Građevinski materijal potreban za obavljanje radova može se držati na groblju samo za vrijeme obavljanja radova.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br/>
        <w:t>Nakon završetka radova, izvođač je dužan ukloniti sav preostali građevinski materijal i korišteni prostor dovesti u prvobitno stanje.</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8.</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Zabranjeno je izvođenje radova bez prethodne suglasnosti iz članka 5. stavka 1. i radova koji se izvode protivno izdanoj suglasnosti kao i izvođenje radova koji bi bili u suprotnosti s odredbama Zakona o grobljima. U slučaju da se radovi izvode protivno odredbi stavka 1. ovog članka Upravitelj groblja će postupiti sukladno odredbama članka 16. Zakona o grobljima.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Style w:val="Naglaeno"/>
          <w:rFonts w:ascii="Arial" w:hAnsi="Arial" w:cs="Arial"/>
          <w:color w:val="000000" w:themeColor="text1"/>
          <w:sz w:val="22"/>
          <w:szCs w:val="22"/>
        </w:rPr>
      </w:pPr>
      <w:r>
        <w:rPr>
          <w:rStyle w:val="Naglaeno"/>
          <w:rFonts w:ascii="Arial" w:hAnsi="Arial" w:cs="Arial"/>
          <w:color w:val="000000" w:themeColor="text1"/>
          <w:sz w:val="22"/>
          <w:szCs w:val="22"/>
        </w:rPr>
        <w:t>IV. PRAVILA PONAŠANJA NA GROBLJU</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9.</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Na groblju je zabranjeno:</w:t>
      </w:r>
      <w:r>
        <w:rPr>
          <w:rFonts w:ascii="Arial" w:hAnsi="Arial" w:cs="Arial"/>
          <w:color w:val="000000" w:themeColor="text1"/>
          <w:sz w:val="22"/>
          <w:szCs w:val="22"/>
        </w:rPr>
        <w:br/>
        <w:t>– Opremom i uređajima grobnog mjesta: vrijeđati nacionalne, vjerske ili moralne osjećaje građana; vrijeđati vrijednost obrambenog Domovinskog rata ili na bilo koji način veličati agresiju na Republiku Hrvatsku ili oružanu pobunu protiv Republike Hrvatske tijekom Domovinskog rata ili sudionike u toj pobuni; na bilo koji način povrijediti uspomenu na umrlu osobu</w:t>
      </w:r>
      <w:r>
        <w:rPr>
          <w:rFonts w:ascii="Arial" w:hAnsi="Arial" w:cs="Arial"/>
          <w:color w:val="000000" w:themeColor="text1"/>
          <w:sz w:val="22"/>
          <w:szCs w:val="22"/>
        </w:rPr>
        <w:br/>
        <w:t>– Ulaziti i boraviti na groblju izvan vremena propisanog za posjet</w:t>
      </w:r>
      <w:r>
        <w:rPr>
          <w:rFonts w:ascii="Arial" w:hAnsi="Arial" w:cs="Arial"/>
          <w:color w:val="000000" w:themeColor="text1"/>
          <w:sz w:val="22"/>
          <w:szCs w:val="22"/>
        </w:rPr>
        <w:br/>
        <w:t>– Kretati se izvan označenih putova i staza namijenjenih za prilaz do grobnih mjesta i objekata</w:t>
      </w:r>
      <w:r>
        <w:rPr>
          <w:rFonts w:ascii="Arial" w:hAnsi="Arial" w:cs="Arial"/>
          <w:color w:val="000000" w:themeColor="text1"/>
          <w:sz w:val="22"/>
          <w:szCs w:val="22"/>
        </w:rPr>
        <w:br/>
        <w:t>– Ulaziti u mrtvačnicu u vrijeme koje nije predviđeno za sahrane, izlaganje i ispraćaj pokojnika,</w:t>
      </w:r>
      <w:r>
        <w:rPr>
          <w:rFonts w:ascii="Arial" w:hAnsi="Arial" w:cs="Arial"/>
          <w:color w:val="000000" w:themeColor="text1"/>
          <w:sz w:val="22"/>
          <w:szCs w:val="22"/>
        </w:rPr>
        <w:br/>
        <w:t xml:space="preserve">– Gaziti po grobnim mjestima, oštećivati grobna mjesta, spomenike, nadgrobne znakove, klupe, ograde te ostale objekte i uređaje </w:t>
      </w: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 Onečišćivati grobna mjesta, nadgrobne spomenike, putove, zelene površine, staze i uređaje,</w:t>
      </w:r>
      <w:r>
        <w:rPr>
          <w:rFonts w:ascii="Arial" w:hAnsi="Arial" w:cs="Arial"/>
          <w:color w:val="000000" w:themeColor="text1"/>
          <w:sz w:val="22"/>
          <w:szCs w:val="22"/>
        </w:rPr>
        <w:br/>
        <w:t>– Uništavati zelene površine,</w:t>
      </w:r>
      <w:r>
        <w:rPr>
          <w:rFonts w:ascii="Arial" w:hAnsi="Arial" w:cs="Arial"/>
          <w:color w:val="000000" w:themeColor="text1"/>
          <w:sz w:val="22"/>
          <w:szCs w:val="22"/>
        </w:rPr>
        <w:br/>
        <w:t>– Sadniti hortikulturno bilje i biljni ukrasni materijal,</w:t>
      </w:r>
      <w:r>
        <w:rPr>
          <w:rFonts w:ascii="Arial" w:hAnsi="Arial" w:cs="Arial"/>
          <w:color w:val="000000" w:themeColor="text1"/>
          <w:sz w:val="22"/>
          <w:szCs w:val="22"/>
        </w:rPr>
        <w:br/>
        <w:t>– Postavljati na grobove posude za cvijeće i drugu ukrasnu opremu u dotrajalom stanju,</w:t>
      </w:r>
      <w:r>
        <w:rPr>
          <w:rFonts w:ascii="Arial" w:hAnsi="Arial" w:cs="Arial"/>
          <w:color w:val="000000" w:themeColor="text1"/>
          <w:sz w:val="22"/>
          <w:szCs w:val="22"/>
        </w:rPr>
        <w:br/>
        <w:t>– Pisati po grobnim mjestima i ostalim objektima i uređajima,</w:t>
      </w:r>
      <w:r>
        <w:rPr>
          <w:rFonts w:ascii="Arial" w:hAnsi="Arial" w:cs="Arial"/>
          <w:color w:val="000000" w:themeColor="text1"/>
          <w:sz w:val="22"/>
          <w:szCs w:val="22"/>
        </w:rPr>
        <w:br/>
        <w:t>– Pristup neprimjereno odjevenim posjetiteljima,</w:t>
      </w:r>
      <w:r>
        <w:rPr>
          <w:rFonts w:ascii="Arial" w:hAnsi="Arial" w:cs="Arial"/>
          <w:color w:val="000000" w:themeColor="text1"/>
          <w:sz w:val="22"/>
          <w:szCs w:val="22"/>
        </w:rPr>
        <w:br/>
        <w:t>– Ukapati posmrtne ostatke životinja,</w:t>
      </w:r>
      <w:r>
        <w:rPr>
          <w:rFonts w:ascii="Arial" w:hAnsi="Arial" w:cs="Arial"/>
          <w:color w:val="000000" w:themeColor="text1"/>
          <w:sz w:val="22"/>
          <w:szCs w:val="22"/>
        </w:rPr>
        <w:br/>
        <w:t>– Obavljati trgovinu na otvorenom prostoru unutar groblja,</w:t>
      </w:r>
      <w:r>
        <w:rPr>
          <w:rFonts w:ascii="Arial" w:hAnsi="Arial" w:cs="Arial"/>
          <w:color w:val="000000" w:themeColor="text1"/>
          <w:sz w:val="22"/>
          <w:szCs w:val="22"/>
        </w:rPr>
        <w:br/>
        <w:t>– Postavljati neprikladne slike, natpise i reklamne materijalne bilo koje vrste,</w:t>
      </w:r>
      <w:r>
        <w:rPr>
          <w:rFonts w:ascii="Arial" w:hAnsi="Arial" w:cs="Arial"/>
          <w:color w:val="000000" w:themeColor="text1"/>
          <w:sz w:val="22"/>
          <w:szCs w:val="22"/>
        </w:rPr>
        <w:br/>
      </w:r>
      <w:r>
        <w:rPr>
          <w:rFonts w:ascii="Arial" w:hAnsi="Arial" w:cs="Arial"/>
          <w:color w:val="000000" w:themeColor="text1"/>
          <w:sz w:val="22"/>
          <w:szCs w:val="22"/>
        </w:rPr>
        <w:lastRenderedPageBreak/>
        <w:t>– Bukom i vikom narušavati mir,</w:t>
      </w:r>
      <w:r>
        <w:rPr>
          <w:rFonts w:ascii="Arial" w:hAnsi="Arial" w:cs="Arial"/>
          <w:color w:val="000000" w:themeColor="text1"/>
          <w:sz w:val="22"/>
          <w:szCs w:val="22"/>
        </w:rPr>
        <w:br/>
        <w:t>– Odnositi cvijeće, vaze, ukrase i opremu s tuđih grobnih mjesta i zelenih površina,</w:t>
      </w:r>
      <w:r>
        <w:rPr>
          <w:rFonts w:ascii="Arial" w:hAnsi="Arial" w:cs="Arial"/>
          <w:color w:val="000000" w:themeColor="text1"/>
          <w:sz w:val="22"/>
          <w:szCs w:val="22"/>
        </w:rPr>
        <w:br/>
        <w:t>– Odlagati otpad na svim drugim mjestima osim u za to predviđene posude,</w:t>
      </w:r>
      <w:r>
        <w:rPr>
          <w:rFonts w:ascii="Arial" w:hAnsi="Arial" w:cs="Arial"/>
          <w:color w:val="000000" w:themeColor="text1"/>
          <w:sz w:val="22"/>
          <w:szCs w:val="22"/>
        </w:rPr>
        <w:br/>
        <w:t>– Izvoditi u šetnju kućne ljubimce bez povodca i brnjice,</w:t>
      </w:r>
      <w:r>
        <w:rPr>
          <w:rFonts w:ascii="Arial" w:hAnsi="Arial" w:cs="Arial"/>
          <w:color w:val="000000" w:themeColor="text1"/>
          <w:sz w:val="22"/>
          <w:szCs w:val="22"/>
        </w:rPr>
        <w:br/>
        <w:t>– Izvoditi radove od strane trećih osoba bez pisane suglasnosti Uprave groblja</w:t>
      </w:r>
      <w:r>
        <w:rPr>
          <w:rFonts w:ascii="Arial" w:hAnsi="Arial" w:cs="Arial"/>
          <w:color w:val="000000" w:themeColor="text1"/>
          <w:sz w:val="22"/>
          <w:szCs w:val="22"/>
        </w:rPr>
        <w:br/>
        <w:t>– Spaljivati otpadni materijal,</w:t>
      </w:r>
      <w:r>
        <w:rPr>
          <w:rFonts w:ascii="Arial" w:hAnsi="Arial" w:cs="Arial"/>
          <w:color w:val="000000" w:themeColor="text1"/>
          <w:sz w:val="22"/>
          <w:szCs w:val="22"/>
        </w:rPr>
        <w:br/>
        <w:t>– Prosjačiti,</w:t>
      </w:r>
      <w:r>
        <w:rPr>
          <w:rFonts w:ascii="Arial" w:hAnsi="Arial" w:cs="Arial"/>
          <w:color w:val="000000" w:themeColor="text1"/>
          <w:sz w:val="22"/>
          <w:szCs w:val="22"/>
        </w:rPr>
        <w:br/>
        <w:t>– Voziti se bilo kojim prijevoznim sredstvom,</w:t>
      </w:r>
      <w:r>
        <w:rPr>
          <w:rFonts w:ascii="Arial" w:hAnsi="Arial" w:cs="Arial"/>
          <w:color w:val="000000" w:themeColor="text1"/>
          <w:sz w:val="22"/>
          <w:szCs w:val="22"/>
        </w:rPr>
        <w:br/>
        <w:t>– Svako okupljanje koje je protivno odredbama zakona kojim se uređuju prekršaji protiv javnog reda i mira.</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10.</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Upravitelj groblja obavijestit će nadležnu policijsku upravu ako ima saznanja o okupljanju unutar groblja koje je protivno odredbama zakona kojim se uređuju javna okupljanja, kao i o svakom ponašanju unutar groblja protivnom odredbama zakona kojim se uređuju prekršaji protiv javnog reda i mira.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11.</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Korisnici grobnih mjesta dužni su grob, prostor oko groba držati uredan, pazeći da ne oštećuju i ne onečišćuju susjedne grobove uz dužno poštovanje prema umrlima. Ukoliko se korisnik grobnih mjesta ne brine o održavanju groba na način određen ovom odlukom i Odlukom o grobljima Općine Gornji Bogićevci, Upravitelj groblja će ga upozoriti, pismeno opomenuti na njegove obveze i odrediti mu rok za uređenje groba. Ako korisnik ne postupi po opomeni, Upravitelj groblja obavit će čišćenje i uređenje groba na trošak korisnika.</w:t>
      </w: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12.</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Izgubljene i zaboravljene predmete koji se nađu na groblju, nalaznik je dužan predati u službene prostorije Upravitelja groblja, a s kojim će se postupiti sukladno propisima o nađenim stvarima.</w:t>
      </w:r>
    </w:p>
    <w:p w:rsidR="009E4D5A" w:rsidRDefault="009E4D5A" w:rsidP="009E4D5A">
      <w:pPr>
        <w:pStyle w:val="StandardWeb"/>
        <w:shd w:val="clear" w:color="auto" w:fill="FFFFFF"/>
        <w:spacing w:before="0" w:beforeAutospacing="0" w:after="0" w:afterAutospacing="0"/>
        <w:jc w:val="center"/>
        <w:rPr>
          <w:rStyle w:val="Naglaeno"/>
          <w:rFonts w:ascii="Arial" w:hAnsi="Arial" w:cs="Arial"/>
          <w:color w:val="000000" w:themeColor="text1"/>
          <w:sz w:val="22"/>
          <w:szCs w:val="22"/>
        </w:rPr>
      </w:pPr>
      <w:r>
        <w:rPr>
          <w:rStyle w:val="Naglaeno"/>
          <w:rFonts w:ascii="Arial" w:hAnsi="Arial" w:cs="Arial"/>
          <w:color w:val="000000" w:themeColor="text1"/>
          <w:sz w:val="22"/>
          <w:szCs w:val="22"/>
        </w:rPr>
        <w:t>V. ZAVRŠNE ODREDBE</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Članak 13.</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both"/>
        <w:rPr>
          <w:rFonts w:ascii="Arial" w:hAnsi="Arial" w:cs="Arial"/>
          <w:color w:val="000000" w:themeColor="text1"/>
          <w:sz w:val="22"/>
          <w:szCs w:val="22"/>
        </w:rPr>
      </w:pPr>
      <w:r>
        <w:rPr>
          <w:rFonts w:ascii="Arial" w:hAnsi="Arial" w:cs="Arial"/>
          <w:color w:val="000000" w:themeColor="text1"/>
          <w:sz w:val="22"/>
          <w:szCs w:val="22"/>
        </w:rPr>
        <w:tab/>
        <w:t>Ova Odluka stupa na snagu osmog dana od dana objave u „Službenom glasniku općine Gornji Bogićevci“.</w:t>
      </w: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r>
        <w:rPr>
          <w:rFonts w:ascii="Arial" w:hAnsi="Arial" w:cs="Arial"/>
          <w:color w:val="000000" w:themeColor="text1"/>
          <w:sz w:val="22"/>
          <w:szCs w:val="22"/>
        </w:rPr>
        <w:t xml:space="preserve">OPĆINSKO VIJEĆE </w:t>
      </w:r>
      <w:r>
        <w:rPr>
          <w:rFonts w:ascii="Arial" w:hAnsi="Arial" w:cs="Arial"/>
          <w:color w:val="000000" w:themeColor="text1"/>
          <w:sz w:val="22"/>
          <w:szCs w:val="22"/>
        </w:rPr>
        <w:br/>
        <w:t>OPĆINE GORNJI BOGIĆEVCI</w:t>
      </w:r>
    </w:p>
    <w:p w:rsidR="009E4D5A" w:rsidRDefault="009E4D5A" w:rsidP="009E4D5A">
      <w:pPr>
        <w:pStyle w:val="StandardWeb"/>
        <w:shd w:val="clear" w:color="auto" w:fill="FFFFFF"/>
        <w:spacing w:before="0" w:beforeAutospacing="0" w:after="0" w:afterAutospacing="0"/>
        <w:jc w:val="center"/>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r>
        <w:rPr>
          <w:rFonts w:ascii="Arial" w:hAnsi="Arial" w:cs="Arial"/>
          <w:color w:val="000000" w:themeColor="text1"/>
          <w:sz w:val="22"/>
          <w:szCs w:val="22"/>
        </w:rPr>
        <w:t>KLASA:363-02/25-01/1</w:t>
      </w:r>
      <w:r>
        <w:rPr>
          <w:rFonts w:ascii="Arial" w:hAnsi="Arial" w:cs="Arial"/>
          <w:color w:val="000000" w:themeColor="text1"/>
          <w:sz w:val="22"/>
          <w:szCs w:val="22"/>
        </w:rPr>
        <w:br/>
        <w:t>URBROJ:2178-9-02-25-3</w:t>
      </w:r>
    </w:p>
    <w:p w:rsidR="009E4D5A" w:rsidRDefault="009E4D5A" w:rsidP="009E4D5A">
      <w:pPr>
        <w:pStyle w:val="StandardWeb"/>
        <w:shd w:val="clear" w:color="auto" w:fill="FFFFFF"/>
        <w:spacing w:before="0" w:beforeAutospacing="0" w:after="0" w:afterAutospacing="0"/>
        <w:rPr>
          <w:rFonts w:ascii="Arial" w:hAnsi="Arial" w:cs="Arial"/>
          <w:color w:val="000000" w:themeColor="text1"/>
          <w:sz w:val="22"/>
          <w:szCs w:val="22"/>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Gornji Bogićevci, 22.12. 2025. godine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Predsjednik OV-a:</w:t>
      </w:r>
    </w:p>
    <w:p w:rsidR="009E4D5A" w:rsidRDefault="009E4D5A" w:rsidP="009E4D5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Željko Klarić</w:t>
      </w: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Pr="009E4D5A" w:rsidRDefault="009E4D5A" w:rsidP="009E4D5A">
      <w:pPr>
        <w:pStyle w:val="Bezproreda"/>
        <w:rPr>
          <w:rFonts w:ascii="Times New Roman" w:hAnsi="Times New Roman" w:cs="Times New Roman"/>
          <w:b/>
          <w:bCs/>
          <w:sz w:val="24"/>
          <w:szCs w:val="24"/>
        </w:rPr>
      </w:pPr>
      <w:r w:rsidRPr="009E4D5A">
        <w:rPr>
          <w:rFonts w:ascii="Times New Roman" w:hAnsi="Times New Roman" w:cs="Times New Roman"/>
          <w:b/>
          <w:bCs/>
          <w:sz w:val="24"/>
          <w:szCs w:val="24"/>
        </w:rPr>
        <w:lastRenderedPageBreak/>
        <w:t>44. Prijedlog odluke o visini i načinu plaćanja naknade kod dodjele grobnog mjesta i godišnje naknade za korištenje grobnog mjesta na području općine Gornji Bogićevci</w:t>
      </w: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9E4D5A" w:rsidRDefault="009E4D5A" w:rsidP="009E4D5A">
      <w:pPr>
        <w:jc w:val="both"/>
        <w:rPr>
          <w:rFonts w:ascii="Times New Roman" w:hAnsi="Times New Roman" w:cs="Times New Roman"/>
        </w:rPr>
      </w:pPr>
    </w:p>
    <w:p w:rsidR="009E4D5A" w:rsidRDefault="009E4D5A" w:rsidP="009E4D5A">
      <w:pPr>
        <w:spacing w:after="0"/>
        <w:jc w:val="both"/>
        <w:rPr>
          <w:rFonts w:ascii="Times New Roman" w:hAnsi="Times New Roman" w:cs="Times New Roman"/>
          <w:sz w:val="24"/>
          <w:szCs w:val="24"/>
        </w:rPr>
      </w:pPr>
      <w:r>
        <w:rPr>
          <w:rFonts w:ascii="Times New Roman" w:hAnsi="Times New Roman" w:cs="Times New Roman"/>
          <w:sz w:val="24"/>
          <w:szCs w:val="24"/>
        </w:rPr>
        <w:tab/>
        <w:t>Na temelju članka 21. st.5, i članka 47., Zakona o grobljima (Narodne novine 78/25, 80/25)  i te članka 39. Statuta Općine Gornji Bogićevci (“Službeni glasnik Općine Gornji Bogićevci” 02/21), Općinsko vijeće Općine Gornji Bogićevci na 5. sjednici održanoj 22.12. 2025. godine, donijelo je</w:t>
      </w:r>
    </w:p>
    <w:p w:rsidR="009E4D5A" w:rsidRDefault="009E4D5A" w:rsidP="009E4D5A">
      <w:pPr>
        <w:spacing w:after="0" w:line="240" w:lineRule="auto"/>
        <w:jc w:val="center"/>
        <w:outlineLvl w:val="1"/>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ODLUKU</w:t>
      </w:r>
    </w:p>
    <w:p w:rsidR="009E4D5A" w:rsidRDefault="009E4D5A" w:rsidP="009E4D5A">
      <w:pPr>
        <w:spacing w:after="0" w:line="240" w:lineRule="auto"/>
        <w:jc w:val="center"/>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 VISINI I NAČINU PLAĆANJA NAKNADE KOD DODJELE GROBNOG MJESTA I GODIŠNJE NAKNADE ZA KORIŠTENJE GROBNOG MJESTA NA PODRUČJU OPĆINE GORNJI BOGIĆEVCI</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Članak 1.</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Osnovni pojmovi</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Ovom Odlukom utvrđuje se visina i način plaćanja:</w:t>
      </w:r>
    </w:p>
    <w:p w:rsidR="009E4D5A" w:rsidRDefault="009E4D5A" w:rsidP="00A66748">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naknade kod dodjele grobnog mjesta na korištenje na neodređeno vrijeme,</w:t>
      </w:r>
    </w:p>
    <w:p w:rsidR="009E4D5A" w:rsidRDefault="009E4D5A" w:rsidP="00A66748">
      <w:pPr>
        <w:numPr>
          <w:ilvl w:val="0"/>
          <w:numId w:val="46"/>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godišnje naknade za korištenje grobnog mjesta </w:t>
      </w:r>
    </w:p>
    <w:p w:rsidR="009E4D5A" w:rsidRDefault="009E4D5A" w:rsidP="009E4D5A">
      <w:pPr>
        <w:spacing w:before="100" w:beforeAutospacing="1" w:after="100" w:afterAutospacing="1" w:line="240" w:lineRule="auto"/>
        <w:ind w:left="360"/>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 svim grobljima na teritorijalnom području Općine Gornji Bogićevci (dalje: na području Općine). </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Članak 2.</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Dodjela grobnog mjesta</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Kod dodjele grobnog mjesta na korištenje na neodređeno vrijeme, utvrđuje se naknada u iznosu od 150,00 eura.</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Naknada za dodjelu grobnog mjesta iz prethodnog stavka ovog članka plaća se jednokratno prilikom dodjele grobnog mjesta korisniku.</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Članak 3.</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 xml:space="preserve">Godišnja grobna naknada za korištenje grobnog mjesta </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Visina godišnje naknade za korištenje grobnog mjesta iznosi </w:t>
      </w:r>
      <w:r>
        <w:rPr>
          <w:rFonts w:ascii="Times New Roman" w:eastAsia="Times New Roman" w:hAnsi="Times New Roman" w:cs="Times New Roman"/>
          <w:bCs/>
          <w:sz w:val="24"/>
          <w:szCs w:val="24"/>
          <w:lang w:eastAsia="hr-HR"/>
        </w:rPr>
        <w:t>10,00 EUR</w:t>
      </w:r>
      <w:r>
        <w:rPr>
          <w:rFonts w:ascii="Times New Roman" w:eastAsia="Times New Roman" w:hAnsi="Times New Roman" w:cs="Times New Roman"/>
          <w:sz w:val="24"/>
          <w:szCs w:val="24"/>
          <w:lang w:eastAsia="hr-HR"/>
        </w:rPr>
        <w:t xml:space="preserve"> po grobnom mjestu.</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Godišnja naknada plaća se </w:t>
      </w:r>
      <w:r>
        <w:rPr>
          <w:rFonts w:ascii="Times New Roman" w:eastAsia="Times New Roman" w:hAnsi="Times New Roman" w:cs="Times New Roman"/>
          <w:bCs/>
          <w:sz w:val="24"/>
          <w:szCs w:val="24"/>
          <w:lang w:eastAsia="hr-HR"/>
        </w:rPr>
        <w:t>jednom godišnje</w:t>
      </w:r>
      <w:r>
        <w:rPr>
          <w:rFonts w:ascii="Times New Roman" w:eastAsia="Times New Roman" w:hAnsi="Times New Roman" w:cs="Times New Roman"/>
          <w:sz w:val="24"/>
          <w:szCs w:val="24"/>
          <w:lang w:eastAsia="hr-HR"/>
        </w:rPr>
        <w:t>, i to:</w:t>
      </w:r>
    </w:p>
    <w:p w:rsidR="009E4D5A" w:rsidRDefault="009E4D5A" w:rsidP="00A66748">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 kraja tekuće godine, temeljem dostavljene uplatnice Upravitelja groblja, ili</w:t>
      </w:r>
    </w:p>
    <w:p w:rsidR="009E4D5A" w:rsidRDefault="009E4D5A" w:rsidP="00A66748">
      <w:pPr>
        <w:numPr>
          <w:ilvl w:val="0"/>
          <w:numId w:val="47"/>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za nove korisnike, </w:t>
      </w:r>
      <w:r>
        <w:rPr>
          <w:rFonts w:ascii="Times New Roman" w:eastAsia="Times New Roman" w:hAnsi="Times New Roman" w:cs="Times New Roman"/>
          <w:bCs/>
          <w:sz w:val="24"/>
          <w:szCs w:val="24"/>
          <w:lang w:eastAsia="hr-HR"/>
        </w:rPr>
        <w:t>u roku od 15 dana</w:t>
      </w:r>
      <w:r>
        <w:rPr>
          <w:rFonts w:ascii="Times New Roman" w:eastAsia="Times New Roman" w:hAnsi="Times New Roman" w:cs="Times New Roman"/>
          <w:sz w:val="24"/>
          <w:szCs w:val="24"/>
          <w:lang w:eastAsia="hr-HR"/>
        </w:rPr>
        <w:t xml:space="preserve"> od dana dostave Rješenja o grobnoj naknadi;</w:t>
      </w:r>
    </w:p>
    <w:p w:rsidR="009E4D5A" w:rsidRDefault="009E4D5A" w:rsidP="009E4D5A">
      <w:pPr>
        <w:spacing w:before="100" w:beforeAutospacing="1" w:after="100" w:afterAutospacing="1" w:line="240" w:lineRule="auto"/>
        <w:ind w:left="720"/>
        <w:jc w:val="both"/>
        <w:rPr>
          <w:rFonts w:ascii="Times New Roman" w:eastAsia="Times New Roman" w:hAnsi="Times New Roman" w:cs="Times New Roman"/>
          <w:sz w:val="24"/>
          <w:szCs w:val="24"/>
          <w:lang w:eastAsia="hr-HR"/>
        </w:rPr>
      </w:pP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Članak 4.</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Naknade iz ove Odluke predstavljaju </w:t>
      </w:r>
      <w:r>
        <w:rPr>
          <w:rFonts w:ascii="Times New Roman" w:eastAsia="Times New Roman" w:hAnsi="Times New Roman" w:cs="Times New Roman"/>
          <w:bCs/>
          <w:sz w:val="24"/>
          <w:szCs w:val="24"/>
          <w:lang w:eastAsia="hr-HR"/>
        </w:rPr>
        <w:t>prihod proračuna Općine Gornji Bogićevci</w:t>
      </w:r>
      <w:r>
        <w:rPr>
          <w:rFonts w:ascii="Times New Roman" w:eastAsia="Times New Roman" w:hAnsi="Times New Roman" w:cs="Times New Roman"/>
          <w:sz w:val="24"/>
          <w:szCs w:val="24"/>
          <w:lang w:eastAsia="hr-HR"/>
        </w:rPr>
        <w:t xml:space="preserve"> i koriste se </w:t>
      </w:r>
      <w:r>
        <w:rPr>
          <w:rFonts w:ascii="Times New Roman" w:eastAsia="Times New Roman" w:hAnsi="Times New Roman" w:cs="Times New Roman"/>
          <w:bCs/>
          <w:sz w:val="24"/>
          <w:szCs w:val="24"/>
          <w:lang w:eastAsia="hr-HR"/>
        </w:rPr>
        <w:t>u svrhu održavanja groblja</w:t>
      </w:r>
      <w:r>
        <w:rPr>
          <w:rFonts w:ascii="Times New Roman" w:eastAsia="Times New Roman" w:hAnsi="Times New Roman" w:cs="Times New Roman"/>
          <w:sz w:val="24"/>
          <w:szCs w:val="24"/>
          <w:lang w:eastAsia="hr-HR"/>
        </w:rPr>
        <w:t xml:space="preserve"> na području Općine.</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Članak 5.</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Na sve što nije uređeno ovom Odlukom primjenjuju se:</w:t>
      </w:r>
    </w:p>
    <w:p w:rsidR="009E4D5A" w:rsidRDefault="009E4D5A" w:rsidP="00A66748">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Odluka o grobljima na području Općine Gornji Bogićevci (“Službeni glasnik Općine Gornji Bogićevci” 08/25)</w:t>
      </w:r>
    </w:p>
    <w:p w:rsidR="009E4D5A" w:rsidRDefault="009E4D5A" w:rsidP="00A66748">
      <w:pPr>
        <w:numPr>
          <w:ilvl w:val="0"/>
          <w:numId w:val="48"/>
        </w:num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Zakon o grobljima (Narodne novine, br. 78/25, 80/25).</w:t>
      </w:r>
    </w:p>
    <w:p w:rsidR="009E4D5A" w:rsidRDefault="009E4D5A" w:rsidP="009E4D5A">
      <w:pPr>
        <w:spacing w:before="100" w:beforeAutospacing="1" w:after="100" w:afterAutospacing="1" w:line="240" w:lineRule="auto"/>
        <w:jc w:val="center"/>
        <w:outlineLvl w:val="2"/>
        <w:rPr>
          <w:rFonts w:ascii="Times New Roman" w:eastAsia="Times New Roman" w:hAnsi="Times New Roman" w:cs="Times New Roman"/>
          <w:b/>
          <w:bCs/>
          <w:sz w:val="24"/>
          <w:szCs w:val="24"/>
          <w:lang w:eastAsia="hr-HR"/>
        </w:rPr>
      </w:pPr>
      <w:r>
        <w:rPr>
          <w:rFonts w:ascii="Times New Roman" w:eastAsia="Times New Roman" w:hAnsi="Times New Roman" w:cs="Times New Roman"/>
          <w:b/>
          <w:bCs/>
          <w:sz w:val="24"/>
          <w:szCs w:val="24"/>
          <w:lang w:eastAsia="hr-HR"/>
        </w:rPr>
        <w:t>Članak 6.</w:t>
      </w:r>
    </w:p>
    <w:p w:rsidR="009E4D5A" w:rsidRDefault="009E4D5A" w:rsidP="009E4D5A">
      <w:pPr>
        <w:spacing w:before="100" w:beforeAutospacing="1" w:after="100" w:afterAutospacing="1"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Ova Odluka stupa na snagu </w:t>
      </w:r>
      <w:r>
        <w:rPr>
          <w:rFonts w:ascii="Times New Roman" w:eastAsia="Times New Roman" w:hAnsi="Times New Roman" w:cs="Times New Roman"/>
          <w:bCs/>
          <w:sz w:val="24"/>
          <w:szCs w:val="24"/>
          <w:lang w:eastAsia="hr-HR"/>
        </w:rPr>
        <w:t>osmog dana od dana objave</w:t>
      </w:r>
      <w:r>
        <w:rPr>
          <w:rFonts w:ascii="Times New Roman" w:eastAsia="Times New Roman" w:hAnsi="Times New Roman" w:cs="Times New Roman"/>
          <w:sz w:val="24"/>
          <w:szCs w:val="24"/>
          <w:lang w:eastAsia="hr-HR"/>
        </w:rPr>
        <w:t xml:space="preserve"> u „Službenom glasniku Općine Gornji Bogićevci broj 08/25“.</w:t>
      </w:r>
    </w:p>
    <w:p w:rsidR="009E4D5A" w:rsidRDefault="009E4D5A" w:rsidP="009E4D5A">
      <w:pPr>
        <w:spacing w:before="100" w:beforeAutospacing="1" w:after="100" w:afterAutospacing="1"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OPĆINSKO VIJEĆE</w:t>
      </w:r>
      <w:r>
        <w:rPr>
          <w:rFonts w:ascii="Times New Roman" w:eastAsia="Times New Roman" w:hAnsi="Times New Roman" w:cs="Times New Roman"/>
          <w:sz w:val="24"/>
          <w:szCs w:val="24"/>
          <w:lang w:eastAsia="hr-HR"/>
        </w:rPr>
        <w:br/>
        <w:t>OPĆINE GORNJI BOGIĆEVCI</w:t>
      </w:r>
    </w:p>
    <w:p w:rsidR="009E4D5A" w:rsidRDefault="009E4D5A" w:rsidP="009E4D5A">
      <w:pPr>
        <w:spacing w:before="100" w:beforeAutospacing="1" w:after="100" w:afterAutospacing="1" w:line="240" w:lineRule="auto"/>
        <w:jc w:val="center"/>
        <w:rPr>
          <w:rFonts w:ascii="Times New Roman" w:eastAsia="Times New Roman" w:hAnsi="Times New Roman" w:cs="Times New Roman"/>
          <w:sz w:val="24"/>
          <w:szCs w:val="24"/>
          <w:lang w:eastAsia="hr-HR"/>
        </w:rPr>
      </w:pP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KLASA:</w:t>
      </w:r>
      <w:r>
        <w:t xml:space="preserve"> </w:t>
      </w:r>
      <w:r>
        <w:rPr>
          <w:rFonts w:ascii="Times New Roman" w:hAnsi="Times New Roman" w:cs="Times New Roman"/>
          <w:sz w:val="24"/>
          <w:szCs w:val="24"/>
        </w:rPr>
        <w:t>363-01/25-01/01</w:t>
      </w:r>
    </w:p>
    <w:p w:rsidR="009E4D5A" w:rsidRDefault="009E4D5A" w:rsidP="009E4D5A">
      <w:pPr>
        <w:pStyle w:val="Bezproreda"/>
        <w:rPr>
          <w:rFonts w:ascii="Times New Roman" w:hAnsi="Times New Roman" w:cs="Times New Roman"/>
          <w:sz w:val="24"/>
          <w:szCs w:val="24"/>
        </w:rPr>
      </w:pPr>
      <w:r>
        <w:rPr>
          <w:rFonts w:ascii="Times New Roman" w:hAnsi="Times New Roman" w:cs="Times New Roman"/>
          <w:sz w:val="24"/>
          <w:szCs w:val="24"/>
        </w:rPr>
        <w:t>URBROJ: 2178-22-03-25-02</w:t>
      </w:r>
    </w:p>
    <w:p w:rsidR="009E4D5A" w:rsidRDefault="009E4D5A" w:rsidP="009E4D5A">
      <w:pPr>
        <w:pStyle w:val="Bezproreda"/>
        <w:rPr>
          <w:rFonts w:ascii="Times New Roman" w:hAnsi="Times New Roman" w:cs="Times New Roman"/>
          <w:sz w:val="24"/>
          <w:szCs w:val="24"/>
        </w:rPr>
      </w:pPr>
      <w:r>
        <w:rPr>
          <w:rFonts w:ascii="Times New Roman" w:eastAsia="Times New Roman" w:hAnsi="Times New Roman" w:cs="Times New Roman"/>
          <w:sz w:val="24"/>
          <w:szCs w:val="24"/>
          <w:lang w:eastAsia="hr-HR"/>
        </w:rPr>
        <w:br/>
      </w:r>
      <w:r>
        <w:rPr>
          <w:rFonts w:ascii="Times New Roman" w:hAnsi="Times New Roman" w:cs="Times New Roman"/>
          <w:sz w:val="24"/>
          <w:szCs w:val="24"/>
        </w:rPr>
        <w:t>Gornji Bogićevci, 22.12. 2025. godine</w:t>
      </w:r>
    </w:p>
    <w:p w:rsidR="009E4D5A" w:rsidRDefault="009E4D5A" w:rsidP="009E4D5A">
      <w:pPr>
        <w:spacing w:before="100" w:beforeAutospacing="1" w:after="100" w:afterAutospacing="1" w:line="240" w:lineRule="auto"/>
        <w:rPr>
          <w:rFonts w:ascii="Times New Roman" w:eastAsia="Times New Roman" w:hAnsi="Times New Roman" w:cs="Times New Roman"/>
          <w:sz w:val="24"/>
          <w:szCs w:val="24"/>
          <w:lang w:eastAsia="hr-HR"/>
        </w:rPr>
      </w:pPr>
    </w:p>
    <w:p w:rsidR="009E4D5A" w:rsidRDefault="009E4D5A" w:rsidP="009E4D5A">
      <w:pPr>
        <w:pStyle w:val="Bezproreda"/>
        <w:ind w:left="6372" w:firstLine="708"/>
        <w:rPr>
          <w:rFonts w:ascii="Times New Roman" w:hAnsi="Times New Roman" w:cs="Times New Roman"/>
          <w:sz w:val="24"/>
          <w:szCs w:val="24"/>
        </w:rPr>
      </w:pP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eastAsia="Times New Roman" w:hAnsi="Times New Roman" w:cs="Times New Roman"/>
          <w:bCs/>
          <w:sz w:val="24"/>
          <w:szCs w:val="24"/>
          <w:lang w:eastAsia="hr-HR"/>
        </w:rPr>
        <w:tab/>
      </w:r>
      <w:r>
        <w:rPr>
          <w:rFonts w:ascii="Times New Roman" w:hAnsi="Times New Roman" w:cs="Times New Roman"/>
          <w:sz w:val="24"/>
          <w:szCs w:val="24"/>
        </w:rPr>
        <w:t>Predsjednik vijeća:</w:t>
      </w:r>
    </w:p>
    <w:p w:rsidR="009E4D5A" w:rsidRDefault="009E4D5A" w:rsidP="009E4D5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Željko Klarić</w:t>
      </w:r>
    </w:p>
    <w:p w:rsidR="009E4D5A" w:rsidRDefault="009E4D5A" w:rsidP="009E4D5A">
      <w:pPr>
        <w:spacing w:after="0" w:line="240" w:lineRule="auto"/>
        <w:rPr>
          <w:rFonts w:ascii="Times New Roman" w:hAnsi="Times New Roman" w:cs="Times New Roman"/>
          <w:sz w:val="24"/>
          <w:szCs w:val="24"/>
        </w:rPr>
      </w:pPr>
    </w:p>
    <w:p w:rsidR="009E4D5A" w:rsidRDefault="009E4D5A" w:rsidP="00777ABF">
      <w:pPr>
        <w:spacing w:line="360" w:lineRule="auto"/>
        <w:rPr>
          <w:rFonts w:ascii="Times New Roman" w:hAnsi="Times New Roman" w:cs="Times New Roman"/>
          <w:b/>
          <w:bCs/>
          <w:sz w:val="24"/>
          <w:szCs w:val="24"/>
        </w:rPr>
      </w:pPr>
    </w:p>
    <w:p w:rsidR="009E4D5A" w:rsidRPr="009E4D5A" w:rsidRDefault="009E4D5A" w:rsidP="009E4D5A">
      <w:pPr>
        <w:pStyle w:val="Bezproreda"/>
        <w:rPr>
          <w:rFonts w:ascii="Times New Roman" w:hAnsi="Times New Roman" w:cs="Times New Roman"/>
          <w:b/>
          <w:bCs/>
          <w:sz w:val="24"/>
          <w:szCs w:val="24"/>
        </w:rPr>
      </w:pPr>
      <w:r w:rsidRPr="009E4D5A">
        <w:rPr>
          <w:rFonts w:ascii="Times New Roman" w:hAnsi="Times New Roman" w:cs="Times New Roman"/>
          <w:b/>
          <w:bCs/>
          <w:sz w:val="24"/>
          <w:szCs w:val="24"/>
        </w:rPr>
        <w:t>45.   Donošenje Statuta NKČ Grigor Vitez Gornji Bogićevci</w:t>
      </w:r>
    </w:p>
    <w:p w:rsidR="009E4D5A" w:rsidRDefault="009E4D5A" w:rsidP="00777ABF">
      <w:pPr>
        <w:spacing w:line="360" w:lineRule="auto"/>
        <w:rPr>
          <w:rFonts w:ascii="Times New Roman" w:hAnsi="Times New Roman" w:cs="Times New Roman"/>
          <w:b/>
          <w:bCs/>
          <w:sz w:val="24"/>
          <w:szCs w:val="24"/>
        </w:rPr>
      </w:pPr>
    </w:p>
    <w:p w:rsidR="009E4D5A" w:rsidRDefault="009E4D5A" w:rsidP="00777ABF">
      <w:pPr>
        <w:spacing w:line="360" w:lineRule="auto"/>
        <w:rPr>
          <w:rFonts w:ascii="Times New Roman" w:hAnsi="Times New Roman" w:cs="Times New Roman"/>
          <w:b/>
          <w:bCs/>
          <w:sz w:val="24"/>
          <w:szCs w:val="24"/>
        </w:rPr>
      </w:pPr>
    </w:p>
    <w:p w:rsidR="00F57898" w:rsidRDefault="00F57898" w:rsidP="00F57898">
      <w:pPr>
        <w:jc w:val="both"/>
      </w:pPr>
      <w:r>
        <w:lastRenderedPageBreak/>
        <w:t xml:space="preserve">          Na temelju članka 15. Zakona o knjižnicama i knjižničnoj djelatnosti (NN 17/19, 98/19, 114/22 i 36/24 ), članka 34. Zakona o ustanovama ( NN 76/93, 29/97, 47/99, 35/08, 127/19 i 151/25 ) i članka 8. Odluke o osnivanju ( osamostaljivanju ) Narodne knjižnice i čitaonice Gornji Bogićevci; uz suglasnost Općinskog vijeća Općine G</w:t>
      </w:r>
      <w:r w:rsidR="00A44BDC">
        <w:t>ornji Bogićevci KLASA: 610-01/25-01/01, URBROJ: 2178-22-03-25</w:t>
      </w:r>
      <w:r>
        <w:t>-1 od dana 22. prosinca 2025. godine, v.d. ravnateljica Narodne knjižnice i čitaonice „Grigor Vitez“ Gornji Bogićevci donosi</w:t>
      </w:r>
    </w:p>
    <w:p w:rsidR="00F57898" w:rsidRDefault="00F57898" w:rsidP="00F57898"/>
    <w:p w:rsidR="00F57898" w:rsidRDefault="00F57898" w:rsidP="00F57898"/>
    <w:p w:rsidR="00F57898" w:rsidRDefault="00F57898" w:rsidP="00F57898">
      <w:pPr>
        <w:jc w:val="center"/>
        <w:rPr>
          <w:b/>
          <w:sz w:val="32"/>
          <w:szCs w:val="32"/>
        </w:rPr>
      </w:pPr>
      <w:r>
        <w:rPr>
          <w:b/>
          <w:sz w:val="32"/>
          <w:szCs w:val="32"/>
        </w:rPr>
        <w:t>S T A T U T</w:t>
      </w:r>
    </w:p>
    <w:p w:rsidR="00F57898" w:rsidRDefault="00F57898" w:rsidP="00F57898">
      <w:pPr>
        <w:jc w:val="center"/>
        <w:rPr>
          <w:b/>
          <w:sz w:val="32"/>
          <w:szCs w:val="32"/>
        </w:rPr>
      </w:pPr>
    </w:p>
    <w:p w:rsidR="00F57898" w:rsidRDefault="00F57898" w:rsidP="00F57898">
      <w:pPr>
        <w:jc w:val="center"/>
      </w:pPr>
      <w:r>
        <w:t xml:space="preserve">N A R O D N E     K N J I Ž N I C E  I  Č I T A O N I C E  </w:t>
      </w:r>
    </w:p>
    <w:p w:rsidR="00F57898" w:rsidRDefault="00F57898" w:rsidP="00F57898">
      <w:pPr>
        <w:jc w:val="center"/>
      </w:pPr>
      <w:r>
        <w:t xml:space="preserve"> „G R I G O R   V I T E Z“  G O R NJ I   B O G I Ć E V C I</w:t>
      </w:r>
    </w:p>
    <w:p w:rsidR="00F57898" w:rsidRDefault="00F57898" w:rsidP="00F57898">
      <w:pPr>
        <w:jc w:val="center"/>
      </w:pPr>
    </w:p>
    <w:p w:rsidR="00F57898" w:rsidRDefault="00F57898" w:rsidP="00F57898">
      <w:pPr>
        <w:jc w:val="both"/>
        <w:rPr>
          <w:b/>
        </w:rPr>
      </w:pPr>
    </w:p>
    <w:p w:rsidR="00F57898" w:rsidRPr="00401C0A" w:rsidRDefault="00F57898" w:rsidP="00F57898">
      <w:pPr>
        <w:jc w:val="both"/>
        <w:rPr>
          <w:b/>
          <w:sz w:val="28"/>
          <w:szCs w:val="28"/>
        </w:rPr>
      </w:pPr>
      <w:r w:rsidRPr="00401C0A">
        <w:rPr>
          <w:b/>
          <w:sz w:val="28"/>
          <w:szCs w:val="28"/>
        </w:rPr>
        <w:t xml:space="preserve">          I . OPĆE ODREDBE</w:t>
      </w:r>
    </w:p>
    <w:p w:rsidR="00F57898" w:rsidRDefault="00F57898" w:rsidP="00F57898">
      <w:pPr>
        <w:jc w:val="both"/>
        <w:rPr>
          <w:b/>
        </w:rPr>
      </w:pPr>
    </w:p>
    <w:p w:rsidR="00F57898" w:rsidRDefault="00F57898" w:rsidP="00F57898">
      <w:pPr>
        <w:jc w:val="center"/>
      </w:pPr>
      <w:r>
        <w:t>Članak 1.</w:t>
      </w:r>
    </w:p>
    <w:p w:rsidR="00F57898" w:rsidRDefault="00F57898" w:rsidP="00F57898">
      <w:pPr>
        <w:jc w:val="center"/>
      </w:pPr>
    </w:p>
    <w:p w:rsidR="00F57898" w:rsidRDefault="00F57898" w:rsidP="00F57898">
      <w:pPr>
        <w:jc w:val="both"/>
      </w:pPr>
      <w:r>
        <w:t xml:space="preserve">          Ovim statutom uređuje se status, naziv i sjedište Narodne knjižnice i čitaonice „Grigor Vitez“ Gornji Bogićevci, zastupanje i predstavljanje, odgovornost za obveze, djelatnost, ustrojstvo, uvjeti i način rada, vođenje i upravljanje, djelokrug i način rada stručnih tijela, imovina, opći akti, nadzor i javnost rada te druga pitanja od značaja za obavljanje djelatnosti knjižnice.</w:t>
      </w:r>
    </w:p>
    <w:p w:rsidR="00F57898" w:rsidRPr="00A47AED" w:rsidRDefault="00F57898" w:rsidP="00F57898">
      <w:pPr>
        <w:jc w:val="both"/>
      </w:pPr>
      <w:r>
        <w:tab/>
      </w:r>
      <w:r w:rsidRPr="00A47AED">
        <w:t>Izrazi koji se koriste u ovom Statutu, a imaju rodno značenje koriste se neutralno i odnose se jednako na muški i ženski spol.</w:t>
      </w:r>
    </w:p>
    <w:p w:rsidR="00F57898" w:rsidRPr="00A47AED" w:rsidRDefault="00F57898" w:rsidP="00F57898">
      <w:pPr>
        <w:jc w:val="both"/>
      </w:pPr>
    </w:p>
    <w:p w:rsidR="00F57898" w:rsidRPr="00A47AED" w:rsidRDefault="00F57898" w:rsidP="00F57898">
      <w:pPr>
        <w:jc w:val="center"/>
      </w:pPr>
      <w:r w:rsidRPr="00A47AED">
        <w:t>Članak 2.</w:t>
      </w:r>
    </w:p>
    <w:p w:rsidR="00F57898" w:rsidRDefault="00F57898" w:rsidP="00F57898">
      <w:pPr>
        <w:jc w:val="center"/>
      </w:pPr>
    </w:p>
    <w:p w:rsidR="00F57898" w:rsidRDefault="00F57898" w:rsidP="00F57898">
      <w:pPr>
        <w:jc w:val="both"/>
      </w:pPr>
      <w:r>
        <w:t xml:space="preserve">          Narodna knjižnica i čitaonica „Grigor Vitez“ Gornji Bogićevci (u daljnjem tekstu: Knjižnica) javna je ustanova.</w:t>
      </w:r>
    </w:p>
    <w:p w:rsidR="00F57898" w:rsidRDefault="00F57898" w:rsidP="00F57898">
      <w:pPr>
        <w:jc w:val="both"/>
      </w:pPr>
      <w:r>
        <w:t xml:space="preserve">          Osnivač i vlasnik Knjižnice je Općina Gornji Bogićevci.</w:t>
      </w:r>
    </w:p>
    <w:p w:rsidR="00F57898" w:rsidRPr="00A47AED" w:rsidRDefault="00F57898" w:rsidP="00F57898">
      <w:pPr>
        <w:jc w:val="both"/>
      </w:pPr>
      <w:r w:rsidRPr="00A47AED">
        <w:t xml:space="preserve">          Knjižnica je pravna osoba upisana u sudski registar Trgovačkog suda u Slavonskom Brodu s matičnim brojem (MBS) 050042145.</w:t>
      </w:r>
    </w:p>
    <w:p w:rsidR="00F57898" w:rsidRDefault="00F57898" w:rsidP="00F57898">
      <w:pPr>
        <w:jc w:val="both"/>
      </w:pPr>
    </w:p>
    <w:p w:rsidR="00F57898" w:rsidRDefault="00F57898" w:rsidP="00F57898">
      <w:pPr>
        <w:jc w:val="both"/>
        <w:rPr>
          <w:b/>
        </w:rPr>
      </w:pPr>
      <w:r>
        <w:rPr>
          <w:b/>
        </w:rPr>
        <w:t xml:space="preserve">          </w:t>
      </w:r>
    </w:p>
    <w:p w:rsidR="00F57898" w:rsidRDefault="00F57898" w:rsidP="00F57898">
      <w:pPr>
        <w:jc w:val="both"/>
        <w:rPr>
          <w:b/>
        </w:rPr>
      </w:pPr>
      <w:r>
        <w:rPr>
          <w:b/>
        </w:rPr>
        <w:t xml:space="preserve">          II. NAZIV I SJEDIŠTE</w:t>
      </w:r>
    </w:p>
    <w:p w:rsidR="00F57898" w:rsidRDefault="00F57898" w:rsidP="00F57898">
      <w:pPr>
        <w:jc w:val="center"/>
      </w:pPr>
      <w:r>
        <w:lastRenderedPageBreak/>
        <w:t>Članak 3.</w:t>
      </w:r>
    </w:p>
    <w:p w:rsidR="00F57898" w:rsidRDefault="00F57898" w:rsidP="00F57898">
      <w:pPr>
        <w:jc w:val="center"/>
      </w:pPr>
    </w:p>
    <w:p w:rsidR="00F57898" w:rsidRDefault="00F57898" w:rsidP="00F57898">
      <w:pPr>
        <w:jc w:val="both"/>
      </w:pPr>
      <w:r>
        <w:t xml:space="preserve">           Knjižnica obavlja svoju djelatnost, posluje i sudjeluje u pravnom prometu pod nazivom:</w:t>
      </w:r>
    </w:p>
    <w:p w:rsidR="00F57898" w:rsidRDefault="00F57898" w:rsidP="00F57898">
      <w:pPr>
        <w:jc w:val="both"/>
      </w:pPr>
    </w:p>
    <w:p w:rsidR="00F57898" w:rsidRDefault="00F57898" w:rsidP="00F57898">
      <w:pPr>
        <w:jc w:val="center"/>
        <w:rPr>
          <w:b/>
        </w:rPr>
      </w:pPr>
      <w:r>
        <w:rPr>
          <w:b/>
        </w:rPr>
        <w:t xml:space="preserve">NARODNA KNJIŽNICA I ČITAONICA „GRIGOR VITEZ“ </w:t>
      </w:r>
    </w:p>
    <w:p w:rsidR="00F57898" w:rsidRDefault="00F57898" w:rsidP="00F57898">
      <w:pPr>
        <w:jc w:val="center"/>
        <w:rPr>
          <w:b/>
        </w:rPr>
      </w:pPr>
      <w:r>
        <w:rPr>
          <w:b/>
        </w:rPr>
        <w:t>GORNJI BOGIĆEVCI</w:t>
      </w:r>
    </w:p>
    <w:p w:rsidR="00F57898" w:rsidRDefault="00F57898" w:rsidP="00F57898">
      <w:pPr>
        <w:jc w:val="both"/>
      </w:pPr>
      <w:r>
        <w:t xml:space="preserve">   </w:t>
      </w:r>
    </w:p>
    <w:p w:rsidR="00F57898" w:rsidRDefault="00F57898" w:rsidP="00F57898">
      <w:pPr>
        <w:jc w:val="both"/>
      </w:pPr>
      <w:r>
        <w:t xml:space="preserve">           Sjedište Knjižnice je: Gornji Bogićevci, Trg hrvatskih branitelja 1.</w:t>
      </w:r>
    </w:p>
    <w:p w:rsidR="00F57898" w:rsidRDefault="00F57898" w:rsidP="00F57898">
      <w:pPr>
        <w:jc w:val="both"/>
      </w:pPr>
    </w:p>
    <w:p w:rsidR="00F57898" w:rsidRDefault="00F57898" w:rsidP="00F57898">
      <w:pPr>
        <w:jc w:val="both"/>
      </w:pPr>
    </w:p>
    <w:p w:rsidR="00F57898" w:rsidRDefault="00F57898" w:rsidP="00F57898">
      <w:pPr>
        <w:jc w:val="center"/>
      </w:pPr>
      <w:r>
        <w:t>Članak 4.</w:t>
      </w:r>
    </w:p>
    <w:p w:rsidR="00F57898" w:rsidRDefault="00F57898" w:rsidP="00F57898">
      <w:pPr>
        <w:jc w:val="center"/>
      </w:pPr>
    </w:p>
    <w:p w:rsidR="00F57898" w:rsidRDefault="00F57898" w:rsidP="00F57898">
      <w:pPr>
        <w:jc w:val="both"/>
      </w:pPr>
      <w:r>
        <w:t xml:space="preserve">            Knjižnica može promijeniti ime i sjedište, posebnom odlukom Općinskoga vijeća Općine Gornji Bogićevci.</w:t>
      </w:r>
    </w:p>
    <w:p w:rsidR="00F57898" w:rsidRDefault="00F57898" w:rsidP="00F57898">
      <w:pPr>
        <w:jc w:val="center"/>
      </w:pPr>
      <w:r>
        <w:t>Članak 5.</w:t>
      </w:r>
    </w:p>
    <w:p w:rsidR="00F57898" w:rsidRDefault="00F57898" w:rsidP="00F57898">
      <w:pPr>
        <w:jc w:val="center"/>
      </w:pPr>
    </w:p>
    <w:p w:rsidR="00F57898" w:rsidRDefault="00F57898" w:rsidP="00F57898">
      <w:pPr>
        <w:jc w:val="both"/>
      </w:pPr>
      <w:r>
        <w:t xml:space="preserve">            Naziv Knjižnice mora biti istaknut na zgradi u kojoj je sjedište ustanove i na objektima u kojima obavlja svoju djelatnost.</w:t>
      </w:r>
    </w:p>
    <w:p w:rsidR="00F57898" w:rsidRDefault="00F57898" w:rsidP="00F57898">
      <w:pPr>
        <w:jc w:val="both"/>
      </w:pPr>
    </w:p>
    <w:p w:rsidR="00F57898" w:rsidRDefault="00F57898" w:rsidP="00F57898">
      <w:pPr>
        <w:jc w:val="both"/>
      </w:pPr>
    </w:p>
    <w:p w:rsidR="00F57898" w:rsidRPr="00401C0A" w:rsidRDefault="00F57898" w:rsidP="00F57898">
      <w:pPr>
        <w:jc w:val="both"/>
        <w:rPr>
          <w:b/>
          <w:sz w:val="28"/>
          <w:szCs w:val="28"/>
        </w:rPr>
      </w:pPr>
      <w:r>
        <w:t xml:space="preserve">            </w:t>
      </w:r>
      <w:r w:rsidRPr="00401C0A">
        <w:rPr>
          <w:b/>
          <w:sz w:val="28"/>
          <w:szCs w:val="28"/>
        </w:rPr>
        <w:t xml:space="preserve">III. </w:t>
      </w:r>
      <w:r>
        <w:rPr>
          <w:b/>
          <w:sz w:val="28"/>
          <w:szCs w:val="28"/>
        </w:rPr>
        <w:t xml:space="preserve">PREDSTAVLJANJE I </w:t>
      </w:r>
      <w:r w:rsidRPr="00401C0A">
        <w:rPr>
          <w:b/>
          <w:sz w:val="28"/>
          <w:szCs w:val="28"/>
        </w:rPr>
        <w:t xml:space="preserve">ZASTUPANJE </w:t>
      </w:r>
      <w:r>
        <w:rPr>
          <w:b/>
          <w:sz w:val="28"/>
          <w:szCs w:val="28"/>
        </w:rPr>
        <w:t>KNJIŽNICE</w:t>
      </w:r>
    </w:p>
    <w:p w:rsidR="00F57898" w:rsidRDefault="00F57898" w:rsidP="00F57898">
      <w:pPr>
        <w:jc w:val="both"/>
        <w:rPr>
          <w:b/>
        </w:rPr>
      </w:pPr>
    </w:p>
    <w:p w:rsidR="00F57898" w:rsidRDefault="00F57898" w:rsidP="00F57898">
      <w:pPr>
        <w:jc w:val="both"/>
        <w:rPr>
          <w:b/>
        </w:rPr>
      </w:pPr>
    </w:p>
    <w:p w:rsidR="00F57898" w:rsidRDefault="00F57898" w:rsidP="00F57898">
      <w:pPr>
        <w:jc w:val="center"/>
      </w:pPr>
      <w:r>
        <w:t>Članak 6.</w:t>
      </w:r>
    </w:p>
    <w:p w:rsidR="00F57898" w:rsidRDefault="00F57898" w:rsidP="00F57898">
      <w:pPr>
        <w:jc w:val="center"/>
      </w:pPr>
    </w:p>
    <w:p w:rsidR="00F57898" w:rsidRDefault="00F57898" w:rsidP="00F57898">
      <w:pPr>
        <w:jc w:val="both"/>
      </w:pPr>
      <w:r>
        <w:t xml:space="preserve">             Ravnatelj predstavlja i zastupa Knjižnicu u </w:t>
      </w:r>
      <w:r w:rsidRPr="00DE180B">
        <w:t>pravnom</w:t>
      </w:r>
      <w:r>
        <w:t xml:space="preserve"> prometu i pred tijelima državne sudbene vlasti, te obavlja sve druge poslove predviđene zakonom, odlukom o osnivanju i statutom.</w:t>
      </w:r>
    </w:p>
    <w:p w:rsidR="00F57898" w:rsidRDefault="00F57898" w:rsidP="00F57898">
      <w:pPr>
        <w:jc w:val="both"/>
      </w:pPr>
      <w:r>
        <w:t xml:space="preserve">             Ravnatelj je odgovoran za zakonitost rada Knjižnice. </w:t>
      </w:r>
    </w:p>
    <w:p w:rsidR="00F57898" w:rsidRDefault="00F57898" w:rsidP="00F57898">
      <w:pPr>
        <w:jc w:val="both"/>
      </w:pPr>
      <w:r>
        <w:t xml:space="preserve">             Ravnatelj vodi stručni rad Knjižnice i odgovoran je za obavljanje stručnog rada.</w:t>
      </w:r>
    </w:p>
    <w:p w:rsidR="00F57898" w:rsidRDefault="00F57898" w:rsidP="00F57898">
      <w:pPr>
        <w:jc w:val="both"/>
      </w:pPr>
    </w:p>
    <w:p w:rsidR="00F57898" w:rsidRDefault="00F57898" w:rsidP="00F57898">
      <w:pPr>
        <w:jc w:val="both"/>
      </w:pPr>
    </w:p>
    <w:p w:rsidR="00F57898" w:rsidRDefault="00F57898" w:rsidP="00F57898">
      <w:pPr>
        <w:jc w:val="center"/>
      </w:pPr>
      <w:r>
        <w:t>Članak 7.</w:t>
      </w:r>
    </w:p>
    <w:p w:rsidR="00F57898" w:rsidRDefault="00F57898" w:rsidP="00F57898">
      <w:pPr>
        <w:jc w:val="center"/>
      </w:pPr>
    </w:p>
    <w:p w:rsidR="00F57898" w:rsidRDefault="00F57898" w:rsidP="00F57898">
      <w:pPr>
        <w:jc w:val="both"/>
      </w:pPr>
      <w:r>
        <w:t xml:space="preserve">            Ravnatelj ne može bez posebne ovlasti Općinskog vijeća nastupati kao ugovorna osoba i s Knjižnicom sklapati ugovore u svoje ime i za svoj račun, u svoje ime i za račun drugih osoba, ili u ime i za račun drugih osoba.</w:t>
      </w:r>
    </w:p>
    <w:p w:rsidR="00F57898" w:rsidRDefault="00F57898" w:rsidP="00F57898">
      <w:pPr>
        <w:jc w:val="both"/>
      </w:pPr>
      <w:r>
        <w:t xml:space="preserve">             Ravnatelj Knjižnice može dati punomoć drugoj osobi da zastupa Knjižnicu u pravnome prometu. Punomoć se može dati samo u granicama svojih ovlasti, a daje se sukladno odredbama Zakona kojim se uređuju obvezni odnosi.</w:t>
      </w:r>
    </w:p>
    <w:p w:rsidR="00F57898" w:rsidRDefault="00F57898" w:rsidP="00F57898">
      <w:pPr>
        <w:jc w:val="both"/>
      </w:pPr>
      <w:r>
        <w:t xml:space="preserve">             Za sklapanje pravnih poslova čija vrijednost prelazi </w:t>
      </w:r>
      <w:r w:rsidRPr="003374A5">
        <w:t>1.327,23 eura potrebna je prethodna suglasnost osnivača, odnosno Općinskog vijeća.</w:t>
      </w:r>
    </w:p>
    <w:p w:rsidR="00F57898" w:rsidRDefault="00F57898" w:rsidP="00F57898">
      <w:pPr>
        <w:jc w:val="both"/>
      </w:pPr>
    </w:p>
    <w:p w:rsidR="00F57898" w:rsidRDefault="00F57898" w:rsidP="00F57898">
      <w:pPr>
        <w:jc w:val="both"/>
      </w:pPr>
    </w:p>
    <w:p w:rsidR="00F57898" w:rsidRDefault="00F57898" w:rsidP="00F57898">
      <w:pPr>
        <w:jc w:val="center"/>
      </w:pPr>
      <w:r>
        <w:t>Članak 8.</w:t>
      </w:r>
    </w:p>
    <w:p w:rsidR="00F57898" w:rsidRDefault="00F57898" w:rsidP="00F57898">
      <w:pPr>
        <w:jc w:val="center"/>
      </w:pPr>
    </w:p>
    <w:p w:rsidR="00F57898" w:rsidRDefault="00F57898" w:rsidP="00F57898">
      <w:pPr>
        <w:jc w:val="both"/>
      </w:pPr>
      <w:r>
        <w:t xml:space="preserve">            Na prijedlog ravnatelja Knjižnica može osnovati i neka savjetodavna tijela koja mogu pomoći ravnatelju i ustanovi u što uspješnijem radu.</w:t>
      </w:r>
    </w:p>
    <w:p w:rsidR="00F57898" w:rsidRDefault="00F57898" w:rsidP="00F57898">
      <w:pPr>
        <w:jc w:val="both"/>
      </w:pPr>
    </w:p>
    <w:p w:rsidR="00F57898" w:rsidRDefault="00F57898" w:rsidP="00F57898">
      <w:pPr>
        <w:jc w:val="both"/>
      </w:pPr>
    </w:p>
    <w:p w:rsidR="00F57898" w:rsidRDefault="00F57898" w:rsidP="00F57898">
      <w:pPr>
        <w:jc w:val="center"/>
      </w:pPr>
      <w:r>
        <w:t>Članak 9.</w:t>
      </w:r>
    </w:p>
    <w:p w:rsidR="00F57898" w:rsidRDefault="00F57898" w:rsidP="00F57898">
      <w:pPr>
        <w:jc w:val="center"/>
      </w:pPr>
    </w:p>
    <w:p w:rsidR="00F57898" w:rsidRDefault="00F57898" w:rsidP="00F57898">
      <w:pPr>
        <w:jc w:val="both"/>
      </w:pPr>
      <w:r>
        <w:t xml:space="preserve">           U pravnome prometu Knjižnica rabi pečat i  štambilj.</w:t>
      </w:r>
    </w:p>
    <w:p w:rsidR="00F57898" w:rsidRDefault="00F57898" w:rsidP="00F57898">
      <w:pPr>
        <w:jc w:val="both"/>
      </w:pPr>
      <w:r>
        <w:t xml:space="preserve">           Pečat je okruglog oblika promjera 30 mm, na kojem je, uz obod, natpis: Narodna knjižnica i čitaonica „Grigor Vitez“ Gornji Bogićevci, a u sredini Gornji Bogićevci.</w:t>
      </w:r>
    </w:p>
    <w:p w:rsidR="00F57898" w:rsidRDefault="00F57898" w:rsidP="00F57898">
      <w:pPr>
        <w:jc w:val="both"/>
      </w:pPr>
      <w:r>
        <w:t xml:space="preserve">           Štambilj je četvrtastog oblika, širine 15 mm, dužine 55 mm, a u njemu su upisani puni naziv i sjedište Knjižnice.</w:t>
      </w:r>
    </w:p>
    <w:p w:rsidR="00F57898" w:rsidRDefault="00F57898" w:rsidP="00F57898">
      <w:pPr>
        <w:jc w:val="both"/>
      </w:pPr>
      <w:r>
        <w:t xml:space="preserve">         </w:t>
      </w:r>
    </w:p>
    <w:p w:rsidR="00F57898" w:rsidRDefault="00F57898" w:rsidP="00F57898">
      <w:pPr>
        <w:jc w:val="both"/>
      </w:pPr>
    </w:p>
    <w:p w:rsidR="00F57898" w:rsidRDefault="00F57898" w:rsidP="00F57898">
      <w:pPr>
        <w:jc w:val="center"/>
      </w:pPr>
      <w:r>
        <w:t>Članak 10.</w:t>
      </w:r>
    </w:p>
    <w:p w:rsidR="00F57898" w:rsidRDefault="00F57898" w:rsidP="00F57898">
      <w:pPr>
        <w:jc w:val="center"/>
      </w:pPr>
    </w:p>
    <w:p w:rsidR="00F57898" w:rsidRDefault="00F57898" w:rsidP="00F57898">
      <w:pPr>
        <w:jc w:val="both"/>
      </w:pPr>
      <w:r>
        <w:t xml:space="preserve">          Pečatom se ovjeravaju isprave i akti u pravnome prometu u odnosu na tijela državne uprave i jedinica lokalne samouprave te administrativno-financijska dokumentacija</w:t>
      </w:r>
    </w:p>
    <w:p w:rsidR="00F57898" w:rsidRDefault="00F57898" w:rsidP="00F57898">
      <w:pPr>
        <w:jc w:val="both"/>
      </w:pPr>
      <w:r>
        <w:t xml:space="preserve">         Štambilj se upotrebljava za odgovarajuće administrativno poslovanje Knjižnice.</w:t>
      </w:r>
    </w:p>
    <w:p w:rsidR="00F57898" w:rsidRDefault="00F57898" w:rsidP="00F57898">
      <w:pPr>
        <w:jc w:val="both"/>
      </w:pPr>
    </w:p>
    <w:p w:rsidR="00F57898" w:rsidRPr="001B4D29" w:rsidRDefault="00F57898" w:rsidP="00F57898">
      <w:pPr>
        <w:jc w:val="both"/>
        <w:rPr>
          <w:b/>
          <w:sz w:val="28"/>
          <w:szCs w:val="28"/>
        </w:rPr>
      </w:pPr>
      <w:r w:rsidRPr="001B4D29">
        <w:rPr>
          <w:b/>
          <w:sz w:val="28"/>
          <w:szCs w:val="28"/>
        </w:rPr>
        <w:t xml:space="preserve">          IV. IMOVINA KNJIŽNICE I ODGOVORNOST ZA OBVEZE</w:t>
      </w:r>
    </w:p>
    <w:p w:rsidR="00F57898" w:rsidRDefault="00F57898" w:rsidP="00F57898">
      <w:pPr>
        <w:jc w:val="both"/>
        <w:rPr>
          <w:b/>
        </w:rPr>
      </w:pPr>
    </w:p>
    <w:p w:rsidR="00F57898" w:rsidRDefault="00F57898" w:rsidP="00F57898">
      <w:pPr>
        <w:jc w:val="both"/>
        <w:rPr>
          <w:b/>
        </w:rPr>
      </w:pPr>
    </w:p>
    <w:p w:rsidR="00F57898" w:rsidRDefault="00F57898" w:rsidP="00F57898">
      <w:pPr>
        <w:jc w:val="center"/>
      </w:pPr>
      <w:r>
        <w:t>Članak 11.</w:t>
      </w:r>
    </w:p>
    <w:p w:rsidR="00F57898" w:rsidRDefault="00F57898" w:rsidP="00F57898">
      <w:pPr>
        <w:jc w:val="center"/>
      </w:pPr>
    </w:p>
    <w:p w:rsidR="00F57898" w:rsidRDefault="00F57898" w:rsidP="00F57898">
      <w:pPr>
        <w:jc w:val="both"/>
      </w:pPr>
      <w:r>
        <w:t xml:space="preserve">          Sredstva za rad koja su pribavljena iz proračuna Općine Gornji Bogićevci, te drugih izvora čine imovinu Knjižnice.</w:t>
      </w:r>
    </w:p>
    <w:p w:rsidR="00F57898" w:rsidRDefault="00F57898" w:rsidP="00F57898">
      <w:pPr>
        <w:jc w:val="both"/>
      </w:pPr>
      <w:r>
        <w:t xml:space="preserve">          Ako u obavljanju svoje djelatnosti  Knjižnica ostvaruje dobit, ta se dobit upotrebljava isključivo za obavljanje i razvoj djelatnosti knjižnice na području na kojem djeluje Knjižnica.</w:t>
      </w:r>
    </w:p>
    <w:p w:rsidR="00F57898" w:rsidRDefault="00F57898" w:rsidP="00F57898">
      <w:pPr>
        <w:jc w:val="both"/>
      </w:pPr>
      <w:r>
        <w:t xml:space="preserve">         Općina Gornji Bogićevci osigurala je u proračunu sredstva za osnivanje i početak rada Knjižnice u </w:t>
      </w:r>
      <w:r w:rsidRPr="00F13B54">
        <w:t>visini  2.654,46  eura i ona čine temeljni kapital Knjižnice.</w:t>
      </w:r>
    </w:p>
    <w:p w:rsidR="00F57898" w:rsidRDefault="00F57898" w:rsidP="00F57898">
      <w:pPr>
        <w:jc w:val="both"/>
      </w:pPr>
    </w:p>
    <w:p w:rsidR="00F57898" w:rsidRDefault="00F57898" w:rsidP="00F57898">
      <w:pPr>
        <w:jc w:val="center"/>
      </w:pPr>
      <w:r>
        <w:t>Članak 12.</w:t>
      </w:r>
    </w:p>
    <w:p w:rsidR="00F57898" w:rsidRDefault="00F57898" w:rsidP="00F57898">
      <w:pPr>
        <w:jc w:val="center"/>
      </w:pPr>
    </w:p>
    <w:p w:rsidR="00F57898" w:rsidRDefault="00F57898" w:rsidP="00F57898">
      <w:pPr>
        <w:jc w:val="both"/>
      </w:pPr>
      <w:r>
        <w:t xml:space="preserve">           Knjižnica odgovara za obveze cijelom svojom imovinom. Imovinu Knjižnice čine knjižna i neknjižna građa, stvari, prava i novčana sredstva.</w:t>
      </w:r>
    </w:p>
    <w:p w:rsidR="00F57898" w:rsidRDefault="00F57898" w:rsidP="00F57898">
      <w:pPr>
        <w:jc w:val="both"/>
      </w:pPr>
      <w:r>
        <w:t xml:space="preserve">           Općina Gornji Bogićevci, kao osnivač ustanove, solidarno i neograničeno odgovara za obveze Knjižnice.</w:t>
      </w:r>
    </w:p>
    <w:p w:rsidR="00F57898" w:rsidRPr="00661500" w:rsidRDefault="00F57898" w:rsidP="00F57898">
      <w:pPr>
        <w:jc w:val="both"/>
      </w:pPr>
    </w:p>
    <w:p w:rsidR="00F57898" w:rsidRDefault="00F57898" w:rsidP="00F57898">
      <w:pPr>
        <w:jc w:val="center"/>
      </w:pPr>
      <w:r>
        <w:t>Članak 13.</w:t>
      </w:r>
    </w:p>
    <w:p w:rsidR="00F57898" w:rsidRDefault="00F57898" w:rsidP="00F57898">
      <w:pPr>
        <w:jc w:val="center"/>
      </w:pPr>
    </w:p>
    <w:p w:rsidR="00F57898" w:rsidRDefault="00F57898" w:rsidP="00F57898">
      <w:pPr>
        <w:jc w:val="both"/>
      </w:pPr>
      <w:r>
        <w:t xml:space="preserve">               Knjižnica ne može bez suglasnosti Općinskog vijeća steći, opteretiti ili otuđiti nekretninu i drugu imovinu.</w:t>
      </w:r>
    </w:p>
    <w:p w:rsidR="00F57898" w:rsidRDefault="00F57898" w:rsidP="00F57898">
      <w:pPr>
        <w:jc w:val="center"/>
      </w:pPr>
    </w:p>
    <w:p w:rsidR="00F57898" w:rsidRDefault="00F57898" w:rsidP="00F57898">
      <w:pPr>
        <w:jc w:val="center"/>
      </w:pPr>
      <w:r>
        <w:t>Članak 14.</w:t>
      </w:r>
    </w:p>
    <w:p w:rsidR="00F57898" w:rsidRDefault="00F57898" w:rsidP="00F57898">
      <w:pPr>
        <w:jc w:val="center"/>
      </w:pPr>
    </w:p>
    <w:p w:rsidR="00F57898" w:rsidRDefault="00F57898" w:rsidP="00F57898">
      <w:pPr>
        <w:jc w:val="both"/>
      </w:pPr>
      <w:r>
        <w:t xml:space="preserve">          Ravnatelj Knjižnice je dužan dostavljati izvješća o poslovanju Knjižnice najmanje jednom godišnje Općinskom vijeću Gornji Bogićevci i to u pravilu na kraju godine.</w:t>
      </w:r>
    </w:p>
    <w:p w:rsidR="00F57898" w:rsidRDefault="00F57898" w:rsidP="00F57898">
      <w:pPr>
        <w:jc w:val="both"/>
      </w:pPr>
      <w:r>
        <w:t xml:space="preserve">           Uz financijska izvješća ravnatelj je dužan, prije donošenja godišnjeg proračuna Općine Gornji Bogićevci, dostaviti financijski plan Knjižnice za narednu godinu.</w:t>
      </w:r>
    </w:p>
    <w:p w:rsidR="00F57898" w:rsidRDefault="00F57898" w:rsidP="00F57898">
      <w:pPr>
        <w:jc w:val="both"/>
      </w:pPr>
    </w:p>
    <w:p w:rsidR="00F57898" w:rsidRDefault="00F57898" w:rsidP="00F57898">
      <w:pPr>
        <w:jc w:val="both"/>
      </w:pPr>
    </w:p>
    <w:p w:rsidR="00F57898" w:rsidRDefault="00F57898" w:rsidP="00F57898">
      <w:pPr>
        <w:jc w:val="both"/>
      </w:pPr>
    </w:p>
    <w:p w:rsidR="00F57898" w:rsidRPr="004D2631" w:rsidRDefault="00F57898" w:rsidP="00F57898">
      <w:pPr>
        <w:numPr>
          <w:ilvl w:val="0"/>
          <w:numId w:val="52"/>
        </w:numPr>
        <w:tabs>
          <w:tab w:val="num" w:pos="1003"/>
        </w:tabs>
        <w:spacing w:after="0" w:line="240" w:lineRule="auto"/>
        <w:jc w:val="both"/>
        <w:rPr>
          <w:b/>
          <w:sz w:val="28"/>
          <w:szCs w:val="28"/>
        </w:rPr>
      </w:pPr>
      <w:r w:rsidRPr="004D2631">
        <w:rPr>
          <w:b/>
          <w:sz w:val="28"/>
          <w:szCs w:val="28"/>
        </w:rPr>
        <w:t>DJELATNOST</w:t>
      </w:r>
      <w:r>
        <w:rPr>
          <w:b/>
          <w:sz w:val="28"/>
          <w:szCs w:val="28"/>
        </w:rPr>
        <w:t xml:space="preserve"> KNJIŽNICE</w:t>
      </w:r>
    </w:p>
    <w:p w:rsidR="00F57898" w:rsidRPr="004D2631" w:rsidRDefault="00F57898" w:rsidP="00F57898">
      <w:pPr>
        <w:jc w:val="both"/>
        <w:rPr>
          <w:b/>
          <w:sz w:val="28"/>
          <w:szCs w:val="28"/>
        </w:rPr>
      </w:pPr>
    </w:p>
    <w:p w:rsidR="00F57898" w:rsidRDefault="00F57898" w:rsidP="00F57898">
      <w:pPr>
        <w:jc w:val="center"/>
      </w:pPr>
      <w:r>
        <w:t>Članak 15.</w:t>
      </w:r>
    </w:p>
    <w:p w:rsidR="00F57898" w:rsidRDefault="00F57898" w:rsidP="00F57898">
      <w:pPr>
        <w:jc w:val="center"/>
      </w:pPr>
    </w:p>
    <w:p w:rsidR="00F57898" w:rsidRDefault="00F57898" w:rsidP="00F57898">
      <w:pPr>
        <w:jc w:val="center"/>
      </w:pPr>
    </w:p>
    <w:p w:rsidR="00F57898" w:rsidRDefault="00F57898" w:rsidP="00F57898">
      <w:pPr>
        <w:jc w:val="both"/>
      </w:pPr>
      <w:r>
        <w:t xml:space="preserve">            Knjižnica Gornji Bogićevci obavljat će slijedeće djelatnosti:</w:t>
      </w:r>
    </w:p>
    <w:p w:rsidR="00F57898" w:rsidRDefault="00F57898" w:rsidP="00F57898">
      <w:pPr>
        <w:pStyle w:val="box459765"/>
        <w:shd w:val="clear" w:color="auto" w:fill="FFFFFF"/>
        <w:spacing w:before="0" w:beforeAutospacing="0" w:after="48" w:afterAutospacing="0"/>
        <w:ind w:left="708"/>
        <w:textAlignment w:val="baseline"/>
        <w:rPr>
          <w:lang w:eastAsia="en-US"/>
        </w:rPr>
      </w:pPr>
    </w:p>
    <w:p w:rsidR="00F57898" w:rsidRPr="00EC4F67" w:rsidRDefault="00F57898" w:rsidP="00F57898">
      <w:pPr>
        <w:pStyle w:val="box459765"/>
        <w:shd w:val="clear" w:color="auto" w:fill="FFFFFF"/>
        <w:spacing w:before="0" w:beforeAutospacing="0" w:after="48" w:afterAutospacing="0"/>
        <w:textAlignment w:val="baseline"/>
        <w:rPr>
          <w:lang w:eastAsia="en-US"/>
        </w:rPr>
      </w:pPr>
      <w:r>
        <w:rPr>
          <w:lang w:eastAsia="en-US"/>
        </w:rPr>
        <w:t xml:space="preserve">           </w:t>
      </w:r>
      <w:r w:rsidRPr="00EC4F67">
        <w:rPr>
          <w:lang w:eastAsia="en-US"/>
        </w:rPr>
        <w:t>– nabavu knjižnične građe i izgradnju knjižničnih zbirki</w:t>
      </w:r>
    </w:p>
    <w:p w:rsidR="00F57898" w:rsidRDefault="00F57898" w:rsidP="00F57898">
      <w:pPr>
        <w:pStyle w:val="box459765"/>
        <w:shd w:val="clear" w:color="auto" w:fill="FFFFFF"/>
        <w:spacing w:before="0" w:beforeAutospacing="0" w:after="48" w:afterAutospacing="0"/>
        <w:textAlignment w:val="baseline"/>
        <w:rPr>
          <w:lang w:eastAsia="en-US"/>
        </w:rPr>
      </w:pPr>
      <w:r>
        <w:rPr>
          <w:lang w:eastAsia="en-US"/>
        </w:rPr>
        <w:t xml:space="preserve">           </w:t>
      </w:r>
      <w:r w:rsidRPr="00EC4F67">
        <w:rPr>
          <w:lang w:eastAsia="en-US"/>
        </w:rPr>
        <w:t>– stručnu obradu knjižnične građe prema stručnim standardima, što uključuje</w:t>
      </w:r>
      <w:r>
        <w:rPr>
          <w:lang w:eastAsia="en-US"/>
        </w:rPr>
        <w:t xml:space="preserve"> </w:t>
      </w:r>
      <w:r w:rsidRPr="00EC4F67">
        <w:rPr>
          <w:lang w:eastAsia="en-US"/>
        </w:rPr>
        <w:t xml:space="preserve">izradu </w:t>
      </w:r>
    </w:p>
    <w:p w:rsidR="00F57898" w:rsidRDefault="00F57898" w:rsidP="00F57898">
      <w:pPr>
        <w:pStyle w:val="box459765"/>
        <w:shd w:val="clear" w:color="auto" w:fill="FFFFFF"/>
        <w:spacing w:before="0" w:beforeAutospacing="0" w:after="48" w:afterAutospacing="0"/>
        <w:textAlignment w:val="baseline"/>
        <w:rPr>
          <w:lang w:eastAsia="en-US"/>
        </w:rPr>
      </w:pPr>
      <w:r>
        <w:rPr>
          <w:lang w:eastAsia="en-US"/>
        </w:rPr>
        <w:t xml:space="preserve">              </w:t>
      </w:r>
      <w:r w:rsidRPr="00EC4F67">
        <w:rPr>
          <w:lang w:eastAsia="en-US"/>
        </w:rPr>
        <w:t>informacijskih pomagala u tiskanom i/ili elektroničkom obliku</w:t>
      </w:r>
    </w:p>
    <w:p w:rsidR="00F57898" w:rsidRDefault="00F57898" w:rsidP="00F57898">
      <w:pPr>
        <w:pStyle w:val="box459765"/>
        <w:shd w:val="clear" w:color="auto" w:fill="FFFFFF"/>
        <w:spacing w:before="0" w:beforeAutospacing="0" w:after="48" w:afterAutospacing="0"/>
        <w:textAlignment w:val="baseline"/>
        <w:rPr>
          <w:lang w:eastAsia="en-US"/>
        </w:rPr>
      </w:pPr>
      <w:r>
        <w:rPr>
          <w:lang w:eastAsia="en-US"/>
        </w:rPr>
        <w:t xml:space="preserve">           </w:t>
      </w:r>
      <w:r w:rsidRPr="00EC4F67">
        <w:rPr>
          <w:lang w:eastAsia="en-US"/>
        </w:rPr>
        <w:t xml:space="preserve">– pohranu, čuvanje i zaštitu knjižnične građe te provođenje mjera zaštite knjižnične </w:t>
      </w:r>
    </w:p>
    <w:p w:rsidR="00F57898" w:rsidRPr="00EC4F67" w:rsidRDefault="00F57898" w:rsidP="00F57898">
      <w:pPr>
        <w:pStyle w:val="box459765"/>
        <w:shd w:val="clear" w:color="auto" w:fill="FFFFFF"/>
        <w:spacing w:before="0" w:beforeAutospacing="0" w:after="48" w:afterAutospacing="0"/>
        <w:textAlignment w:val="baseline"/>
        <w:rPr>
          <w:lang w:eastAsia="en-US"/>
        </w:rPr>
      </w:pPr>
      <w:r>
        <w:rPr>
          <w:lang w:eastAsia="en-US"/>
        </w:rPr>
        <w:t xml:space="preserve">              </w:t>
      </w:r>
      <w:r w:rsidRPr="00EC4F67">
        <w:rPr>
          <w:lang w:eastAsia="en-US"/>
        </w:rPr>
        <w:t>građe koja je kulturno dobro</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 pružanje informacijskih usluga, posudbu i davanje na korištenje knjižnične građe,    </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uključujući međuknjižničnu posudbu</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 digitalizaciju knjižnične građe</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 usmjeravanje i podučavanje korisnika pri izboru i korištenju knjižnične građe, </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informacijskih pomagala i drugih izvora</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 vođenje dokumentacije i prikupljanje statističkih podataka o poslovanju,  </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knjižničnoj građi, korisnicima i o korištenju usluga knjižnice</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 prikupljanje statističkih podataka vezanih uz provedbu propisa kojima se uređuju </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autorska i srodna prava</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 pripremanje kulturnih, informacijskih, obrazovnih i znanstvenih sadržaja i </w:t>
      </w:r>
    </w:p>
    <w:p w:rsidR="00F5789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programa</w:t>
      </w:r>
    </w:p>
    <w:p w:rsidR="00F57898" w:rsidRPr="003B29C8" w:rsidRDefault="00F57898" w:rsidP="00F57898">
      <w:pPr>
        <w:pStyle w:val="box459765"/>
        <w:shd w:val="clear" w:color="auto" w:fill="FFFFFF"/>
        <w:spacing w:before="0" w:beforeAutospacing="0" w:after="48" w:afterAutospacing="0"/>
        <w:textAlignment w:val="baseline"/>
        <w:rPr>
          <w:color w:val="231F20"/>
        </w:rPr>
      </w:pPr>
      <w:r>
        <w:rPr>
          <w:color w:val="231F20"/>
        </w:rPr>
        <w:t xml:space="preserve">         Knjižnica može obavljati i druge poslove sukladno Zakonu i drugim propisima.</w:t>
      </w:r>
    </w:p>
    <w:p w:rsidR="00F57898" w:rsidRDefault="00F57898" w:rsidP="00F57898">
      <w:pPr>
        <w:jc w:val="both"/>
      </w:pPr>
      <w:r>
        <w:t xml:space="preserve">         Djelatnosti se mogu mijenjati posebnom Odlukom Općinskog vijeća. Osnovna djelatnost Knjižnice je da putem knjiga razvija opće obrazovanje pučanstva, trajno zadovoljava kulturne potrebe na području svog djelovanja, te njeguje i unaprjeđuje stručni i znanstveni rad.</w:t>
      </w:r>
    </w:p>
    <w:p w:rsidR="00F57898" w:rsidRDefault="00F57898" w:rsidP="00F57898">
      <w:pPr>
        <w:jc w:val="both"/>
      </w:pPr>
      <w:r>
        <w:t xml:space="preserve">         Knjižnična djelatnost poglavito obuhvaća: nabavu, prikupljanje, sređivanje, čuvanje, obradu stručnim sustavom i davanje na uporabu knjiga i druge građe koja je predmetom poslovanja Knjižnice.</w:t>
      </w:r>
    </w:p>
    <w:p w:rsidR="00F57898" w:rsidRDefault="00F57898" w:rsidP="00F57898">
      <w:pPr>
        <w:jc w:val="both"/>
      </w:pPr>
    </w:p>
    <w:p w:rsidR="00F57898" w:rsidRDefault="00F57898" w:rsidP="00F57898">
      <w:pPr>
        <w:jc w:val="center"/>
      </w:pPr>
      <w:r>
        <w:t>Članak 16.</w:t>
      </w:r>
    </w:p>
    <w:p w:rsidR="00F57898" w:rsidRDefault="00F57898" w:rsidP="00F57898">
      <w:pPr>
        <w:jc w:val="center"/>
      </w:pPr>
    </w:p>
    <w:p w:rsidR="00F57898" w:rsidRDefault="00F57898" w:rsidP="00F57898">
      <w:pPr>
        <w:jc w:val="both"/>
      </w:pPr>
      <w:r>
        <w:t xml:space="preserve">          Zadaća Knjižnice je da u ostvarivanju javne službe nastoji zadovoljiti obrazovne, kulturne i  informacijske potrebe građana na području Općine Gornji Bogićevci te da promiče čitanje i druge kulturne aktivnosti u cilju unapređenja ukupnog kulturnog života.</w:t>
      </w:r>
    </w:p>
    <w:p w:rsidR="00F57898" w:rsidRDefault="00F57898" w:rsidP="00F57898">
      <w:pPr>
        <w:jc w:val="both"/>
      </w:pPr>
      <w:r>
        <w:t xml:space="preserve">          Knjižnica je obvezna dati svim građanima pravo na uporabu svojih usluga pod propisanim uvjetima.</w:t>
      </w:r>
    </w:p>
    <w:p w:rsidR="00F57898" w:rsidRDefault="00F57898" w:rsidP="00F57898">
      <w:pPr>
        <w:jc w:val="both"/>
      </w:pPr>
      <w:r>
        <w:t xml:space="preserve">          U svojoj djelatnosti Knjižnica se orijentira ka nabavi knjiga, periodike, audiovizualne građe i ostale knjižnične građe, čime izgrađuje svoj fond koji mora sadržavat znanstvenu i stručnu literaturu, popularno-stručnu literaturu, lijepu književnost i dječju književnost, primarno na hrvatskom jeziku.</w:t>
      </w:r>
    </w:p>
    <w:p w:rsidR="00F57898" w:rsidRDefault="00F57898" w:rsidP="00F57898">
      <w:pPr>
        <w:jc w:val="both"/>
      </w:pPr>
      <w:r>
        <w:t xml:space="preserve">           Poglavitu pozornost Knjižnica obraća na izgradnju Zavičajne zbirke, literature s područja znanosti o književnosti i umjetnosti, priručne stručne literature.</w:t>
      </w:r>
    </w:p>
    <w:p w:rsidR="00F57898" w:rsidRDefault="00F57898" w:rsidP="00F57898">
      <w:pPr>
        <w:jc w:val="both"/>
      </w:pPr>
    </w:p>
    <w:p w:rsidR="00F57898" w:rsidRDefault="00F57898" w:rsidP="00F57898">
      <w:pPr>
        <w:jc w:val="both"/>
      </w:pPr>
    </w:p>
    <w:p w:rsidR="00F57898" w:rsidRDefault="00F57898" w:rsidP="00F57898">
      <w:pPr>
        <w:jc w:val="both"/>
      </w:pPr>
    </w:p>
    <w:p w:rsidR="00F57898" w:rsidRPr="00F315CB" w:rsidRDefault="00F57898" w:rsidP="00F57898">
      <w:pPr>
        <w:numPr>
          <w:ilvl w:val="0"/>
          <w:numId w:val="52"/>
        </w:numPr>
        <w:tabs>
          <w:tab w:val="num" w:pos="1003"/>
        </w:tabs>
        <w:spacing w:after="0" w:line="240" w:lineRule="auto"/>
        <w:jc w:val="both"/>
        <w:rPr>
          <w:b/>
          <w:sz w:val="28"/>
          <w:szCs w:val="28"/>
        </w:rPr>
      </w:pPr>
      <w:r w:rsidRPr="00F315CB">
        <w:rPr>
          <w:b/>
          <w:sz w:val="28"/>
          <w:szCs w:val="28"/>
        </w:rPr>
        <w:t>UNUTARNJE USTROJSTVO I NAČIN RADA KNJIŽNICE</w:t>
      </w:r>
    </w:p>
    <w:p w:rsidR="00F57898" w:rsidRDefault="00F57898" w:rsidP="00F57898">
      <w:pPr>
        <w:jc w:val="both"/>
        <w:rPr>
          <w:b/>
        </w:rPr>
      </w:pPr>
    </w:p>
    <w:p w:rsidR="00F57898" w:rsidRDefault="00F57898" w:rsidP="00F57898">
      <w:pPr>
        <w:jc w:val="center"/>
      </w:pPr>
      <w:r>
        <w:t>Članak 17.</w:t>
      </w:r>
    </w:p>
    <w:p w:rsidR="00F57898" w:rsidRDefault="00F57898" w:rsidP="00F57898">
      <w:pPr>
        <w:jc w:val="center"/>
      </w:pPr>
    </w:p>
    <w:p w:rsidR="00F57898" w:rsidRDefault="00F57898" w:rsidP="00F57898">
      <w:pPr>
        <w:jc w:val="both"/>
      </w:pPr>
      <w:r>
        <w:t xml:space="preserve">           Unutarnjim ustrojstvom osigurava se djelotvorno obavljanje djelatnosti, stručni rad, administrativni i pomoćno-tehnički poslovi.</w:t>
      </w:r>
    </w:p>
    <w:p w:rsidR="00F57898" w:rsidRDefault="00F57898" w:rsidP="00F57898">
      <w:pPr>
        <w:jc w:val="both"/>
      </w:pPr>
    </w:p>
    <w:p w:rsidR="00F57898" w:rsidRDefault="00F57898" w:rsidP="00F57898">
      <w:pPr>
        <w:jc w:val="center"/>
      </w:pPr>
      <w:r>
        <w:t>Članak 18.</w:t>
      </w:r>
    </w:p>
    <w:p w:rsidR="00F57898" w:rsidRDefault="00F57898" w:rsidP="00F57898">
      <w:pPr>
        <w:jc w:val="center"/>
      </w:pPr>
    </w:p>
    <w:p w:rsidR="00F57898" w:rsidRDefault="00F57898" w:rsidP="00F57898">
      <w:pPr>
        <w:jc w:val="both"/>
      </w:pPr>
      <w:r>
        <w:t xml:space="preserve">          Unutarnje ustrojstvo i način rada Knjižnice, sa opisom radnih mjesta, te brojem izvršitelja, utvrđuje ravnatelj Pravilnikom o unutarnjem ustrojstvu i radu knjižnice, uz prethodnu suglasnost osnivača.</w:t>
      </w:r>
    </w:p>
    <w:p w:rsidR="00F57898" w:rsidRDefault="00F57898" w:rsidP="00F57898">
      <w:pPr>
        <w:jc w:val="both"/>
      </w:pPr>
    </w:p>
    <w:p w:rsidR="00F57898" w:rsidRDefault="00F57898" w:rsidP="00F57898">
      <w:pPr>
        <w:jc w:val="center"/>
      </w:pPr>
      <w:r>
        <w:t>Članak 19.</w:t>
      </w:r>
    </w:p>
    <w:p w:rsidR="00F57898" w:rsidRDefault="00F57898" w:rsidP="00F57898">
      <w:pPr>
        <w:jc w:val="center"/>
      </w:pPr>
    </w:p>
    <w:p w:rsidR="00F57898" w:rsidRDefault="00F57898" w:rsidP="00F57898">
      <w:pPr>
        <w:jc w:val="both"/>
      </w:pPr>
      <w:r>
        <w:t xml:space="preserve">         Knjižnicom     upravlja    ravnatelj.</w:t>
      </w:r>
    </w:p>
    <w:p w:rsidR="00F57898" w:rsidRDefault="00F57898" w:rsidP="00F57898">
      <w:pPr>
        <w:jc w:val="both"/>
      </w:pPr>
      <w:r>
        <w:t xml:space="preserve">         Ravnatelj:</w:t>
      </w:r>
    </w:p>
    <w:p w:rsidR="00F57898" w:rsidRDefault="00F57898" w:rsidP="00F57898">
      <w:pPr>
        <w:numPr>
          <w:ilvl w:val="0"/>
          <w:numId w:val="53"/>
        </w:numPr>
        <w:tabs>
          <w:tab w:val="num" w:pos="1494"/>
        </w:tabs>
        <w:spacing w:after="0" w:line="240" w:lineRule="auto"/>
        <w:jc w:val="both"/>
      </w:pPr>
      <w:r>
        <w:t>organizira, vodi rad i poslovanje Knjižnice</w:t>
      </w:r>
    </w:p>
    <w:p w:rsidR="00F57898" w:rsidRDefault="00F57898" w:rsidP="00F57898">
      <w:pPr>
        <w:numPr>
          <w:ilvl w:val="0"/>
          <w:numId w:val="53"/>
        </w:numPr>
        <w:tabs>
          <w:tab w:val="num" w:pos="1494"/>
        </w:tabs>
        <w:spacing w:after="0" w:line="240" w:lineRule="auto"/>
        <w:jc w:val="both"/>
      </w:pPr>
      <w:r>
        <w:t>donosi godišnji plan i program rada Knjižnice, te nadzire njegovo izvršenje</w:t>
      </w:r>
    </w:p>
    <w:p w:rsidR="00F57898" w:rsidRDefault="00F57898" w:rsidP="00F57898">
      <w:pPr>
        <w:numPr>
          <w:ilvl w:val="0"/>
          <w:numId w:val="53"/>
        </w:numPr>
        <w:tabs>
          <w:tab w:val="num" w:pos="1494"/>
        </w:tabs>
        <w:spacing w:after="0" w:line="240" w:lineRule="auto"/>
        <w:jc w:val="both"/>
      </w:pPr>
      <w:r>
        <w:t>odlučuje o raspoređivanju djelatnika, te o drugim pravima i obvezama iz radnog odnosa, ukoliko Zakonom i drugim propisima nije drugačije određeno</w:t>
      </w:r>
    </w:p>
    <w:p w:rsidR="00F57898" w:rsidRDefault="00F57898" w:rsidP="00F57898">
      <w:pPr>
        <w:numPr>
          <w:ilvl w:val="0"/>
          <w:numId w:val="53"/>
        </w:numPr>
        <w:tabs>
          <w:tab w:val="num" w:pos="1494"/>
        </w:tabs>
        <w:spacing w:after="0" w:line="240" w:lineRule="auto"/>
        <w:jc w:val="both"/>
      </w:pPr>
      <w:r>
        <w:t>daje naloge i naputke za rad pojedinim djelatnicima za obavljanje određenih poslova</w:t>
      </w:r>
    </w:p>
    <w:p w:rsidR="00F57898" w:rsidRDefault="00F57898" w:rsidP="00F57898">
      <w:pPr>
        <w:numPr>
          <w:ilvl w:val="0"/>
          <w:numId w:val="53"/>
        </w:numPr>
        <w:tabs>
          <w:tab w:val="num" w:pos="1494"/>
        </w:tabs>
        <w:spacing w:after="0" w:line="240" w:lineRule="auto"/>
        <w:jc w:val="both"/>
      </w:pPr>
      <w:r>
        <w:t>donosi Statut Knjižnice i njegove izmjene i dopune, uz prethodnu suglasnost Osnivača</w:t>
      </w:r>
    </w:p>
    <w:p w:rsidR="00F57898" w:rsidRDefault="00F57898" w:rsidP="00F57898">
      <w:pPr>
        <w:numPr>
          <w:ilvl w:val="0"/>
          <w:numId w:val="53"/>
        </w:numPr>
        <w:tabs>
          <w:tab w:val="num" w:pos="1494"/>
        </w:tabs>
        <w:spacing w:after="0" w:line="240" w:lineRule="auto"/>
        <w:jc w:val="both"/>
      </w:pPr>
      <w:r>
        <w:t>donosi i druge opće akte Knjižnice propisane Zakonom i ovim  Statutom</w:t>
      </w:r>
    </w:p>
    <w:p w:rsidR="00F57898" w:rsidRDefault="00F57898" w:rsidP="00F57898">
      <w:pPr>
        <w:numPr>
          <w:ilvl w:val="0"/>
          <w:numId w:val="53"/>
        </w:numPr>
        <w:tabs>
          <w:tab w:val="num" w:pos="1494"/>
        </w:tabs>
        <w:spacing w:after="0" w:line="240" w:lineRule="auto"/>
        <w:jc w:val="both"/>
      </w:pPr>
      <w:r>
        <w:t>podnosi osnivaču izvješće o radu Knjižnice</w:t>
      </w:r>
    </w:p>
    <w:p w:rsidR="00F57898" w:rsidRDefault="00F57898" w:rsidP="00F57898">
      <w:pPr>
        <w:numPr>
          <w:ilvl w:val="0"/>
          <w:numId w:val="53"/>
        </w:numPr>
        <w:tabs>
          <w:tab w:val="num" w:pos="1494"/>
        </w:tabs>
        <w:spacing w:after="0" w:line="240" w:lineRule="auto"/>
        <w:jc w:val="both"/>
      </w:pPr>
      <w:r>
        <w:t>daje Osnivaču prijedloge i mišljenja o pojedinim pitanjima iz djelatnosti Knjižnice</w:t>
      </w:r>
    </w:p>
    <w:p w:rsidR="00F57898" w:rsidRDefault="00F57898" w:rsidP="00F57898">
      <w:pPr>
        <w:numPr>
          <w:ilvl w:val="0"/>
          <w:numId w:val="53"/>
        </w:numPr>
        <w:tabs>
          <w:tab w:val="num" w:pos="1494"/>
        </w:tabs>
        <w:spacing w:after="0" w:line="240" w:lineRule="auto"/>
        <w:jc w:val="both"/>
      </w:pPr>
      <w:r>
        <w:t>odgovara za financijsko poslovanje Knjižnice</w:t>
      </w:r>
    </w:p>
    <w:p w:rsidR="00F57898" w:rsidRDefault="00F57898" w:rsidP="00F57898">
      <w:pPr>
        <w:numPr>
          <w:ilvl w:val="0"/>
          <w:numId w:val="53"/>
        </w:numPr>
        <w:tabs>
          <w:tab w:val="num" w:pos="1494"/>
        </w:tabs>
        <w:spacing w:after="0" w:line="240" w:lineRule="auto"/>
        <w:jc w:val="both"/>
      </w:pPr>
      <w:r>
        <w:t>odlučuje o podacima koji predstavljaju poslovnu tajnu ili se ne mogu objaviti</w:t>
      </w:r>
    </w:p>
    <w:p w:rsidR="00F57898" w:rsidRDefault="00F57898" w:rsidP="00F57898">
      <w:pPr>
        <w:numPr>
          <w:ilvl w:val="0"/>
          <w:numId w:val="53"/>
        </w:numPr>
        <w:tabs>
          <w:tab w:val="num" w:pos="1494"/>
        </w:tabs>
        <w:spacing w:after="0" w:line="240" w:lineRule="auto"/>
        <w:jc w:val="both"/>
      </w:pPr>
      <w:r>
        <w:t>odlučuje i o drugim pitanjima u skladu sa zakonom i općim aktima Knjižnice</w:t>
      </w:r>
    </w:p>
    <w:p w:rsidR="00F57898" w:rsidRDefault="00F57898" w:rsidP="00F57898">
      <w:pPr>
        <w:numPr>
          <w:ilvl w:val="0"/>
          <w:numId w:val="53"/>
        </w:numPr>
        <w:tabs>
          <w:tab w:val="num" w:pos="1494"/>
        </w:tabs>
        <w:spacing w:after="0" w:line="240" w:lineRule="auto"/>
        <w:jc w:val="both"/>
      </w:pPr>
      <w:r>
        <w:t>donosi opće akte potrebne za poslovanje Knjižnice uz suglasnost osnivača</w:t>
      </w:r>
    </w:p>
    <w:p w:rsidR="00F57898" w:rsidRDefault="00F57898" w:rsidP="00F57898">
      <w:pPr>
        <w:numPr>
          <w:ilvl w:val="0"/>
          <w:numId w:val="53"/>
        </w:numPr>
        <w:tabs>
          <w:tab w:val="num" w:pos="1494"/>
        </w:tabs>
        <w:spacing w:after="0" w:line="240" w:lineRule="auto"/>
        <w:jc w:val="both"/>
      </w:pPr>
      <w:r>
        <w:t>obavlja sve druge poslove predviđene Zakonom, odlukom o osnivanju i ovim Statutom.</w:t>
      </w:r>
    </w:p>
    <w:p w:rsidR="00F57898" w:rsidRDefault="00F57898" w:rsidP="00F57898">
      <w:pPr>
        <w:ind w:left="1494"/>
        <w:jc w:val="both"/>
      </w:pPr>
    </w:p>
    <w:p w:rsidR="00F57898" w:rsidRDefault="00F57898" w:rsidP="00F57898">
      <w:pPr>
        <w:ind w:left="1140"/>
      </w:pPr>
      <w:r>
        <w:t xml:space="preserve">                                                 Članak 20.</w:t>
      </w:r>
    </w:p>
    <w:p w:rsidR="00F57898" w:rsidRDefault="00F57898" w:rsidP="00F57898">
      <w:pPr>
        <w:ind w:left="1140"/>
      </w:pPr>
    </w:p>
    <w:p w:rsidR="00F57898" w:rsidRDefault="00F57898" w:rsidP="00F57898">
      <w:pPr>
        <w:ind w:left="114" w:firstLine="594"/>
        <w:jc w:val="both"/>
      </w:pPr>
      <w:r>
        <w:t>O obavljanju svoje poslovne funkcije Ravnatelj predstavlja i zastupa Knjižnicu, organizira i provodi poslovnu i stručnu politiku, odgovara na zakonitost rada Knjižnice, te obavlja druge poslovodne funkcije u skladu sa Zakonom i ovim Statutom.</w:t>
      </w:r>
    </w:p>
    <w:p w:rsidR="00F57898" w:rsidRDefault="00F57898" w:rsidP="00F57898">
      <w:pPr>
        <w:ind w:left="114"/>
        <w:jc w:val="both"/>
      </w:pPr>
      <w:r>
        <w:lastRenderedPageBreak/>
        <w:t xml:space="preserve">           Stručne poslove u Knjižnici obavljat će ravnatelj sukladno Statutu. </w:t>
      </w:r>
    </w:p>
    <w:p w:rsidR="00F57898" w:rsidRDefault="00F57898" w:rsidP="00F57898">
      <w:pPr>
        <w:ind w:left="114"/>
        <w:jc w:val="both"/>
      </w:pPr>
    </w:p>
    <w:p w:rsidR="00F57898" w:rsidRDefault="00F57898" w:rsidP="00F57898">
      <w:pPr>
        <w:ind w:left="114"/>
        <w:jc w:val="center"/>
      </w:pPr>
      <w:r>
        <w:t>Članak 21.</w:t>
      </w:r>
    </w:p>
    <w:p w:rsidR="00F57898" w:rsidRDefault="00F57898" w:rsidP="00F57898">
      <w:pPr>
        <w:ind w:left="114"/>
        <w:jc w:val="both"/>
      </w:pPr>
    </w:p>
    <w:p w:rsidR="00F57898" w:rsidRDefault="00F57898" w:rsidP="00F57898">
      <w:pPr>
        <w:ind w:left="114"/>
        <w:jc w:val="both"/>
      </w:pPr>
      <w:r w:rsidRPr="00A47AED">
        <w:t xml:space="preserve">          Ravnateljem </w:t>
      </w:r>
      <w:r>
        <w:t>javne k</w:t>
      </w:r>
      <w:r w:rsidRPr="00A47AED">
        <w:t>njižnice</w:t>
      </w:r>
      <w:r>
        <w:t xml:space="preserve"> kojoj je osnivač ili suosnivač jedinica lokalne i područne (regionalne)</w:t>
      </w:r>
      <w:r w:rsidRPr="00A47AED">
        <w:t xml:space="preserve"> </w:t>
      </w:r>
      <w:r>
        <w:t>samouprave imenuje i razrješuje izvršno tijelo osnivača odnosno izvršna tijela više osnivača sporazumno.</w:t>
      </w:r>
    </w:p>
    <w:p w:rsidR="00F57898" w:rsidRDefault="00F57898" w:rsidP="00F57898">
      <w:pPr>
        <w:ind w:left="114"/>
        <w:jc w:val="both"/>
      </w:pPr>
    </w:p>
    <w:p w:rsidR="00F57898" w:rsidRDefault="00F57898" w:rsidP="00F57898">
      <w:pPr>
        <w:ind w:left="114"/>
        <w:jc w:val="center"/>
      </w:pPr>
      <w:r>
        <w:t>Članak 22.</w:t>
      </w:r>
    </w:p>
    <w:p w:rsidR="00F57898" w:rsidRDefault="00F57898" w:rsidP="00F57898">
      <w:pPr>
        <w:ind w:left="114"/>
        <w:jc w:val="both"/>
      </w:pPr>
    </w:p>
    <w:p w:rsidR="00F57898" w:rsidRDefault="00F57898" w:rsidP="00F57898">
      <w:pPr>
        <w:ind w:left="114" w:firstLine="594"/>
        <w:jc w:val="both"/>
      </w:pPr>
      <w:r>
        <w:t xml:space="preserve"> Ravnatelj knjižnice mora ispunjavati uvjete iz članka 5. Zakona o izmjenama i dopunama Zakona o knjižnicama i knjižničnoj djelatnosti (»Narodne novine« broj 36/2024). </w:t>
      </w:r>
    </w:p>
    <w:p w:rsidR="00F57898" w:rsidRDefault="00F57898" w:rsidP="00F57898">
      <w:pPr>
        <w:ind w:left="114" w:firstLine="594"/>
        <w:jc w:val="both"/>
      </w:pPr>
      <w:r>
        <w:t>Ravnateljem javne knjižnice može se, na temelju predloženog četvero godišnjeg plana rada, imenovati osoba koja ima završen sveučilišni diplomski studij ili sveučilišni integrirani prijediplomski i diplomski studij ili stručni diplomski studij ili s njim izjednačen studij, položen stručni ispit za zvanje knjižničara, najmanje pet godina rada u knjižnici, odlikuje se stručnim, radnim i organizacijskim sposobnostima te ispunjava druge uvjete utvrđene statutom.</w:t>
      </w:r>
    </w:p>
    <w:p w:rsidR="00F57898" w:rsidRDefault="00F57898" w:rsidP="00F57898">
      <w:pPr>
        <w:ind w:left="114" w:firstLine="594"/>
        <w:jc w:val="both"/>
      </w:pPr>
      <w:r>
        <w:t>Iznimno ako se na ponovljeni natječaj ne javi osoba koja ima propisane uvjete za ravnatelja javne knjižnice, može se, na temelju predloženog četverogodišnjeg plana, imenovati osoba koja ima završen sveučilišni diplomski studij ili sveučilišni integrirani prijediplomski i diplomski studij ili stručni diplomski studij ili s njim izjednačen studij, uz uvjet polaganja stručnog ispita za zvanje knjižničara u roku od tri godine od dana imenovanja, te ispunjava druge uvjete utvrđene statutom.</w:t>
      </w:r>
    </w:p>
    <w:p w:rsidR="00F57898" w:rsidRDefault="00F57898" w:rsidP="00F57898">
      <w:pPr>
        <w:ind w:left="114" w:firstLine="594"/>
        <w:jc w:val="both"/>
      </w:pPr>
    </w:p>
    <w:p w:rsidR="00F57898" w:rsidRDefault="00F57898" w:rsidP="00F57898">
      <w:pPr>
        <w:ind w:left="114" w:firstLine="594"/>
        <w:jc w:val="both"/>
      </w:pPr>
      <w:r>
        <w:t xml:space="preserve">Ravnatelja Knjižnice može Osnivač razriješiti dužnosti prije isteka mandata u slučajevima: - ako sam zatraži razrješenje, - ako nastanu razlozi koji dovode do prestanka radnog odnosa, - ako ne postupa po propisima i općim aktima Knjižnice ili postupa protivno njih, - ako svojim nesavjesnim ili nepravilnim radom prouzroči Knjižnici veću štetu ili ako zanemaruje ili nesavjesno obavlja svoje dužnosti, tako da su nastale ili mogu nastati veće smetnje u obavljanju djelatnosti Knjižnice. Prije razrješenja dužnosti, Ravnatelju se mora dati mogućnost da se izjasni o razlozima za razrješenje. </w:t>
      </w:r>
    </w:p>
    <w:p w:rsidR="00F57898" w:rsidRDefault="00F57898" w:rsidP="00F57898">
      <w:pPr>
        <w:ind w:left="114"/>
        <w:jc w:val="both"/>
      </w:pPr>
    </w:p>
    <w:p w:rsidR="00F57898" w:rsidRDefault="00F57898" w:rsidP="00F57898">
      <w:pPr>
        <w:ind w:left="114"/>
        <w:jc w:val="center"/>
      </w:pPr>
      <w:r>
        <w:t>Članak 23.</w:t>
      </w:r>
    </w:p>
    <w:p w:rsidR="00F57898" w:rsidRDefault="00F57898" w:rsidP="00F57898">
      <w:pPr>
        <w:ind w:left="114"/>
        <w:jc w:val="both"/>
      </w:pPr>
    </w:p>
    <w:p w:rsidR="00F57898" w:rsidRPr="00A47AED" w:rsidRDefault="00F57898" w:rsidP="00F57898">
      <w:pPr>
        <w:ind w:left="114"/>
        <w:jc w:val="both"/>
      </w:pPr>
      <w:r>
        <w:t xml:space="preserve"> </w:t>
      </w:r>
      <w:r>
        <w:tab/>
        <w:t xml:space="preserve">Ako se na raspisani natječaj za ravnatelja Knjižnice nitko ne prijavi ili nitko od prijavljenih kandidata ne bude izabran, natječaj će se ponoviti. Do imenovanja ravnatelja na temelju ponovnog natječaja imenovat će se vršitelj dužnosti ravnatelja, ali najduže do godinu dana. </w:t>
      </w:r>
    </w:p>
    <w:p w:rsidR="00F57898" w:rsidRDefault="00F57898" w:rsidP="00F57898">
      <w:pPr>
        <w:ind w:left="114"/>
        <w:jc w:val="center"/>
      </w:pPr>
      <w:r>
        <w:t>Članak 24.</w:t>
      </w:r>
    </w:p>
    <w:p w:rsidR="00F57898" w:rsidRDefault="00F57898" w:rsidP="00F57898">
      <w:pPr>
        <w:ind w:left="114"/>
        <w:jc w:val="center"/>
      </w:pPr>
    </w:p>
    <w:p w:rsidR="00F57898" w:rsidRDefault="00F57898" w:rsidP="00F57898">
      <w:pPr>
        <w:ind w:left="114"/>
        <w:jc w:val="both"/>
      </w:pPr>
      <w:r>
        <w:t xml:space="preserve">           Javni natječaj za imenovanje ravnatelja raspisuje i provodi Općinsko vijeće općine Gornji Bogićevci.</w:t>
      </w:r>
    </w:p>
    <w:p w:rsidR="00F57898" w:rsidRDefault="00F57898" w:rsidP="00F57898">
      <w:pPr>
        <w:ind w:left="114"/>
        <w:jc w:val="both"/>
      </w:pPr>
      <w:r>
        <w:lastRenderedPageBreak/>
        <w:t xml:space="preserve">           Ravnatelja Knjižnice imenuje i razrješava Općinsko vijeće Gornji Bogićevci.</w:t>
      </w:r>
    </w:p>
    <w:p w:rsidR="00F57898" w:rsidRDefault="00F57898" w:rsidP="00F57898">
      <w:pPr>
        <w:ind w:left="114"/>
        <w:jc w:val="both"/>
      </w:pPr>
      <w:r>
        <w:t xml:space="preserve">           Ravnatelj se imenuje na vrijeme od 4 ( četiri ) godine.</w:t>
      </w:r>
    </w:p>
    <w:p w:rsidR="00F57898" w:rsidRDefault="00F57898" w:rsidP="00F57898">
      <w:pPr>
        <w:ind w:left="409" w:firstLine="299"/>
        <w:jc w:val="both"/>
      </w:pPr>
      <w:r>
        <w:t xml:space="preserve"> Ista osoba može biti ponovno imenovana za ravnatelja.</w:t>
      </w:r>
    </w:p>
    <w:p w:rsidR="00F57898" w:rsidRDefault="00F57898" w:rsidP="00F57898">
      <w:pPr>
        <w:ind w:left="114"/>
        <w:jc w:val="both"/>
      </w:pPr>
    </w:p>
    <w:p w:rsidR="00F57898" w:rsidRDefault="00F57898" w:rsidP="00F57898">
      <w:pPr>
        <w:ind w:left="114"/>
        <w:jc w:val="both"/>
      </w:pPr>
    </w:p>
    <w:p w:rsidR="00F57898" w:rsidRPr="00417B7D" w:rsidRDefault="00F57898" w:rsidP="00F57898">
      <w:pPr>
        <w:numPr>
          <w:ilvl w:val="0"/>
          <w:numId w:val="52"/>
        </w:numPr>
        <w:tabs>
          <w:tab w:val="num" w:pos="1003"/>
        </w:tabs>
        <w:spacing w:after="0" w:line="240" w:lineRule="auto"/>
        <w:jc w:val="both"/>
        <w:rPr>
          <w:b/>
          <w:sz w:val="28"/>
          <w:szCs w:val="28"/>
        </w:rPr>
      </w:pPr>
      <w:r w:rsidRPr="00417B7D">
        <w:rPr>
          <w:b/>
          <w:sz w:val="28"/>
          <w:szCs w:val="28"/>
        </w:rPr>
        <w:t>MEĐUSOBNA PRAVA I OBVEZE OSNIVAČA I KNJIŽNICE</w:t>
      </w:r>
    </w:p>
    <w:p w:rsidR="00F57898" w:rsidRDefault="00F57898" w:rsidP="00F57898">
      <w:pPr>
        <w:jc w:val="both"/>
        <w:rPr>
          <w:b/>
        </w:rPr>
      </w:pPr>
    </w:p>
    <w:p w:rsidR="00F57898" w:rsidRDefault="00F57898" w:rsidP="00F57898">
      <w:pPr>
        <w:jc w:val="center"/>
      </w:pPr>
      <w:r>
        <w:t>Članak 25.</w:t>
      </w:r>
    </w:p>
    <w:p w:rsidR="00F57898" w:rsidRDefault="00F57898" w:rsidP="00F57898">
      <w:pPr>
        <w:jc w:val="center"/>
      </w:pPr>
    </w:p>
    <w:p w:rsidR="00F57898" w:rsidRDefault="00F57898" w:rsidP="00F57898">
      <w:pPr>
        <w:jc w:val="both"/>
      </w:pPr>
      <w:r>
        <w:t xml:space="preserve">            Osnivač, preko ravnatelja Knjižnice, kojega imenuje, osigurava poslovanje Knjižnice sukladno ciljevima koji su utvrđeni ovim Statutom i Odlukom o osnivanju Narodne knjižnice i čitaonice Gornji Bogićevci.</w:t>
      </w:r>
    </w:p>
    <w:p w:rsidR="00F57898" w:rsidRDefault="00F57898" w:rsidP="00F57898">
      <w:pPr>
        <w:jc w:val="both"/>
      </w:pPr>
    </w:p>
    <w:p w:rsidR="00F57898" w:rsidRDefault="00F57898" w:rsidP="00F57898">
      <w:pPr>
        <w:jc w:val="center"/>
      </w:pPr>
      <w:r>
        <w:t>Članak 26.</w:t>
      </w:r>
    </w:p>
    <w:p w:rsidR="00F57898" w:rsidRDefault="00F57898" w:rsidP="00F57898">
      <w:pPr>
        <w:jc w:val="center"/>
      </w:pPr>
    </w:p>
    <w:p w:rsidR="00F57898" w:rsidRDefault="00F57898" w:rsidP="00F57898">
      <w:pPr>
        <w:jc w:val="both"/>
      </w:pPr>
      <w:r>
        <w:t xml:space="preserve">            Osnivač, preko svojih nadležnih tijela ima pravo biti izvješten o stanju i radu Knjižnice, te u tom smislu tražiti odgovarajuća izvješća radi poduzimanja odgovarajućih mjera.</w:t>
      </w:r>
    </w:p>
    <w:p w:rsidR="00F57898" w:rsidRDefault="00F57898" w:rsidP="00F57898">
      <w:pPr>
        <w:jc w:val="both"/>
      </w:pPr>
    </w:p>
    <w:p w:rsidR="00F57898" w:rsidRDefault="00F57898" w:rsidP="00F57898">
      <w:pPr>
        <w:jc w:val="both"/>
      </w:pPr>
    </w:p>
    <w:p w:rsidR="00F57898" w:rsidRPr="00417B7D" w:rsidRDefault="00F57898" w:rsidP="00F57898">
      <w:pPr>
        <w:numPr>
          <w:ilvl w:val="0"/>
          <w:numId w:val="52"/>
        </w:numPr>
        <w:tabs>
          <w:tab w:val="num" w:pos="1003"/>
        </w:tabs>
        <w:spacing w:after="0" w:line="240" w:lineRule="auto"/>
        <w:jc w:val="both"/>
        <w:rPr>
          <w:b/>
          <w:sz w:val="28"/>
          <w:szCs w:val="28"/>
        </w:rPr>
      </w:pPr>
      <w:r w:rsidRPr="00417B7D">
        <w:rPr>
          <w:b/>
          <w:sz w:val="28"/>
          <w:szCs w:val="28"/>
        </w:rPr>
        <w:t>OPĆI AKTI KNJIŽNICE</w:t>
      </w:r>
    </w:p>
    <w:p w:rsidR="00F57898" w:rsidRDefault="00F57898" w:rsidP="00F57898">
      <w:pPr>
        <w:jc w:val="both"/>
        <w:rPr>
          <w:b/>
        </w:rPr>
      </w:pPr>
    </w:p>
    <w:p w:rsidR="00F57898" w:rsidRDefault="00F57898" w:rsidP="00F57898">
      <w:pPr>
        <w:jc w:val="center"/>
      </w:pPr>
      <w:r>
        <w:t>Članak 27.</w:t>
      </w:r>
    </w:p>
    <w:p w:rsidR="00F57898" w:rsidRDefault="00F57898" w:rsidP="00F57898">
      <w:pPr>
        <w:jc w:val="center"/>
      </w:pPr>
    </w:p>
    <w:p w:rsidR="00F57898" w:rsidRPr="00A47AED" w:rsidRDefault="00F57898" w:rsidP="00F57898">
      <w:pPr>
        <w:jc w:val="both"/>
      </w:pPr>
      <w:r w:rsidRPr="0057132D">
        <w:rPr>
          <w:b/>
        </w:rPr>
        <w:t xml:space="preserve">    </w:t>
      </w:r>
      <w:r>
        <w:rPr>
          <w:b/>
        </w:rPr>
        <w:tab/>
      </w:r>
      <w:r w:rsidRPr="00A47AED">
        <w:t xml:space="preserve">Opći akti knjižnice su: Statut, Pravilnici i Odluke kojima se </w:t>
      </w:r>
      <w:r>
        <w:t>pobliže utvrđuju ustrojstvo, ovlasti, način odlučivanja pojedinih organa te uređuju druga pitanja od značaja za obavljanje djelatnosti i poslovanja Knjižnice.</w:t>
      </w:r>
      <w:r w:rsidRPr="00A47AED">
        <w:t xml:space="preserve"> odnosi u  Knjižnici.</w:t>
      </w:r>
    </w:p>
    <w:p w:rsidR="00F57898" w:rsidRDefault="00F57898" w:rsidP="00F57898">
      <w:pPr>
        <w:jc w:val="both"/>
      </w:pPr>
      <w:r w:rsidRPr="00A47AED">
        <w:t xml:space="preserve">             Knjižnica ima </w:t>
      </w:r>
      <w:r>
        <w:t>i druge opće akte sukladno zakonu, aktu o osnivanju i Statutu. Ravnatelj knjižnice donosi opće akte, a potvrđuje ih Osnivač.</w:t>
      </w:r>
    </w:p>
    <w:p w:rsidR="00F57898" w:rsidRDefault="00F57898" w:rsidP="00F57898">
      <w:pPr>
        <w:jc w:val="both"/>
      </w:pPr>
      <w:r w:rsidRPr="00A47AED">
        <w:t xml:space="preserve">Statut Knjižnice donosi </w:t>
      </w:r>
      <w:r w:rsidRPr="00F13B54">
        <w:t>ravnatelj uz prethodnu suglasnost Općinskog vijeća Općine Gornji Bogićevci.</w:t>
      </w:r>
    </w:p>
    <w:p w:rsidR="00F57898" w:rsidRDefault="00F57898" w:rsidP="00F57898">
      <w:pPr>
        <w:jc w:val="both"/>
      </w:pPr>
    </w:p>
    <w:p w:rsidR="00F57898" w:rsidRPr="00A47AED" w:rsidRDefault="00F57898" w:rsidP="00F57898">
      <w:pPr>
        <w:jc w:val="center"/>
      </w:pPr>
      <w:r>
        <w:t>Članak 28.</w:t>
      </w:r>
    </w:p>
    <w:p w:rsidR="00F57898" w:rsidRPr="00A47AED" w:rsidRDefault="00F57898" w:rsidP="00F57898">
      <w:pPr>
        <w:jc w:val="both"/>
      </w:pPr>
    </w:p>
    <w:p w:rsidR="00F57898" w:rsidRPr="00924F46" w:rsidRDefault="00F57898" w:rsidP="00F57898">
      <w:pPr>
        <w:numPr>
          <w:ilvl w:val="0"/>
          <w:numId w:val="52"/>
        </w:numPr>
        <w:tabs>
          <w:tab w:val="num" w:pos="1003"/>
        </w:tabs>
        <w:spacing w:after="0" w:line="240" w:lineRule="auto"/>
        <w:jc w:val="both"/>
        <w:rPr>
          <w:b/>
          <w:sz w:val="28"/>
          <w:szCs w:val="28"/>
        </w:rPr>
      </w:pPr>
      <w:r w:rsidRPr="00924F46">
        <w:rPr>
          <w:b/>
          <w:sz w:val="28"/>
          <w:szCs w:val="28"/>
        </w:rPr>
        <w:t>SREDSTVA KNJIŽNICE</w:t>
      </w:r>
      <w:r>
        <w:rPr>
          <w:b/>
          <w:sz w:val="28"/>
          <w:szCs w:val="28"/>
        </w:rPr>
        <w:t xml:space="preserve"> I FINANCIJSKO POSLOVANJE KNJIŽNICE</w:t>
      </w:r>
    </w:p>
    <w:p w:rsidR="00F57898" w:rsidRDefault="00F57898" w:rsidP="00F57898">
      <w:pPr>
        <w:jc w:val="center"/>
      </w:pPr>
      <w:r>
        <w:t>Članak 29.</w:t>
      </w:r>
    </w:p>
    <w:p w:rsidR="00F57898" w:rsidRDefault="00F57898" w:rsidP="00F57898">
      <w:pPr>
        <w:jc w:val="center"/>
      </w:pPr>
    </w:p>
    <w:p w:rsidR="00F57898" w:rsidRDefault="00F57898" w:rsidP="00F57898">
      <w:pPr>
        <w:jc w:val="both"/>
      </w:pPr>
      <w:r>
        <w:t xml:space="preserve">             Sredstva za rad Knjižnice koja osigurava osnivač u Proračunu Općine Gornji Bogićevci uključuju sredstva za plaće, sredstva za nabavu građe, sredstva za programe i projekte, materijalne izdatke, stalno stručno usavršavanje djelatnika, sredstva za zaštitu građe, kao i sredstva za investicije i investicijsko održavanje, ako posebnim zakonom nije drugačije određeno.</w:t>
      </w:r>
    </w:p>
    <w:p w:rsidR="00F57898" w:rsidRDefault="00F57898" w:rsidP="00F57898">
      <w:pPr>
        <w:jc w:val="both"/>
      </w:pPr>
      <w:r>
        <w:t>Sredstva za rad Knjižnice osiguravaju se u proračunu Općine Gornji Bogićevci, a mogu se osigurati i iz prihoda od obavljanja djelatnosti, članarinom, sponzorstvom, darovanjem te pribaviti i iz drugih izvora sukladno Zakonu.</w:t>
      </w:r>
    </w:p>
    <w:p w:rsidR="00F57898" w:rsidRDefault="00F57898" w:rsidP="00F57898">
      <w:pPr>
        <w:jc w:val="both"/>
      </w:pPr>
      <w:r>
        <w:t xml:space="preserve">            Ako u obavljanju svoje djelatnosti Knjižnica ostvari dobit, ta će se dobit isključivo upotrijebiti za obavljanje i razvoj djelatnosti sukladno Odluci o osnivanju Narodne knjižnice i čitaonice „Grigor Vitez“ i Statutu.</w:t>
      </w:r>
    </w:p>
    <w:p w:rsidR="00F57898" w:rsidRDefault="00F57898" w:rsidP="00F57898">
      <w:pPr>
        <w:jc w:val="both"/>
      </w:pPr>
      <w:r>
        <w:t xml:space="preserve">            Za posebne programe Knjižnice sredstva osiguravaju osnivač, Županija Brodsko-posavska, gradovi, općine ili županije na čijem području se takav program realizira, ministarstva u čijem je djelokrugu program koji se ostvaruje, kao i druge pravne i fizičke osobe.</w:t>
      </w:r>
    </w:p>
    <w:p w:rsidR="00F57898" w:rsidRDefault="00F57898" w:rsidP="00F57898">
      <w:pPr>
        <w:jc w:val="both"/>
      </w:pPr>
      <w:r>
        <w:t xml:space="preserve">            Sredstva za obavljanje posebnih zadaća u sklopu hrvatskog knjižničnog sustava osiguravaju se iz državnog proračuna putem Ministarstva kulture i </w:t>
      </w:r>
      <w:r w:rsidRPr="00851FCA">
        <w:t>medija</w:t>
      </w:r>
      <w:r>
        <w:t xml:space="preserve"> i</w:t>
      </w:r>
      <w:r w:rsidRPr="00851FCA">
        <w:t xml:space="preserve"> </w:t>
      </w:r>
      <w:r w:rsidRPr="00CE2A9D">
        <w:t>Ministarstva znanosti i obrazovanja</w:t>
      </w:r>
      <w:r>
        <w:t>.</w:t>
      </w:r>
    </w:p>
    <w:p w:rsidR="00F57898" w:rsidRDefault="00F57898" w:rsidP="00F57898">
      <w:pPr>
        <w:jc w:val="both"/>
      </w:pPr>
      <w:r>
        <w:t xml:space="preserve">             Financijski plan donosi se prije početka godine na koju se odnosi, uz suglasnost osnivača. Nepostojanjem uvjeta za donošenje financijskog plana u propisanom roku i za čitavu godinu, donosi se privremeni plan najdulje za tri mjeseca poslovanja, uz suglasnost osnivača,  ili se primjenjuje raniji financijski plan dok se ne stvore uvjeti za njegovo donošenje.</w:t>
      </w:r>
    </w:p>
    <w:p w:rsidR="00F57898" w:rsidRDefault="00F57898" w:rsidP="00F57898">
      <w:pPr>
        <w:jc w:val="both"/>
      </w:pPr>
    </w:p>
    <w:p w:rsidR="00F57898" w:rsidRDefault="00F57898" w:rsidP="00F57898">
      <w:pPr>
        <w:jc w:val="both"/>
      </w:pPr>
    </w:p>
    <w:p w:rsidR="00F57898" w:rsidRPr="008F2D3B" w:rsidRDefault="00F57898" w:rsidP="00F57898">
      <w:pPr>
        <w:numPr>
          <w:ilvl w:val="0"/>
          <w:numId w:val="52"/>
        </w:numPr>
        <w:tabs>
          <w:tab w:val="num" w:pos="1003"/>
        </w:tabs>
        <w:spacing w:after="0" w:line="240" w:lineRule="auto"/>
        <w:jc w:val="both"/>
        <w:rPr>
          <w:b/>
          <w:sz w:val="28"/>
          <w:szCs w:val="28"/>
        </w:rPr>
      </w:pPr>
      <w:r w:rsidRPr="008F2D3B">
        <w:rPr>
          <w:b/>
          <w:sz w:val="28"/>
          <w:szCs w:val="28"/>
        </w:rPr>
        <w:t>JAVNOST RADA</w:t>
      </w:r>
      <w:r>
        <w:rPr>
          <w:b/>
          <w:sz w:val="28"/>
          <w:szCs w:val="28"/>
        </w:rPr>
        <w:t xml:space="preserve"> KNJIŽNICE</w:t>
      </w:r>
    </w:p>
    <w:p w:rsidR="00F57898" w:rsidRPr="008F2D3B" w:rsidRDefault="00F57898" w:rsidP="00F57898">
      <w:pPr>
        <w:jc w:val="both"/>
        <w:rPr>
          <w:b/>
          <w:sz w:val="28"/>
          <w:szCs w:val="28"/>
        </w:rPr>
      </w:pPr>
    </w:p>
    <w:p w:rsidR="00F57898" w:rsidRDefault="00F57898" w:rsidP="00F57898">
      <w:pPr>
        <w:jc w:val="center"/>
      </w:pPr>
      <w:r>
        <w:t>Članak 30.</w:t>
      </w:r>
    </w:p>
    <w:p w:rsidR="00F57898" w:rsidRDefault="00F57898" w:rsidP="00F57898">
      <w:pPr>
        <w:jc w:val="center"/>
      </w:pPr>
    </w:p>
    <w:p w:rsidR="00F57898" w:rsidRDefault="00F57898" w:rsidP="00F57898">
      <w:pPr>
        <w:jc w:val="both"/>
      </w:pPr>
      <w:r>
        <w:t xml:space="preserve">            Rad Knjižnice je javan.</w:t>
      </w:r>
    </w:p>
    <w:p w:rsidR="00F57898" w:rsidRDefault="00F57898" w:rsidP="00F57898">
      <w:pPr>
        <w:jc w:val="both"/>
      </w:pPr>
      <w:r>
        <w:t xml:space="preserve">            Knjižnica je dužna pravodobno i istinito obavještavati javnost o obavljanju djelatnosti ili dijela djelatnosti za koju je  osnovana,  na način određen Statutom Knjižnice,  koji je sukladan zakonu i aktu o osnivanju.</w:t>
      </w:r>
    </w:p>
    <w:p w:rsidR="00F57898" w:rsidRDefault="00F57898" w:rsidP="00F57898">
      <w:pPr>
        <w:jc w:val="both"/>
      </w:pPr>
      <w:r>
        <w:t xml:space="preserve">             Knjižnica je, s obzirom na karakter svoje djelatnosti, dužna građane, pravne osobe i druge korisnike pravodobno i na pogodan način obavještavati o uvjetima i načinu davanja svojih usluga i obavljanju poslova iz djelatnosti za koju je Knjižnica osnovana.</w:t>
      </w:r>
    </w:p>
    <w:p w:rsidR="00F57898" w:rsidRDefault="00F57898" w:rsidP="00F57898">
      <w:pPr>
        <w:jc w:val="both"/>
      </w:pPr>
      <w:r>
        <w:t xml:space="preserve">             Knjižnica je dužna odmah ili u primjerenom roku dati svakom građaninu, pravnoj osobi i drugom korisniku, na njihov zahtjev, obavještenje o uvjetima i načinu pružanja svojih usluga i obavljanju poslova iz djelatnosti za koju je Knjižnica osnovana, dati mu potrebne podatke i upute.</w:t>
      </w:r>
    </w:p>
    <w:p w:rsidR="00F57898" w:rsidRDefault="00F57898" w:rsidP="00F57898">
      <w:pPr>
        <w:jc w:val="both"/>
      </w:pPr>
    </w:p>
    <w:p w:rsidR="00F57898" w:rsidRDefault="00F57898" w:rsidP="00F57898">
      <w:pPr>
        <w:jc w:val="center"/>
      </w:pPr>
    </w:p>
    <w:p w:rsidR="00F57898" w:rsidRDefault="00F57898" w:rsidP="00F57898">
      <w:pPr>
        <w:jc w:val="center"/>
      </w:pPr>
    </w:p>
    <w:p w:rsidR="00F57898" w:rsidRDefault="00F57898" w:rsidP="00F57898">
      <w:pPr>
        <w:jc w:val="center"/>
      </w:pPr>
      <w:r>
        <w:t>Članak 31.</w:t>
      </w:r>
    </w:p>
    <w:p w:rsidR="00F57898" w:rsidRDefault="00F57898" w:rsidP="00F57898">
      <w:pPr>
        <w:jc w:val="center"/>
      </w:pPr>
    </w:p>
    <w:p w:rsidR="00F57898" w:rsidRDefault="00F57898" w:rsidP="00F57898">
      <w:pPr>
        <w:jc w:val="both"/>
      </w:pPr>
      <w:r>
        <w:t xml:space="preserve">           Knjižnica je dužna u razumnome roku davati sredstvima javnog priopćavanja i informiranja na njihov zahtjev informacije o obavljanju svoje djelatnosti i omogućiti im uvid u odgovarajuću dokumentaciju.</w:t>
      </w:r>
    </w:p>
    <w:p w:rsidR="00F57898" w:rsidRDefault="00F57898" w:rsidP="00F57898">
      <w:pPr>
        <w:jc w:val="both"/>
      </w:pPr>
      <w:r>
        <w:t xml:space="preserve">            Knjižnica će uskratiti davanje informacija, odnosno uvid u dokumentaciju ako je ona zakonom, aktom o osnivanju ili statutom Knjižnice određena kao službena, poslovna, stručna, znanstvena ili umjetnička tajna, te kad se odnosi na osobne podatke fizičkih osoba.</w:t>
      </w:r>
    </w:p>
    <w:p w:rsidR="00F57898" w:rsidRDefault="00F57898" w:rsidP="00F57898">
      <w:pPr>
        <w:jc w:val="both"/>
      </w:pPr>
      <w:r>
        <w:t xml:space="preserve">             Ravnatelj je jedini koji daje informacije i podatke o obavljanju djelatnosti ili uvid u dokumentaciju Knjižnice.</w:t>
      </w:r>
    </w:p>
    <w:p w:rsidR="00F57898" w:rsidRDefault="00F57898" w:rsidP="00F57898">
      <w:pPr>
        <w:jc w:val="both"/>
      </w:pPr>
    </w:p>
    <w:p w:rsidR="00F57898" w:rsidRDefault="00F57898" w:rsidP="00F57898">
      <w:pPr>
        <w:jc w:val="center"/>
      </w:pPr>
      <w:r>
        <w:t>Članak 32.</w:t>
      </w:r>
    </w:p>
    <w:p w:rsidR="00F57898" w:rsidRDefault="00F57898" w:rsidP="00F57898">
      <w:pPr>
        <w:jc w:val="center"/>
      </w:pPr>
    </w:p>
    <w:p w:rsidR="00F57898" w:rsidRDefault="00F57898" w:rsidP="00F57898">
      <w:pPr>
        <w:jc w:val="both"/>
      </w:pPr>
      <w:r>
        <w:t xml:space="preserve">             Kada Knjižnica održava znanstvena, stručna i druga savjetovanja i skupove o pitanjima za koje je javnost zainteresirana,  dužna je sredstva javnog priopćavanja obavijestiti o tome  i  omogućiti im nazočnost.</w:t>
      </w:r>
    </w:p>
    <w:p w:rsidR="00F57898" w:rsidRDefault="00F57898" w:rsidP="00F57898">
      <w:pPr>
        <w:jc w:val="both"/>
      </w:pPr>
    </w:p>
    <w:p w:rsidR="00F57898" w:rsidRPr="0049091D" w:rsidRDefault="00F57898" w:rsidP="00F57898">
      <w:pPr>
        <w:numPr>
          <w:ilvl w:val="0"/>
          <w:numId w:val="52"/>
        </w:numPr>
        <w:tabs>
          <w:tab w:val="num" w:pos="1003"/>
        </w:tabs>
        <w:spacing w:after="0" w:line="240" w:lineRule="auto"/>
        <w:jc w:val="both"/>
        <w:rPr>
          <w:b/>
          <w:sz w:val="28"/>
          <w:szCs w:val="28"/>
        </w:rPr>
      </w:pPr>
      <w:r w:rsidRPr="0049091D">
        <w:rPr>
          <w:b/>
          <w:sz w:val="28"/>
          <w:szCs w:val="28"/>
        </w:rPr>
        <w:t>POSLOVNA TAJNA</w:t>
      </w:r>
      <w:r>
        <w:rPr>
          <w:b/>
          <w:sz w:val="28"/>
          <w:szCs w:val="28"/>
        </w:rPr>
        <w:t xml:space="preserve"> KNJIŽNICE</w:t>
      </w:r>
    </w:p>
    <w:p w:rsidR="00F57898" w:rsidRDefault="00F57898" w:rsidP="00F57898">
      <w:pPr>
        <w:jc w:val="both"/>
        <w:rPr>
          <w:b/>
        </w:rPr>
      </w:pPr>
    </w:p>
    <w:p w:rsidR="00F57898" w:rsidRDefault="00F57898" w:rsidP="00F57898">
      <w:pPr>
        <w:jc w:val="center"/>
      </w:pPr>
      <w:r>
        <w:t>Članak 33.</w:t>
      </w:r>
    </w:p>
    <w:p w:rsidR="00F57898" w:rsidRDefault="00F57898" w:rsidP="00F57898">
      <w:pPr>
        <w:jc w:val="center"/>
      </w:pPr>
    </w:p>
    <w:p w:rsidR="00F57898" w:rsidRDefault="00F57898" w:rsidP="00F57898">
      <w:pPr>
        <w:jc w:val="both"/>
      </w:pPr>
      <w:r>
        <w:t xml:space="preserve">          Poslovna tajna su isprave i podaci čije bi priopćavanje ili davanje na uvid neovlaštenim osobama, bilo suprotno poslovanju ili bi štetilo poslovnome ugledu Knjižnice, ili interesu i ugledu djelatnika Knjižnice.</w:t>
      </w:r>
    </w:p>
    <w:p w:rsidR="00F57898" w:rsidRDefault="00F57898" w:rsidP="00F57898">
      <w:pPr>
        <w:jc w:val="both"/>
      </w:pPr>
      <w:r>
        <w:t xml:space="preserve">           Poslovnu tajnu obvezatni su čuvati svi djelatnici koji na bilo koji način saznaju za ispravu ili podatak koji se smatra poslovnom tajnom.</w:t>
      </w:r>
    </w:p>
    <w:p w:rsidR="00F57898" w:rsidRDefault="00F57898" w:rsidP="00F57898">
      <w:pPr>
        <w:jc w:val="both"/>
      </w:pPr>
      <w:r>
        <w:t xml:space="preserve">            Povreda odredbe ovog Statuta koja se odnosi na poslovnu tajnu je teža povreda radne obveze.</w:t>
      </w:r>
    </w:p>
    <w:p w:rsidR="00F57898" w:rsidRDefault="00F57898" w:rsidP="00F57898">
      <w:pPr>
        <w:jc w:val="both"/>
      </w:pPr>
    </w:p>
    <w:p w:rsidR="00F57898" w:rsidRDefault="00F57898" w:rsidP="00F57898">
      <w:pPr>
        <w:jc w:val="both"/>
      </w:pPr>
    </w:p>
    <w:p w:rsidR="00F57898" w:rsidRDefault="00F57898" w:rsidP="00F57898">
      <w:pPr>
        <w:jc w:val="center"/>
      </w:pPr>
      <w:r>
        <w:t>Članak 34.</w:t>
      </w:r>
    </w:p>
    <w:p w:rsidR="00F57898" w:rsidRDefault="00F57898" w:rsidP="00F57898">
      <w:pPr>
        <w:jc w:val="both"/>
      </w:pPr>
      <w:r>
        <w:t xml:space="preserve">           Poslovnom tajnom smatraju se:</w:t>
      </w:r>
    </w:p>
    <w:p w:rsidR="00F57898" w:rsidRDefault="00F57898" w:rsidP="00F57898">
      <w:pPr>
        <w:jc w:val="both"/>
      </w:pPr>
      <w:r>
        <w:t>-dokumenti koje ravnatelj proglasi poslovnom tajnom, sukladno Zakonu i općim aktima</w:t>
      </w:r>
    </w:p>
    <w:p w:rsidR="00F57898" w:rsidRDefault="00F57898" w:rsidP="00F57898">
      <w:pPr>
        <w:jc w:val="both"/>
      </w:pPr>
      <w:r>
        <w:t>-podaci koje nadležni organ državne uprave kao povjerljiv dostavi Knjižnici</w:t>
      </w:r>
    </w:p>
    <w:p w:rsidR="00F57898" w:rsidRDefault="00F57898" w:rsidP="00F57898">
      <w:pPr>
        <w:jc w:val="both"/>
      </w:pPr>
      <w:r>
        <w:t>-mjere i načini postupanja u slučaju izvanrednih okolnosti</w:t>
      </w:r>
    </w:p>
    <w:p w:rsidR="00F57898" w:rsidRDefault="00F57898" w:rsidP="00F57898">
      <w:pPr>
        <w:jc w:val="both"/>
      </w:pPr>
      <w:r>
        <w:t>-plan fizičko-tehničkog osiguranja fonda, objekta i imovine Knjižnice,</w:t>
      </w:r>
    </w:p>
    <w:p w:rsidR="00F57898" w:rsidRDefault="00F57898" w:rsidP="00F57898">
      <w:pPr>
        <w:jc w:val="both"/>
      </w:pPr>
      <w:r>
        <w:lastRenderedPageBreak/>
        <w:t>-druge isprave i podaci koji su Zakonom i općim aktima utvrđeni kao poslovna tajna.</w:t>
      </w:r>
    </w:p>
    <w:p w:rsidR="00F57898" w:rsidRDefault="00F57898" w:rsidP="00F57898">
      <w:pPr>
        <w:jc w:val="both"/>
      </w:pPr>
    </w:p>
    <w:p w:rsidR="00F57898" w:rsidRDefault="00F57898" w:rsidP="00F57898">
      <w:pPr>
        <w:jc w:val="both"/>
      </w:pPr>
      <w:r>
        <w:t xml:space="preserve">           O čuvanju poslovne tajne neposredno skrbi ravnatelj.</w:t>
      </w:r>
    </w:p>
    <w:p w:rsidR="00F57898" w:rsidRDefault="00F57898" w:rsidP="00F57898">
      <w:pPr>
        <w:jc w:val="both"/>
      </w:pPr>
    </w:p>
    <w:p w:rsidR="00F57898" w:rsidRDefault="00F57898" w:rsidP="00F57898">
      <w:pPr>
        <w:jc w:val="both"/>
      </w:pPr>
    </w:p>
    <w:p w:rsidR="00F57898" w:rsidRPr="00110129" w:rsidRDefault="00F57898" w:rsidP="00F57898">
      <w:pPr>
        <w:numPr>
          <w:ilvl w:val="0"/>
          <w:numId w:val="52"/>
        </w:numPr>
        <w:tabs>
          <w:tab w:val="num" w:pos="1003"/>
        </w:tabs>
        <w:spacing w:after="0" w:line="240" w:lineRule="auto"/>
        <w:jc w:val="both"/>
        <w:rPr>
          <w:b/>
          <w:sz w:val="28"/>
          <w:szCs w:val="28"/>
        </w:rPr>
      </w:pPr>
      <w:r w:rsidRPr="00110129">
        <w:rPr>
          <w:b/>
          <w:sz w:val="28"/>
          <w:szCs w:val="28"/>
        </w:rPr>
        <w:t>NADZOR NAD KNJIŽNICOM</w:t>
      </w:r>
    </w:p>
    <w:p w:rsidR="00F57898" w:rsidRPr="00110129" w:rsidRDefault="00F57898" w:rsidP="00F57898">
      <w:pPr>
        <w:jc w:val="both"/>
        <w:rPr>
          <w:b/>
          <w:sz w:val="28"/>
          <w:szCs w:val="28"/>
        </w:rPr>
      </w:pPr>
    </w:p>
    <w:p w:rsidR="00F57898" w:rsidRDefault="00F57898" w:rsidP="00F57898">
      <w:pPr>
        <w:jc w:val="center"/>
      </w:pPr>
      <w:r>
        <w:t>Članak 35.</w:t>
      </w:r>
    </w:p>
    <w:p w:rsidR="00F57898" w:rsidRDefault="00F57898" w:rsidP="00F57898">
      <w:pPr>
        <w:jc w:val="center"/>
      </w:pPr>
    </w:p>
    <w:p w:rsidR="00F57898" w:rsidRPr="006227F9" w:rsidRDefault="00F57898" w:rsidP="00F57898">
      <w:pPr>
        <w:jc w:val="both"/>
      </w:pPr>
      <w:r w:rsidRPr="00BE01C9">
        <w:rPr>
          <w:b/>
        </w:rPr>
        <w:t xml:space="preserve">                </w:t>
      </w:r>
      <w:r w:rsidRPr="006227F9">
        <w:t xml:space="preserve">Stručni nadzor nad radom Knjižnice obavlja nadležna </w:t>
      </w:r>
      <w:r>
        <w:t>M</w:t>
      </w:r>
      <w:r w:rsidRPr="006227F9">
        <w:t>atična knjižnica na način propisan Pravilnikom o matičnoj djelatnosti.</w:t>
      </w:r>
    </w:p>
    <w:p w:rsidR="00F57898" w:rsidRDefault="00F57898" w:rsidP="00F57898">
      <w:pPr>
        <w:jc w:val="both"/>
      </w:pPr>
      <w:r w:rsidRPr="00BE01C9">
        <w:rPr>
          <w:b/>
        </w:rPr>
        <w:t xml:space="preserve">                </w:t>
      </w:r>
      <w:r w:rsidRPr="00F13B54">
        <w:t>Nadzor nad zakonitošću rada i općih akata Knjižnice obavlja ministarstvo nadležno za poslove kulture za narodne Knjižnice.</w:t>
      </w:r>
    </w:p>
    <w:p w:rsidR="00F57898" w:rsidRPr="00A47AED" w:rsidRDefault="00F57898" w:rsidP="00F57898">
      <w:pPr>
        <w:jc w:val="both"/>
      </w:pPr>
    </w:p>
    <w:p w:rsidR="00F57898" w:rsidRPr="00907449" w:rsidRDefault="00F57898" w:rsidP="00F57898">
      <w:pPr>
        <w:numPr>
          <w:ilvl w:val="0"/>
          <w:numId w:val="52"/>
        </w:numPr>
        <w:tabs>
          <w:tab w:val="num" w:pos="1003"/>
        </w:tabs>
        <w:spacing w:after="0" w:line="240" w:lineRule="auto"/>
        <w:jc w:val="both"/>
        <w:rPr>
          <w:b/>
          <w:sz w:val="28"/>
          <w:szCs w:val="28"/>
        </w:rPr>
      </w:pPr>
      <w:r w:rsidRPr="00907449">
        <w:rPr>
          <w:b/>
          <w:sz w:val="28"/>
          <w:szCs w:val="28"/>
        </w:rPr>
        <w:t>STATUSNE PROMJENE I UDRUŽIVANJE</w:t>
      </w:r>
    </w:p>
    <w:p w:rsidR="00F57898" w:rsidRDefault="00F57898" w:rsidP="00F57898">
      <w:pPr>
        <w:jc w:val="both"/>
        <w:rPr>
          <w:b/>
        </w:rPr>
      </w:pPr>
    </w:p>
    <w:p w:rsidR="00F57898" w:rsidRDefault="00F57898" w:rsidP="00F57898">
      <w:pPr>
        <w:jc w:val="center"/>
      </w:pPr>
      <w:r>
        <w:t>Članak 36.</w:t>
      </w:r>
    </w:p>
    <w:p w:rsidR="00F57898" w:rsidRDefault="00F57898" w:rsidP="00F57898">
      <w:pPr>
        <w:jc w:val="center"/>
      </w:pPr>
    </w:p>
    <w:p w:rsidR="00F57898" w:rsidRDefault="00F57898" w:rsidP="00F57898">
      <w:pPr>
        <w:jc w:val="both"/>
      </w:pPr>
      <w:r>
        <w:t xml:space="preserve">              Knjižnica se može pripojiti drugoj knjižnici ili se dvije ili više Knjižnica mogu spojiti u novu Knjižnicu temeljem posebne odluke Općinskog vijeća Gornji Bogićevci.</w:t>
      </w:r>
    </w:p>
    <w:p w:rsidR="00F57898" w:rsidRDefault="00F57898" w:rsidP="00F57898">
      <w:pPr>
        <w:jc w:val="both"/>
      </w:pPr>
      <w:r>
        <w:t xml:space="preserve">                   </w:t>
      </w:r>
    </w:p>
    <w:p w:rsidR="00F57898" w:rsidRDefault="00F57898" w:rsidP="00F57898">
      <w:pPr>
        <w:jc w:val="both"/>
      </w:pPr>
    </w:p>
    <w:p w:rsidR="00F57898" w:rsidRDefault="00F57898" w:rsidP="00F57898">
      <w:pPr>
        <w:jc w:val="center"/>
      </w:pPr>
      <w:r>
        <w:t>Članak 37.</w:t>
      </w:r>
    </w:p>
    <w:p w:rsidR="00F57898" w:rsidRDefault="00F57898" w:rsidP="00F57898">
      <w:pPr>
        <w:jc w:val="center"/>
      </w:pPr>
    </w:p>
    <w:p w:rsidR="00F57898" w:rsidRDefault="00F57898" w:rsidP="00F57898">
      <w:pPr>
        <w:jc w:val="both"/>
      </w:pPr>
      <w:r>
        <w:t xml:space="preserve">             Odluku o statusnim promjenama i prestanku rada Knjižnice Općinsko vijeće Općine Gornji Bogićevci može donijeti samo uz prethodnu suglasnost ministra kulture i </w:t>
      </w:r>
      <w:r w:rsidRPr="00171BFD">
        <w:t>medija.</w:t>
      </w:r>
    </w:p>
    <w:p w:rsidR="00F57898" w:rsidRDefault="00F57898" w:rsidP="00F57898">
      <w:pPr>
        <w:jc w:val="both"/>
      </w:pPr>
      <w:r>
        <w:t xml:space="preserve">             Nad Knjižnicom se može provesti stečaj sukladno propisima o stečaju. Ostatak likvidacijske, odnosno stečajne mase pripast će Općini Gornji Bogićevci, kao osnivaču Knjižnice.</w:t>
      </w:r>
    </w:p>
    <w:p w:rsidR="00F57898" w:rsidRDefault="00F57898" w:rsidP="00F57898">
      <w:pPr>
        <w:jc w:val="both"/>
        <w:rPr>
          <w:b/>
        </w:rPr>
      </w:pPr>
    </w:p>
    <w:p w:rsidR="00F57898" w:rsidRDefault="00F57898" w:rsidP="00F57898">
      <w:pPr>
        <w:jc w:val="both"/>
        <w:rPr>
          <w:b/>
        </w:rPr>
      </w:pPr>
    </w:p>
    <w:p w:rsidR="00F57898" w:rsidRPr="00907449" w:rsidRDefault="00F57898" w:rsidP="00F57898">
      <w:pPr>
        <w:numPr>
          <w:ilvl w:val="0"/>
          <w:numId w:val="52"/>
        </w:numPr>
        <w:tabs>
          <w:tab w:val="num" w:pos="1003"/>
        </w:tabs>
        <w:spacing w:after="0" w:line="240" w:lineRule="auto"/>
        <w:jc w:val="both"/>
        <w:rPr>
          <w:b/>
          <w:sz w:val="28"/>
          <w:szCs w:val="28"/>
        </w:rPr>
      </w:pPr>
      <w:r w:rsidRPr="00907449">
        <w:rPr>
          <w:b/>
          <w:sz w:val="28"/>
          <w:szCs w:val="28"/>
        </w:rPr>
        <w:t>PRIJELAZNE I ZAVRŠNE ODREDBE</w:t>
      </w:r>
    </w:p>
    <w:p w:rsidR="00F57898" w:rsidRDefault="00F57898" w:rsidP="00F57898">
      <w:pPr>
        <w:ind w:left="1020"/>
        <w:jc w:val="center"/>
      </w:pPr>
    </w:p>
    <w:p w:rsidR="00F57898" w:rsidRDefault="00F57898" w:rsidP="00F57898">
      <w:pPr>
        <w:ind w:left="1020"/>
      </w:pPr>
      <w:r>
        <w:t xml:space="preserve">                                                  Članak 38.</w:t>
      </w:r>
    </w:p>
    <w:p w:rsidR="00F57898" w:rsidRDefault="00F57898" w:rsidP="00F57898">
      <w:pPr>
        <w:ind w:left="1020"/>
        <w:jc w:val="center"/>
      </w:pPr>
    </w:p>
    <w:p w:rsidR="00F57898" w:rsidRDefault="00F57898" w:rsidP="00F57898">
      <w:pPr>
        <w:ind w:firstLine="114"/>
        <w:jc w:val="both"/>
      </w:pPr>
      <w:r>
        <w:t xml:space="preserve">         Statut Knjižnice stupa na snagu osmog dana od dana objave u Službenom glasniku Općine Gornji Bogićevci.</w:t>
      </w:r>
    </w:p>
    <w:p w:rsidR="00F57898" w:rsidRDefault="00F57898" w:rsidP="00F57898">
      <w:pPr>
        <w:ind w:left="114"/>
      </w:pPr>
    </w:p>
    <w:p w:rsidR="00F57898" w:rsidRDefault="00F57898" w:rsidP="00F57898">
      <w:pPr>
        <w:ind w:left="114"/>
        <w:jc w:val="center"/>
      </w:pPr>
      <w:r>
        <w:t>Članak 39.</w:t>
      </w:r>
    </w:p>
    <w:p w:rsidR="00F57898" w:rsidRDefault="00F57898" w:rsidP="00F57898">
      <w:pPr>
        <w:ind w:left="114"/>
        <w:jc w:val="center"/>
      </w:pPr>
    </w:p>
    <w:p w:rsidR="00F57898" w:rsidRDefault="00F57898" w:rsidP="00F57898">
      <w:pPr>
        <w:ind w:left="114"/>
        <w:jc w:val="both"/>
      </w:pPr>
      <w:r>
        <w:t xml:space="preserve">          Opće akte Knjižnice ravnatelj je dužan donijeti u roku od devedeset dana od dana stupanja na snagu Statuta i dostaviti ih osnivaču na suglasnost.</w:t>
      </w:r>
    </w:p>
    <w:p w:rsidR="00F57898" w:rsidRDefault="00F57898" w:rsidP="00F57898">
      <w:pPr>
        <w:ind w:left="114"/>
        <w:jc w:val="both"/>
      </w:pPr>
    </w:p>
    <w:p w:rsidR="00F57898" w:rsidRDefault="00F57898" w:rsidP="00F57898">
      <w:pPr>
        <w:ind w:left="114"/>
        <w:jc w:val="both"/>
      </w:pPr>
      <w:r>
        <w:t xml:space="preserve">                                                                  Članak 40.</w:t>
      </w:r>
    </w:p>
    <w:p w:rsidR="00F57898" w:rsidRDefault="00F57898" w:rsidP="00F57898">
      <w:pPr>
        <w:ind w:left="114"/>
        <w:jc w:val="both"/>
      </w:pPr>
      <w:r>
        <w:t xml:space="preserve">    </w:t>
      </w:r>
    </w:p>
    <w:p w:rsidR="00F57898" w:rsidRDefault="00F57898" w:rsidP="00F57898">
      <w:pPr>
        <w:ind w:left="114"/>
        <w:jc w:val="both"/>
      </w:pPr>
      <w:r>
        <w:t xml:space="preserve">           Stupanjem na snagu ovoga Statuta stavlja se izvan snage Statut Narodne knjižnice i čitaonice „Grigor Vitez“ Gornji Bogićevci </w:t>
      </w:r>
      <w:r w:rsidRPr="000C6C25">
        <w:t xml:space="preserve">od </w:t>
      </w:r>
      <w:r w:rsidRPr="00E67BD5">
        <w:t>14.05.2007. godine.</w:t>
      </w:r>
    </w:p>
    <w:p w:rsidR="00F57898" w:rsidRDefault="00F57898" w:rsidP="00F57898">
      <w:pPr>
        <w:ind w:left="114"/>
        <w:jc w:val="both"/>
      </w:pPr>
    </w:p>
    <w:p w:rsidR="00F57898" w:rsidRDefault="00F57898" w:rsidP="00F57898">
      <w:pPr>
        <w:jc w:val="both"/>
      </w:pPr>
    </w:p>
    <w:p w:rsidR="00F57898" w:rsidRDefault="00F57898" w:rsidP="00F57898">
      <w:pPr>
        <w:pStyle w:val="Standard"/>
      </w:pPr>
      <w:r>
        <w:tab/>
      </w:r>
      <w:r>
        <w:tab/>
      </w:r>
      <w:r>
        <w:tab/>
      </w:r>
      <w:r>
        <w:tab/>
      </w:r>
      <w:r>
        <w:tab/>
      </w:r>
      <w:r>
        <w:tab/>
      </w:r>
      <w:r>
        <w:tab/>
      </w:r>
      <w:r>
        <w:tab/>
      </w:r>
    </w:p>
    <w:p w:rsidR="00F57898" w:rsidRDefault="00F57898" w:rsidP="00F57898">
      <w:pPr>
        <w:ind w:left="114"/>
        <w:jc w:val="both"/>
      </w:pPr>
      <w:r>
        <w:t>Klasa: 011-01/25-01/1</w:t>
      </w:r>
    </w:p>
    <w:p w:rsidR="00F57898" w:rsidRDefault="00F57898" w:rsidP="00F57898">
      <w:pPr>
        <w:ind w:left="114"/>
        <w:jc w:val="both"/>
      </w:pPr>
      <w:r>
        <w:t>Urbroj: 2178-22-01-25-1</w:t>
      </w:r>
    </w:p>
    <w:p w:rsidR="00F57898" w:rsidRDefault="00F57898" w:rsidP="00F57898">
      <w:pPr>
        <w:jc w:val="both"/>
      </w:pPr>
      <w:r>
        <w:t xml:space="preserve">          </w:t>
      </w:r>
    </w:p>
    <w:p w:rsidR="00F57898" w:rsidRDefault="00F57898" w:rsidP="00F57898">
      <w:pPr>
        <w:ind w:left="114"/>
        <w:jc w:val="both"/>
      </w:pPr>
      <w:r>
        <w:t>U Gornjim Bogićevcima, 22. prosinca 2025. god</w:t>
      </w:r>
    </w:p>
    <w:p w:rsidR="00F57898" w:rsidRDefault="00F57898" w:rsidP="00F57898">
      <w:pPr>
        <w:ind w:left="114"/>
        <w:jc w:val="both"/>
      </w:pPr>
    </w:p>
    <w:p w:rsidR="00F57898" w:rsidRDefault="00F57898" w:rsidP="00F57898">
      <w:pPr>
        <w:jc w:val="both"/>
      </w:pPr>
    </w:p>
    <w:p w:rsidR="00F57898" w:rsidRDefault="00F57898" w:rsidP="00F57898">
      <w:pPr>
        <w:jc w:val="both"/>
      </w:pPr>
      <w:r>
        <w:t xml:space="preserve">                                              </w:t>
      </w:r>
    </w:p>
    <w:p w:rsidR="00F57898" w:rsidRDefault="00F57898" w:rsidP="00F57898">
      <w:pPr>
        <w:ind w:left="114"/>
        <w:jc w:val="both"/>
      </w:pPr>
      <w:r>
        <w:t xml:space="preserve">                                                                                                         V.D. RAVNATELJ: </w:t>
      </w:r>
    </w:p>
    <w:p w:rsidR="00F57898" w:rsidRDefault="00F57898" w:rsidP="00F57898">
      <w:pPr>
        <w:ind w:left="114"/>
        <w:jc w:val="both"/>
      </w:pPr>
      <w:r>
        <w:t xml:space="preserve">                                                                                                Aleksandra Zdunić, dipl.ing.agr.  </w:t>
      </w:r>
    </w:p>
    <w:p w:rsidR="00F57898" w:rsidRDefault="00F57898" w:rsidP="00F57898">
      <w:pPr>
        <w:ind w:left="114"/>
        <w:jc w:val="both"/>
      </w:pPr>
      <w:r>
        <w:t xml:space="preserve"> </w:t>
      </w:r>
    </w:p>
    <w:p w:rsidR="00F57898" w:rsidRDefault="00F57898" w:rsidP="00F57898">
      <w:pPr>
        <w:ind w:left="114"/>
        <w:jc w:val="both"/>
      </w:pPr>
      <w:r>
        <w:t xml:space="preserve">                             </w:t>
      </w:r>
    </w:p>
    <w:p w:rsidR="00F57898" w:rsidRDefault="00F57898" w:rsidP="00F57898">
      <w:pPr>
        <w:ind w:left="114"/>
        <w:jc w:val="both"/>
      </w:pPr>
      <w:r>
        <w:t xml:space="preserve">                                                                                                                         </w:t>
      </w:r>
    </w:p>
    <w:p w:rsidR="009E4D5A" w:rsidRDefault="009E4D5A" w:rsidP="009E4D5A">
      <w:pPr>
        <w:ind w:left="114"/>
        <w:jc w:val="both"/>
      </w:pPr>
    </w:p>
    <w:p w:rsidR="009E4D5A" w:rsidRDefault="009E4D5A" w:rsidP="009E4D5A">
      <w:pPr>
        <w:jc w:val="both"/>
      </w:pPr>
      <w:r>
        <w:t xml:space="preserve">                                              </w:t>
      </w:r>
    </w:p>
    <w:p w:rsidR="009E4D5A" w:rsidRDefault="009E4D5A" w:rsidP="00F57898">
      <w:pPr>
        <w:ind w:left="114"/>
        <w:jc w:val="both"/>
      </w:pPr>
    </w:p>
    <w:p w:rsidR="00F57898" w:rsidRPr="00F57898" w:rsidRDefault="00F57898" w:rsidP="00F57898">
      <w:pPr>
        <w:ind w:left="114"/>
        <w:jc w:val="both"/>
      </w:pPr>
    </w:p>
    <w:p w:rsidR="009E4D5A" w:rsidRPr="009E4D5A" w:rsidRDefault="009E4D5A" w:rsidP="009E4D5A">
      <w:pPr>
        <w:pStyle w:val="Bezproreda"/>
        <w:rPr>
          <w:rFonts w:ascii="Times New Roman" w:hAnsi="Times New Roman" w:cs="Times New Roman"/>
          <w:b/>
          <w:bCs/>
          <w:sz w:val="24"/>
          <w:szCs w:val="24"/>
        </w:rPr>
      </w:pPr>
      <w:r w:rsidRPr="009E4D5A">
        <w:rPr>
          <w:rFonts w:ascii="Times New Roman" w:hAnsi="Times New Roman" w:cs="Times New Roman"/>
          <w:b/>
          <w:bCs/>
          <w:sz w:val="24"/>
          <w:szCs w:val="24"/>
        </w:rPr>
        <w:lastRenderedPageBreak/>
        <w:t xml:space="preserve">46. Financijski plan rada Vijeća srpske nacionalne manjine za 2026. godinu </w:t>
      </w:r>
    </w:p>
    <w:p w:rsidR="009E4D5A" w:rsidRDefault="009E4D5A" w:rsidP="00777ABF">
      <w:pPr>
        <w:spacing w:line="360" w:lineRule="auto"/>
        <w:rPr>
          <w:rFonts w:ascii="Times New Roman" w:hAnsi="Times New Roman" w:cs="Times New Roman"/>
          <w:b/>
          <w:bCs/>
          <w:sz w:val="24"/>
          <w:szCs w:val="24"/>
        </w:rPr>
      </w:pP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 xml:space="preserve">Plan rada Vijeća srpske nacionalne manjine općine Gornji Bogićevci </w:t>
      </w: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za 2026. godinu</w:t>
      </w: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Za 2026. godinu Vijeće srpske nacionalne manjine planira slijedeće aktivnosti :</w:t>
      </w:r>
      <w:r w:rsidRPr="005C1E80">
        <w:rPr>
          <w:rFonts w:ascii="Times New Roman" w:hAnsi="Times New Roman" w:cs="Times New Roman"/>
          <w:b/>
          <w:bCs/>
          <w:sz w:val="24"/>
          <w:szCs w:val="24"/>
        </w:rPr>
        <w:tab/>
      </w:r>
    </w:p>
    <w:p w:rsidR="005C1E80" w:rsidRPr="005C1E80" w:rsidRDefault="005C1E80" w:rsidP="005C1E80">
      <w:pPr>
        <w:spacing w:after="0" w:line="360" w:lineRule="auto"/>
        <w:rPr>
          <w:rFonts w:ascii="Times New Roman" w:hAnsi="Times New Roman" w:cs="Times New Roman"/>
          <w:b/>
          <w:bCs/>
          <w:sz w:val="24"/>
          <w:szCs w:val="24"/>
        </w:rPr>
      </w:pPr>
      <w:r w:rsidRPr="005C1E80">
        <w:rPr>
          <w:rFonts w:ascii="Times New Roman" w:hAnsi="Times New Roman" w:cs="Times New Roman"/>
          <w:b/>
          <w:bCs/>
          <w:sz w:val="24"/>
          <w:szCs w:val="24"/>
        </w:rPr>
        <w:t>a ) trošak održavanja sjednica</w:t>
      </w:r>
      <w:r w:rsidRPr="005C1E80">
        <w:rPr>
          <w:rFonts w:ascii="Times New Roman" w:hAnsi="Times New Roman" w:cs="Times New Roman"/>
          <w:b/>
          <w:bCs/>
          <w:sz w:val="24"/>
          <w:szCs w:val="24"/>
        </w:rPr>
        <w:tab/>
      </w:r>
    </w:p>
    <w:p w:rsidR="005C1E80" w:rsidRPr="005C1E80" w:rsidRDefault="005C1E80" w:rsidP="005C1E80">
      <w:pPr>
        <w:spacing w:after="0" w:line="360" w:lineRule="auto"/>
        <w:rPr>
          <w:rFonts w:ascii="Times New Roman" w:hAnsi="Times New Roman" w:cs="Times New Roman"/>
          <w:b/>
          <w:bCs/>
          <w:sz w:val="24"/>
          <w:szCs w:val="24"/>
        </w:rPr>
      </w:pPr>
      <w:r w:rsidRPr="005C1E80">
        <w:rPr>
          <w:rFonts w:ascii="Times New Roman" w:hAnsi="Times New Roman" w:cs="Times New Roman"/>
          <w:b/>
          <w:bCs/>
          <w:sz w:val="24"/>
          <w:szCs w:val="24"/>
        </w:rPr>
        <w:t>b ) obilježavanje slave</w:t>
      </w:r>
      <w:r w:rsidRPr="005C1E80">
        <w:rPr>
          <w:rFonts w:ascii="Times New Roman" w:hAnsi="Times New Roman" w:cs="Times New Roman"/>
          <w:b/>
          <w:bCs/>
          <w:sz w:val="24"/>
          <w:szCs w:val="24"/>
        </w:rPr>
        <w:tab/>
      </w:r>
    </w:p>
    <w:p w:rsidR="005C1E80" w:rsidRPr="005C1E80" w:rsidRDefault="005C1E80" w:rsidP="005C1E80">
      <w:pPr>
        <w:spacing w:after="0" w:line="360" w:lineRule="auto"/>
        <w:rPr>
          <w:rFonts w:ascii="Times New Roman" w:hAnsi="Times New Roman" w:cs="Times New Roman"/>
          <w:b/>
          <w:bCs/>
          <w:sz w:val="24"/>
          <w:szCs w:val="24"/>
        </w:rPr>
      </w:pPr>
      <w:r w:rsidRPr="005C1E80">
        <w:rPr>
          <w:rFonts w:ascii="Times New Roman" w:hAnsi="Times New Roman" w:cs="Times New Roman"/>
          <w:b/>
          <w:bCs/>
          <w:sz w:val="24"/>
          <w:szCs w:val="24"/>
        </w:rPr>
        <w:t>c) završetak izgradnje spomenika</w:t>
      </w: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Plan prihoda :</w:t>
      </w: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ab/>
        <w:t>EUR</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Prijenos sredstava sa žiro -računa  iz 2025.</w:t>
      </w:r>
      <w:r w:rsidRPr="005C1E80">
        <w:rPr>
          <w:rFonts w:ascii="Times New Roman" w:hAnsi="Times New Roman" w:cs="Times New Roman"/>
          <w:b/>
          <w:bCs/>
          <w:sz w:val="24"/>
          <w:szCs w:val="24"/>
        </w:rPr>
        <w:tab/>
        <w:t>200,00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Dotacija Općinskog proračuna</w:t>
      </w:r>
      <w:r w:rsidRPr="005C1E80">
        <w:rPr>
          <w:rFonts w:ascii="Times New Roman" w:hAnsi="Times New Roman" w:cs="Times New Roman"/>
          <w:b/>
          <w:bCs/>
          <w:sz w:val="24"/>
          <w:szCs w:val="24"/>
        </w:rPr>
        <w:tab/>
        <w:t>2.000,00</w:t>
      </w:r>
    </w:p>
    <w:p w:rsid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 xml:space="preserve">Ukupno planirani prihodi : </w:t>
      </w:r>
      <w:r w:rsidRPr="005C1E80">
        <w:rPr>
          <w:rFonts w:ascii="Times New Roman" w:hAnsi="Times New Roman" w:cs="Times New Roman"/>
          <w:b/>
          <w:bCs/>
          <w:sz w:val="24"/>
          <w:szCs w:val="24"/>
        </w:rPr>
        <w:tab/>
        <w:t>2.200,00</w:t>
      </w:r>
    </w:p>
    <w:p w:rsidR="005C1E80" w:rsidRPr="005C1E80" w:rsidRDefault="005C1E80" w:rsidP="005C1E80">
      <w:pPr>
        <w:spacing w:line="360" w:lineRule="auto"/>
        <w:rPr>
          <w:rFonts w:ascii="Times New Roman" w:hAnsi="Times New Roman" w:cs="Times New Roman"/>
          <w:b/>
          <w:bCs/>
          <w:sz w:val="24"/>
          <w:szCs w:val="24"/>
        </w:rPr>
      </w:pP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 xml:space="preserve">Plan rashoda : </w:t>
      </w: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ab/>
        <w:t>EUR</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Troškovi održavanja sjednica</w:t>
      </w:r>
      <w:r w:rsidRPr="005C1E80">
        <w:rPr>
          <w:rFonts w:ascii="Times New Roman" w:hAnsi="Times New Roman" w:cs="Times New Roman"/>
          <w:b/>
          <w:bCs/>
          <w:sz w:val="24"/>
          <w:szCs w:val="24"/>
        </w:rPr>
        <w:tab/>
        <w:t>300,00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Reprezentacija (obilježavanje slave)</w:t>
      </w:r>
      <w:r w:rsidRPr="005C1E80">
        <w:rPr>
          <w:rFonts w:ascii="Times New Roman" w:hAnsi="Times New Roman" w:cs="Times New Roman"/>
          <w:b/>
          <w:bCs/>
          <w:sz w:val="24"/>
          <w:szCs w:val="24"/>
        </w:rPr>
        <w:tab/>
        <w:t>300,00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 xml:space="preserve">Uredski materijal </w:t>
      </w:r>
      <w:r w:rsidRPr="005C1E80">
        <w:rPr>
          <w:rFonts w:ascii="Times New Roman" w:hAnsi="Times New Roman" w:cs="Times New Roman"/>
          <w:b/>
          <w:bCs/>
          <w:sz w:val="24"/>
          <w:szCs w:val="24"/>
        </w:rPr>
        <w:tab/>
        <w:t>100,00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Trošak banke i Fine</w:t>
      </w:r>
      <w:r w:rsidRPr="005C1E80">
        <w:rPr>
          <w:rFonts w:ascii="Times New Roman" w:hAnsi="Times New Roman" w:cs="Times New Roman"/>
          <w:b/>
          <w:bCs/>
          <w:sz w:val="24"/>
          <w:szCs w:val="24"/>
        </w:rPr>
        <w:tab/>
        <w:t>250,00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Završetak izgradnje spomenika</w:t>
      </w:r>
      <w:r w:rsidRPr="005C1E80">
        <w:rPr>
          <w:rFonts w:ascii="Times New Roman" w:hAnsi="Times New Roman" w:cs="Times New Roman"/>
          <w:b/>
          <w:bCs/>
          <w:sz w:val="24"/>
          <w:szCs w:val="24"/>
        </w:rPr>
        <w:tab/>
        <w:t>1.250,00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 xml:space="preserve">Ukupno planirani rashodi : </w:t>
      </w: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ab/>
        <w:t>2.200,00</w:t>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ab/>
      </w:r>
    </w:p>
    <w:p w:rsidR="005C1E80" w:rsidRPr="005C1E80"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ab/>
        <w:t>Predsjednik Udruge:</w:t>
      </w:r>
    </w:p>
    <w:p w:rsidR="009E4D5A" w:rsidRDefault="005C1E80" w:rsidP="005C1E80">
      <w:pPr>
        <w:spacing w:line="360" w:lineRule="auto"/>
        <w:rPr>
          <w:rFonts w:ascii="Times New Roman" w:hAnsi="Times New Roman" w:cs="Times New Roman"/>
          <w:b/>
          <w:bCs/>
          <w:sz w:val="24"/>
          <w:szCs w:val="24"/>
        </w:rPr>
      </w:pPr>
      <w:r w:rsidRPr="005C1E80">
        <w:rPr>
          <w:rFonts w:ascii="Times New Roman" w:hAnsi="Times New Roman" w:cs="Times New Roman"/>
          <w:b/>
          <w:bCs/>
          <w:sz w:val="24"/>
          <w:szCs w:val="24"/>
        </w:rPr>
        <w:tab/>
        <w:t>Milan Šućurović</w:t>
      </w:r>
    </w:p>
    <w:p w:rsidR="005C1E80" w:rsidRPr="005C1E80" w:rsidRDefault="005C1E80" w:rsidP="005C1E80">
      <w:pPr>
        <w:pStyle w:val="Bezproreda"/>
        <w:rPr>
          <w:rFonts w:ascii="Times New Roman" w:hAnsi="Times New Roman" w:cs="Times New Roman"/>
          <w:b/>
          <w:bCs/>
          <w:sz w:val="24"/>
          <w:szCs w:val="24"/>
        </w:rPr>
      </w:pPr>
      <w:r w:rsidRPr="005C1E80">
        <w:rPr>
          <w:rFonts w:ascii="Times New Roman" w:hAnsi="Times New Roman" w:cs="Times New Roman"/>
          <w:b/>
          <w:bCs/>
          <w:sz w:val="24"/>
          <w:szCs w:val="24"/>
        </w:rPr>
        <w:lastRenderedPageBreak/>
        <w:t>47. Analizu stanja sustava civilne zaštite za 2025. godinu</w:t>
      </w: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sdt>
      <w:sdtPr>
        <w:rPr>
          <w:rFonts w:ascii="Garamond" w:hAnsi="Garamond"/>
          <w:kern w:val="0"/>
          <w:sz w:val="2"/>
        </w:rPr>
        <w:id w:val="1463774397"/>
        <w:docPartObj>
          <w:docPartGallery w:val="AutoText"/>
        </w:docPartObj>
      </w:sdtPr>
      <w:sdtEndPr>
        <w:rPr>
          <w:sz w:val="22"/>
        </w:rPr>
      </w:sdtEndPr>
      <w:sdtContent>
        <w:p w:rsidR="005C1E80" w:rsidRDefault="005C1E80" w:rsidP="005C1E80">
          <w:pPr>
            <w:pStyle w:val="Bezproreda"/>
            <w:rPr>
              <w:rFonts w:ascii="Garamond" w:hAnsi="Garamond"/>
              <w:sz w:val="2"/>
            </w:rPr>
          </w:pPr>
        </w:p>
        <w:p w:rsidR="005C1E80" w:rsidRDefault="005C1E80" w:rsidP="005C1E80">
          <w:pPr>
            <w:rPr>
              <w:rFonts w:ascii="Garamond" w:hAnsi="Garamond"/>
            </w:rPr>
          </w:pPr>
        </w:p>
        <w:p w:rsidR="005C1E80" w:rsidRDefault="00DD1C99" w:rsidP="005C1E80">
          <w:pPr>
            <w:rPr>
              <w:rFonts w:ascii="Garamond" w:hAnsi="Garamond"/>
            </w:rPr>
          </w:pPr>
          <w:r>
            <w:rPr>
              <w:rFonts w:ascii="Garamond" w:hAnsi="Garamond"/>
              <w:noProof/>
            </w:rPr>
            <w:pict>
              <v:shapetype id="_x0000_t202" coordsize="21600,21600" o:spt="202" path="m,l,21600r21600,l21600,xe">
                <v:stroke joinstyle="miter"/>
                <v:path gradientshapeok="t" o:connecttype="rect"/>
              </v:shapetype>
              <v:shape id="Tekstni okvir 138" o:spid="_x0000_s1026" type="#_x0000_t202" style="position:absolute;margin-left:70.85pt;margin-top:97.5pt;width:559.85pt;height:650.8pt;z-index:251658240;visibility:visible;mso-width-percent:941;mso-height-percent:773;mso-position-horizontal-relative:page;mso-position-vertical-relative:page;mso-width-percent:941;mso-height-percent:773;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"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tblPr>
                      <w:tblGrid>
                        <w:gridCol w:w="5902"/>
                        <w:gridCol w:w="6036"/>
                      </w:tblGrid>
                      <w:tr w:rsidR="00F57898">
                        <w:trPr>
                          <w:jc w:val="center"/>
                        </w:trPr>
                        <w:tc>
                          <w:tcPr>
                            <w:tcW w:w="2472" w:type="pct"/>
                            <w:vAlign w:val="center"/>
                          </w:tcPr>
                          <w:p w:rsidR="00F57898" w:rsidRDefault="00F57898">
                            <w:pPr>
                              <w:jc w:val="right"/>
                            </w:pPr>
                            <w:r>
                              <w:rPr>
                                <w:noProof/>
                                <w:lang w:eastAsia="hr-HR"/>
                              </w:rPr>
                              <w:drawing>
                                <wp:inline distT="0" distB="0" distL="0" distR="0">
                                  <wp:extent cx="3064510" cy="3064510"/>
                                  <wp:effectExtent l="0" t="0" r="2540" b="2540"/>
                                  <wp:docPr id="139" name="Slika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Slika 139"/>
                                          <pic:cNvPicPr>
                                            <a:picLocks noChangeAspect="1"/>
                                          </pic:cNvPicPr>
                                        </pic:nvPicPr>
                                        <pic:blipFill>
                                          <a:blip r:embed="rId1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65006" cy="3065006"/>
                                          </a:xfrm>
                                          <a:prstGeom prst="rect">
                                            <a:avLst/>
                                          </a:prstGeom>
                                        </pic:spPr>
                                      </pic:pic>
                                    </a:graphicData>
                                  </a:graphic>
                                </wp:inline>
                              </w:drawing>
                            </w:r>
                          </w:p>
                          <w:sdt>
                            <w:sdtPr>
                              <w:rPr>
                                <w:caps/>
                                <w:color w:val="191919" w:themeColor="text1" w:themeTint="E6"/>
                                <w:sz w:val="72"/>
                                <w:szCs w:val="72"/>
                              </w:rPr>
                              <w:alias w:val="Naslov"/>
                              <w:id w:val="-438379639"/>
                              <w:showingPlcHdr/>
                              <w:dataBinding w:prefixMappings="xmlns:ns0='http://purl.org/dc/elements/1.1/' xmlns:ns1='http://schemas.openxmlformats.org/package/2006/metadata/core-properties' " w:xpath="/ns1:coreProperties[1]/ns0:title[1]" w:storeItemID="{6C3C8BC8-F283-45AE-878A-BAB7291924A1}"/>
                              <w:text/>
                            </w:sdtPr>
                            <w:sdtContent>
                              <w:p w:rsidR="00F57898" w:rsidRDefault="00F57898">
                                <w:pPr>
                                  <w:pStyle w:val="Bezproreda"/>
                                  <w:spacing w:line="312" w:lineRule="auto"/>
                                  <w:jc w:val="right"/>
                                  <w:rPr>
                                    <w:caps/>
                                    <w:color w:val="191919" w:themeColor="text1" w:themeTint="E6"/>
                                    <w:sz w:val="72"/>
                                    <w:szCs w:val="72"/>
                                  </w:rPr>
                                </w:pPr>
                                <w:r>
                                  <w:rPr>
                                    <w:caps/>
                                    <w:color w:val="191919" w:themeColor="text1" w:themeTint="E6"/>
                                    <w:sz w:val="72"/>
                                    <w:szCs w:val="72"/>
                                  </w:rPr>
                                  <w:t xml:space="preserve">     </w:t>
                                </w:r>
                              </w:p>
                            </w:sdtContent>
                          </w:sdt>
                          <w:sdt>
                            <w:sdtPr>
                              <w:rPr>
                                <w:color w:val="000000" w:themeColor="text1"/>
                                <w:sz w:val="24"/>
                                <w:szCs w:val="24"/>
                              </w:rPr>
                              <w:alias w:val="Podnaslov"/>
                              <w:id w:val="1354072561"/>
                              <w:showingPlcHdr/>
                              <w:dataBinding w:prefixMappings="xmlns:ns0='http://purl.org/dc/elements/1.1/' xmlns:ns1='http://schemas.openxmlformats.org/package/2006/metadata/core-properties' " w:xpath="/ns1:coreProperties[1]/ns0:subject[1]" w:storeItemID="{6C3C8BC8-F283-45AE-878A-BAB7291924A1}"/>
                              <w:text/>
                            </w:sdtPr>
                            <w:sdtContent>
                              <w:p w:rsidR="00F57898" w:rsidRDefault="00F57898">
                                <w:pPr>
                                  <w:jc w:val="right"/>
                                  <w:rPr>
                                    <w:sz w:val="24"/>
                                    <w:szCs w:val="24"/>
                                  </w:rPr>
                                </w:pPr>
                                <w:r>
                                  <w:rPr>
                                    <w:color w:val="000000" w:themeColor="text1"/>
                                    <w:sz w:val="24"/>
                                    <w:szCs w:val="24"/>
                                  </w:rPr>
                                  <w:t xml:space="preserve">     </w:t>
                                </w:r>
                              </w:p>
                            </w:sdtContent>
                          </w:sdt>
                        </w:tc>
                        <w:tc>
                          <w:tcPr>
                            <w:tcW w:w="2528" w:type="pct"/>
                            <w:vAlign w:val="center"/>
                          </w:tcPr>
                          <w:p w:rsidR="00F57898" w:rsidRDefault="00F57898">
                            <w:pPr>
                              <w:rPr>
                                <w:color w:val="000000" w:themeColor="text1"/>
                              </w:rPr>
                            </w:pPr>
                          </w:p>
                          <w:p w:rsidR="00F57898" w:rsidRDefault="00F57898">
                            <w:pPr>
                              <w:rPr>
                                <w:color w:val="000000" w:themeColor="text1"/>
                              </w:rPr>
                            </w:pPr>
                          </w:p>
                          <w:p w:rsidR="00F57898" w:rsidRDefault="00F57898">
                            <w:pPr>
                              <w:rPr>
                                <w:color w:val="000000" w:themeColor="text1"/>
                              </w:rPr>
                            </w:pPr>
                          </w:p>
                          <w:p w:rsidR="00F57898" w:rsidRDefault="00F57898">
                            <w:pPr>
                              <w:rPr>
                                <w:color w:val="000000" w:themeColor="text1"/>
                              </w:rPr>
                            </w:pPr>
                          </w:p>
                          <w:p w:rsidR="00F57898" w:rsidRDefault="00F57898">
                            <w:pPr>
                              <w:rPr>
                                <w:color w:val="000000" w:themeColor="text1"/>
                              </w:rPr>
                            </w:pPr>
                          </w:p>
                          <w:sdt>
                            <w:sdtPr>
                              <w:rPr>
                                <w:color w:val="ED7D31" w:themeColor="accent2"/>
                                <w:sz w:val="50"/>
                                <w:szCs w:val="50"/>
                              </w:rPr>
                              <w:alias w:val="Autor"/>
                              <w:id w:val="-279026076"/>
                              <w:dataBinding w:prefixMappings="xmlns:ns0='http://purl.org/dc/elements/1.1/' xmlns:ns1='http://schemas.openxmlformats.org/package/2006/metadata/core-properties' " w:xpath="/ns1:coreProperties[1]/ns0:creator[1]" w:storeItemID="{6C3C8BC8-F283-45AE-878A-BAB7291924A1}"/>
                              <w:text/>
                            </w:sdtPr>
                            <w:sdtContent>
                              <w:p w:rsidR="00F57898" w:rsidRDefault="00F57898">
                                <w:pPr>
                                  <w:pStyle w:val="Bezproreda"/>
                                  <w:rPr>
                                    <w:color w:val="ED7D31" w:themeColor="accent2"/>
                                    <w:sz w:val="50"/>
                                    <w:szCs w:val="50"/>
                                  </w:rPr>
                                </w:pPr>
                                <w:r>
                                  <w:rPr>
                                    <w:color w:val="ED7D31" w:themeColor="accent2"/>
                                    <w:sz w:val="50"/>
                                    <w:szCs w:val="50"/>
                                  </w:rPr>
                                  <w:t>OGB</w:t>
                                </w:r>
                              </w:p>
                            </w:sdtContent>
                          </w:sdt>
                          <w:p w:rsidR="00F57898" w:rsidRDefault="00F57898">
                            <w:pPr>
                              <w:pStyle w:val="Bezproreda"/>
                            </w:pPr>
                          </w:p>
                        </w:tc>
                      </w:tr>
                    </w:tbl>
                    <w:p w:rsidR="00F57898" w:rsidRDefault="00F57898" w:rsidP="005C1E80"/>
                  </w:txbxContent>
                </v:textbox>
                <w10:wrap anchorx="page" anchory="page"/>
              </v:shape>
            </w:pict>
          </w:r>
          <w:r w:rsidR="005C1E80">
            <w:rPr>
              <w:rFonts w:ascii="Garamond" w:hAnsi="Garamond"/>
            </w:rPr>
            <w:br w:type="page"/>
          </w:r>
        </w:p>
      </w:sdtContent>
    </w:sdt>
    <w:p w:rsidR="005C1E80" w:rsidRDefault="005C1E80" w:rsidP="005C1E80">
      <w:pPr>
        <w:ind w:firstLine="708"/>
        <w:jc w:val="both"/>
        <w:rPr>
          <w:rFonts w:ascii="Garamond" w:hAnsi="Garamond"/>
          <w:sz w:val="24"/>
          <w:szCs w:val="24"/>
        </w:rPr>
      </w:pPr>
      <w:r>
        <w:rPr>
          <w:rFonts w:ascii="Garamond" w:hAnsi="Garamond"/>
          <w:sz w:val="24"/>
          <w:szCs w:val="24"/>
        </w:rPr>
        <w:lastRenderedPageBreak/>
        <w:t>Temeljem članka 17. Stavak 1.  Zakona o sustavu civilne zaštite (Narodne novine 82/15, 118/18, 31/20,20/21,114/22), članka 48. Pravilnika o nositeljima, sadržaju i postupcima izrade planskih dokumenata u civilnoj zaštiti te načinu informiranja javnosti u postupku njihovog donošenja (NN 66/21 i članka 39. Statuta općine Gornji Bogićevci (Službeni vjesnik 02/21), a na prijedlog Općinske načelnice Općine Gornji Bogićevci Općinsko vijeće općine Gornji Bogićevci na 5. sjednici općinskog vijeća održanoj dana 22.12.2025. donijelo je:</w:t>
      </w:r>
    </w:p>
    <w:p w:rsidR="005C1E80" w:rsidRDefault="005C1E80" w:rsidP="005C1E80">
      <w:pPr>
        <w:ind w:firstLine="708"/>
        <w:jc w:val="both"/>
        <w:rPr>
          <w:rFonts w:ascii="Garamond" w:hAnsi="Garamond"/>
          <w:sz w:val="24"/>
          <w:szCs w:val="24"/>
        </w:rPr>
      </w:pPr>
    </w:p>
    <w:p w:rsidR="005C1E80" w:rsidRDefault="005C1E80" w:rsidP="005C1E80">
      <w:pPr>
        <w:ind w:firstLine="708"/>
        <w:jc w:val="center"/>
        <w:rPr>
          <w:rFonts w:ascii="Garamond" w:hAnsi="Garamond"/>
          <w:b/>
          <w:i/>
          <w:sz w:val="28"/>
          <w:szCs w:val="28"/>
        </w:rPr>
      </w:pPr>
      <w:r>
        <w:rPr>
          <w:rFonts w:ascii="Garamond" w:hAnsi="Garamond"/>
          <w:b/>
          <w:i/>
          <w:sz w:val="28"/>
          <w:szCs w:val="28"/>
        </w:rPr>
        <w:t>Analiza stanja sustava civilne zaštite za općinu Gornji Bogićevci u 2025.g.</w:t>
      </w:r>
    </w:p>
    <w:p w:rsidR="005C1E80" w:rsidRDefault="005C1E80" w:rsidP="005C1E80">
      <w:pPr>
        <w:spacing w:line="240" w:lineRule="auto"/>
        <w:jc w:val="both"/>
        <w:rPr>
          <w:rFonts w:ascii="Garamond" w:hAnsi="Garamond"/>
          <w:b/>
          <w:i/>
          <w:sz w:val="28"/>
          <w:szCs w:val="28"/>
        </w:rPr>
      </w:pPr>
    </w:p>
    <w:p w:rsidR="005C1E80" w:rsidRDefault="005C1E80" w:rsidP="005C1E80">
      <w:pPr>
        <w:spacing w:line="240" w:lineRule="auto"/>
        <w:jc w:val="both"/>
        <w:rPr>
          <w:rFonts w:ascii="Garamond" w:hAnsi="Garamond"/>
          <w:b/>
          <w:i/>
          <w:sz w:val="28"/>
          <w:szCs w:val="28"/>
        </w:rPr>
      </w:pPr>
      <w:r>
        <w:rPr>
          <w:rFonts w:ascii="Garamond" w:hAnsi="Garamond"/>
          <w:b/>
          <w:i/>
          <w:sz w:val="28"/>
          <w:szCs w:val="28"/>
        </w:rPr>
        <w:t>UVOD</w:t>
      </w: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r>
        <w:rPr>
          <w:rFonts w:ascii="Garamond" w:hAnsi="Garamond" w:cs="Arial"/>
          <w:color w:val="414145"/>
          <w:sz w:val="24"/>
          <w:szCs w:val="24"/>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r>
        <w:rPr>
          <w:rFonts w:ascii="Garamond" w:hAnsi="Garamond" w:cs="Arial"/>
          <w:color w:val="414145"/>
          <w:sz w:val="24"/>
          <w:szCs w:val="24"/>
        </w:rPr>
        <w:t>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w:t>
      </w: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r>
        <w:rPr>
          <w:rFonts w:ascii="Garamond" w:hAnsi="Garamond" w:cs="Arial"/>
          <w:color w:val="414145"/>
          <w:sz w:val="24"/>
          <w:szCs w:val="24"/>
        </w:rPr>
        <w:t>Sustav civilne zaštite redovno djeluje putem preventivnih i planskih aktivnosti, razvoja i jačanja spremnosti sudionika i operativnih snaga sustava civilne zaštite.</w:t>
      </w:r>
    </w:p>
    <w:p w:rsidR="005C1E80" w:rsidRDefault="005C1E80" w:rsidP="005C1E80">
      <w:pPr>
        <w:spacing w:after="0" w:line="240" w:lineRule="auto"/>
        <w:jc w:val="both"/>
        <w:rPr>
          <w:rFonts w:ascii="Garamond" w:eastAsia="Times New Roman" w:hAnsi="Garamond" w:cs="Arial"/>
          <w:color w:val="414145"/>
          <w:sz w:val="24"/>
          <w:szCs w:val="24"/>
        </w:rPr>
      </w:pP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Općina Gornji Bogićevci dužna je organizirati poslove iz svog samoupravnog djelokruga koji se odnose na planiranje, razvoj, učinkovito funkcioniranje i financiranje sustava civilne zaštite.</w:t>
      </w:r>
    </w:p>
    <w:p w:rsidR="005C1E80" w:rsidRDefault="005C1E80" w:rsidP="005C1E80">
      <w:pPr>
        <w:spacing w:after="0" w:line="240" w:lineRule="auto"/>
        <w:jc w:val="both"/>
        <w:rPr>
          <w:rFonts w:ascii="Garamond" w:eastAsia="Times New Roman" w:hAnsi="Garamond" w:cs="Arial"/>
          <w:color w:val="414145"/>
          <w:sz w:val="24"/>
          <w:szCs w:val="24"/>
        </w:rPr>
      </w:pP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Općina Gornji Bogićevci dužna je jačati i nadopunjavati spremnost postojećih operativnih snaga sustava civilne zaštite na njihovom području sukladno procjeni rizika od velikih nesreća i planu djelovanja civilne zaštite, a ako postojećim operativnim snagama ne može odgovoriti na posljedice utvrđene procjenom rizika, dužna je osnovati dodatne postrojbe civilne zaštite.</w:t>
      </w:r>
    </w:p>
    <w:p w:rsidR="005C1E80" w:rsidRDefault="005C1E80" w:rsidP="005C1E80">
      <w:pPr>
        <w:spacing w:after="0" w:line="240" w:lineRule="auto"/>
        <w:jc w:val="both"/>
        <w:rPr>
          <w:rFonts w:ascii="Garamond" w:eastAsia="Times New Roman" w:hAnsi="Garamond" w:cs="Arial"/>
          <w:color w:val="414145"/>
          <w:sz w:val="24"/>
          <w:szCs w:val="24"/>
        </w:rPr>
      </w:pP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Mjere i aktivnosti u sustavu civilne zaštite provode sljedeće operativne snage sustava civilne zaštite:</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a) stožeri civilne zaštite</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b) operativne snage vatrogastva</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c) operativne snage Hrvatskog Crvenog križa</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d) operativne snage Hrvatske gorske službe spašavanja</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e) udruge</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f) postrojbe i povjerenici civilne zaštite</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g) koordinatori na lokaciji</w:t>
      </w:r>
    </w:p>
    <w:p w:rsidR="005C1E80" w:rsidRDefault="005C1E80" w:rsidP="005C1E80">
      <w:pPr>
        <w:spacing w:after="0" w:line="240" w:lineRule="auto"/>
        <w:ind w:firstLine="708"/>
        <w:jc w:val="both"/>
        <w:rPr>
          <w:rFonts w:ascii="Garamond" w:eastAsia="Times New Roman" w:hAnsi="Garamond" w:cs="Arial"/>
          <w:color w:val="414145"/>
          <w:sz w:val="24"/>
          <w:szCs w:val="24"/>
        </w:rPr>
      </w:pPr>
      <w:r>
        <w:rPr>
          <w:rFonts w:ascii="Garamond" w:eastAsia="Times New Roman" w:hAnsi="Garamond" w:cs="Arial"/>
          <w:color w:val="414145"/>
          <w:sz w:val="24"/>
          <w:szCs w:val="24"/>
        </w:rPr>
        <w:t>h) pravne osobe u sustavu civilne zaštite.</w:t>
      </w:r>
    </w:p>
    <w:p w:rsidR="005C1E80" w:rsidRDefault="005C1E80" w:rsidP="005C1E80">
      <w:pPr>
        <w:spacing w:after="0" w:line="240" w:lineRule="auto"/>
        <w:ind w:firstLine="708"/>
        <w:jc w:val="both"/>
        <w:rPr>
          <w:rFonts w:ascii="Garamond" w:eastAsia="Times New Roman"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eastAsia="Times New Roman" w:hAnsi="Garamond" w:cs="Times New Roman"/>
          <w:sz w:val="24"/>
          <w:szCs w:val="24"/>
        </w:rPr>
      </w:pP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b/>
          <w:color w:val="414145"/>
          <w:sz w:val="24"/>
          <w:szCs w:val="24"/>
        </w:rPr>
        <w:t>Općinsko vijeće, na prijedlog općinske načelnice izvršava sljedeće zadaće: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lastRenderedPageBreak/>
        <w:t>– u postupku donošenja proračuna razmatra i usvaja godišnju analizu stanja i godišnji plan razvoja sustava civilne zaštite s financijskim učincima za trogodišnje razdoblje te smjernice za organizaciju i razvoj sustava koje se razmatraju i usvajaju svake četiri godine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donosi procjenu rizika od velikih nesreća</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donosi odluku o određivanju pravnih osoba od interesa za sustav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donosi odluku o osnivanju postrojbi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osigurava financijska sredstva za izvršavanje odluka o financiranju aktivnosti civilne zaštite u velikoj nesreći i katastrofi prema načelu solidarnosti.</w:t>
      </w:r>
    </w:p>
    <w:p w:rsidR="005C1E80" w:rsidRDefault="005C1E80" w:rsidP="005C1E80">
      <w:pPr>
        <w:spacing w:after="0" w:line="240" w:lineRule="auto"/>
        <w:jc w:val="both"/>
        <w:rPr>
          <w:rFonts w:ascii="Garamond" w:eastAsia="Times New Roman" w:hAnsi="Garamond" w:cs="Arial"/>
          <w:color w:val="414145"/>
          <w:sz w:val="24"/>
          <w:szCs w:val="24"/>
        </w:rPr>
      </w:pP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b/>
          <w:color w:val="414145"/>
          <w:sz w:val="24"/>
          <w:szCs w:val="24"/>
        </w:rPr>
        <w:t>Općinska načelnica</w:t>
      </w:r>
      <w:r>
        <w:rPr>
          <w:rFonts w:ascii="Garamond" w:eastAsia="Times New Roman" w:hAnsi="Garamond" w:cs="Arial"/>
          <w:color w:val="414145"/>
          <w:sz w:val="24"/>
          <w:szCs w:val="24"/>
        </w:rPr>
        <w:t xml:space="preserve"> </w:t>
      </w:r>
      <w:r>
        <w:rPr>
          <w:rFonts w:ascii="Garamond" w:eastAsia="Times New Roman" w:hAnsi="Garamond" w:cs="Arial"/>
          <w:b/>
          <w:color w:val="414145"/>
          <w:sz w:val="24"/>
          <w:szCs w:val="24"/>
        </w:rPr>
        <w:t>izvršava sljedeće zadaće: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donosi plan djelovanja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donosi plan vježbi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priprema i dostavlja predstavničkom tijelu prijedlog odluke o određivanju pravnih osoba od interesa za sustav civilne zaštite i prijedlog odluke o osnivanju postrojbi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kod donošenja godišnjeg plana nabave u plan uključuje materijalna sredstva i opremu snaga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donosi odluke iz svog samoupravnog djelokruga radi osiguravanja materijalnih, financijskih i drugih uvjeta za financiranje i opremanje operativnih snaga sustava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odgovorno je za osnivanje, razvoj i financiranje, opremanje, osposobljavanje i uvježbavanje operativnih snaga sukladno usvojenim smjernicama i planu razvoja sustava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izrađuje i dostavlja predstavničkom tijelu prijedlog procjene rizika od velikih nesreća i redovito ažurira procjenu rizika i plan djelovanja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osigurava uvjete za premještanje, sklanjanje, evakuaciju i zbrinjavanje te izvršavanje zadaća u provedbi drugih mjera civilne zaštite u zaštiti i spašavanju građana, materijalnih i kulturnih dobara i okoliša</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osigurava uvjete za raspoređivanje pripadnika u postrojbe i na dužnost povjerenika civilne zaštite te vođenje evidencije raspoređenih pripadnika</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osigurava uvjete za vođenje i ažuriranje baze podataka o pripadnicima, sposobnostima i resursima operativnih snaga sustava civilne zaštite</w:t>
      </w:r>
    </w:p>
    <w:p w:rsidR="005C1E80" w:rsidRDefault="005C1E80" w:rsidP="005C1E80">
      <w:pPr>
        <w:spacing w:after="0" w:line="240" w:lineRule="auto"/>
        <w:jc w:val="both"/>
        <w:rPr>
          <w:rFonts w:ascii="Garamond" w:eastAsia="Times New Roman" w:hAnsi="Garamond" w:cs="Arial"/>
          <w:color w:val="414145"/>
          <w:sz w:val="24"/>
          <w:szCs w:val="24"/>
        </w:rPr>
      </w:pPr>
      <w:r>
        <w:rPr>
          <w:rFonts w:ascii="Garamond" w:eastAsia="Times New Roman" w:hAnsi="Garamond" w:cs="Arial"/>
          <w:color w:val="414145"/>
          <w:sz w:val="24"/>
          <w:szCs w:val="24"/>
        </w:rPr>
        <w:t>– uspostavlja vođenje evidencije stradalih osoba u velikim nesrećama i katastrofama.</w:t>
      </w: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r>
        <w:rPr>
          <w:rFonts w:ascii="Garamond" w:hAnsi="Garamond" w:cs="Arial"/>
          <w:color w:val="414145"/>
          <w:sz w:val="24"/>
          <w:szCs w:val="24"/>
        </w:rPr>
        <w:t>Općinska načelnica koordinira djelovanje operativnih snaga sustava civilne zaštite osnovanih za područje te jedinice u velikim nesrećama i katastrofama uz stručnu potporu nadležnog stožera civilne zaštite.</w:t>
      </w: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r>
        <w:rPr>
          <w:rFonts w:ascii="Garamond" w:hAnsi="Garamond" w:cs="Arial"/>
          <w:color w:val="414145"/>
          <w:sz w:val="24"/>
          <w:szCs w:val="24"/>
        </w:rPr>
        <w:t>Općinska načelnica, dužna je osposobiti se za obavljanje poslova civilne zaštite u roku od šest mjeseci od stupanja na dužnost, prema programu osposobljavanja koji provodi Područni ured civilne zaštite Osijek – Služba civilne zaštite Slavonski Brod.</w:t>
      </w: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widowControl w:val="0"/>
        <w:tabs>
          <w:tab w:val="left" w:pos="2153"/>
        </w:tabs>
        <w:autoSpaceDE w:val="0"/>
        <w:autoSpaceDN w:val="0"/>
        <w:adjustRightInd w:val="0"/>
        <w:spacing w:after="0" w:line="240" w:lineRule="auto"/>
        <w:jc w:val="both"/>
        <w:rPr>
          <w:rFonts w:ascii="Garamond" w:hAnsi="Garamond" w:cs="Arial"/>
          <w:color w:val="414145"/>
          <w:sz w:val="24"/>
          <w:szCs w:val="24"/>
        </w:rPr>
      </w:pPr>
    </w:p>
    <w:p w:rsidR="005C1E80" w:rsidRDefault="005C1E80" w:rsidP="005C1E80">
      <w:pPr>
        <w:jc w:val="both"/>
        <w:rPr>
          <w:rFonts w:ascii="Garamond" w:hAnsi="Garamond"/>
          <w:b/>
          <w:i/>
          <w:sz w:val="24"/>
          <w:szCs w:val="24"/>
        </w:rPr>
      </w:pPr>
      <w:r>
        <w:rPr>
          <w:rFonts w:ascii="Garamond" w:hAnsi="Garamond"/>
          <w:b/>
          <w:i/>
          <w:sz w:val="24"/>
          <w:szCs w:val="24"/>
        </w:rPr>
        <w:t>ZAKONSKE ODREDBE</w:t>
      </w:r>
    </w:p>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10"/>
        <w:gridCol w:w="8360"/>
        <w:gridCol w:w="995"/>
      </w:tblGrid>
      <w:tr w:rsidR="005C1E80" w:rsidTr="00F57898">
        <w:tc>
          <w:tcPr>
            <w:tcW w:w="710" w:type="dxa"/>
            <w:tcBorders>
              <w:top w:val="single" w:sz="4" w:space="0" w:color="000000"/>
              <w:left w:val="single" w:sz="4" w:space="0" w:color="000000"/>
              <w:bottom w:val="single" w:sz="12" w:space="0" w:color="000000"/>
              <w:right w:val="single" w:sz="4" w:space="0" w:color="000000"/>
            </w:tcBorders>
            <w:shd w:val="clear" w:color="auto" w:fill="4F81BD"/>
          </w:tcPr>
          <w:p w:rsidR="005C1E80" w:rsidRDefault="005C1E80" w:rsidP="00F57898">
            <w:pPr>
              <w:spacing w:after="0" w:line="240" w:lineRule="auto"/>
              <w:jc w:val="center"/>
              <w:rPr>
                <w:rFonts w:ascii="Garamond" w:hAnsi="Garamond"/>
                <w:b/>
                <w:bCs/>
                <w:color w:val="FFFFFF"/>
              </w:rPr>
            </w:pPr>
            <w:r>
              <w:rPr>
                <w:rFonts w:ascii="Garamond" w:hAnsi="Garamond"/>
                <w:b/>
                <w:bCs/>
                <w:color w:val="FFFFFF"/>
              </w:rPr>
              <w:t>r.br.</w:t>
            </w:r>
          </w:p>
        </w:tc>
        <w:tc>
          <w:tcPr>
            <w:tcW w:w="8360" w:type="dxa"/>
            <w:tcBorders>
              <w:top w:val="single" w:sz="4" w:space="0" w:color="000000"/>
              <w:left w:val="single" w:sz="4" w:space="0" w:color="000000"/>
              <w:bottom w:val="single" w:sz="12" w:space="0" w:color="000000"/>
              <w:right w:val="single" w:sz="4" w:space="0" w:color="000000"/>
            </w:tcBorders>
            <w:shd w:val="clear" w:color="auto" w:fill="4F81BD"/>
          </w:tcPr>
          <w:p w:rsidR="005C1E80" w:rsidRDefault="005C1E80" w:rsidP="00F57898">
            <w:pPr>
              <w:spacing w:after="0" w:line="240" w:lineRule="auto"/>
              <w:jc w:val="center"/>
              <w:rPr>
                <w:rFonts w:ascii="Garamond" w:hAnsi="Garamond"/>
                <w:b/>
                <w:bCs/>
                <w:color w:val="FFFFFF"/>
              </w:rPr>
            </w:pPr>
            <w:r>
              <w:rPr>
                <w:rFonts w:ascii="Garamond" w:hAnsi="Garamond"/>
                <w:b/>
                <w:bCs/>
                <w:color w:val="FFFFFF"/>
              </w:rPr>
              <w:t>ZAKONI – PRAVILNICI - UREDBE</w:t>
            </w:r>
          </w:p>
        </w:tc>
        <w:tc>
          <w:tcPr>
            <w:tcW w:w="995" w:type="dxa"/>
            <w:tcBorders>
              <w:top w:val="single" w:sz="4" w:space="0" w:color="000000"/>
              <w:left w:val="single" w:sz="4" w:space="0" w:color="000000"/>
              <w:bottom w:val="single" w:sz="12" w:space="0" w:color="000000"/>
              <w:right w:val="single" w:sz="4" w:space="0" w:color="000000"/>
            </w:tcBorders>
            <w:shd w:val="clear" w:color="auto" w:fill="4F81BD"/>
          </w:tcPr>
          <w:p w:rsidR="005C1E80" w:rsidRDefault="005C1E80" w:rsidP="00F57898">
            <w:pPr>
              <w:spacing w:after="0" w:line="240" w:lineRule="auto"/>
              <w:jc w:val="center"/>
              <w:rPr>
                <w:rFonts w:ascii="Garamond" w:hAnsi="Garamond"/>
                <w:b/>
                <w:bCs/>
                <w:color w:val="FFFFFF"/>
              </w:rPr>
            </w:pPr>
            <w:r>
              <w:rPr>
                <w:rFonts w:ascii="Garamond" w:hAnsi="Garamond"/>
                <w:b/>
                <w:bCs/>
                <w:color w:val="FFFFFF"/>
              </w:rPr>
              <w:t>NN</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bCs/>
              </w:rPr>
            </w:pPr>
            <w:r>
              <w:rPr>
                <w:rFonts w:ascii="Garamond" w:hAnsi="Garamond"/>
                <w:b/>
                <w:bCs/>
              </w:rPr>
              <w:t>1.</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
                <w:bCs/>
              </w:rPr>
              <w:t xml:space="preserve">ZAKON O SUSTAVU CIVILNE ZAŠTITE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82/15</w:t>
            </w:r>
          </w:p>
          <w:p w:rsidR="005C1E80" w:rsidRDefault="005C1E80" w:rsidP="00F57898">
            <w:pPr>
              <w:spacing w:after="0" w:line="240" w:lineRule="auto"/>
              <w:jc w:val="center"/>
              <w:rPr>
                <w:rFonts w:ascii="Garamond" w:hAnsi="Garamond"/>
                <w:b/>
                <w:sz w:val="24"/>
              </w:rPr>
            </w:pPr>
            <w:r>
              <w:rPr>
                <w:rFonts w:ascii="Garamond" w:hAnsi="Garamond"/>
                <w:b/>
                <w:sz w:val="24"/>
              </w:rPr>
              <w:t>118/18</w:t>
            </w:r>
          </w:p>
          <w:p w:rsidR="005C1E80" w:rsidRDefault="005C1E80" w:rsidP="00F57898">
            <w:pPr>
              <w:spacing w:after="0" w:line="240" w:lineRule="auto"/>
              <w:jc w:val="center"/>
              <w:rPr>
                <w:rFonts w:ascii="Garamond" w:hAnsi="Garamond"/>
                <w:b/>
                <w:sz w:val="24"/>
              </w:rPr>
            </w:pPr>
            <w:r>
              <w:rPr>
                <w:rFonts w:ascii="Garamond" w:hAnsi="Garamond"/>
                <w:b/>
                <w:sz w:val="24"/>
              </w:rPr>
              <w:t xml:space="preserve">31/20 </w:t>
            </w:r>
            <w:r>
              <w:rPr>
                <w:rFonts w:ascii="Garamond" w:hAnsi="Garamond"/>
                <w:b/>
                <w:sz w:val="24"/>
              </w:rPr>
              <w:lastRenderedPageBreak/>
              <w:t>20/21</w:t>
            </w:r>
          </w:p>
          <w:p w:rsidR="005C1E80" w:rsidRDefault="005C1E80" w:rsidP="00F57898">
            <w:pPr>
              <w:spacing w:after="0" w:line="240" w:lineRule="auto"/>
              <w:jc w:val="center"/>
              <w:rPr>
                <w:rFonts w:ascii="Garamond" w:hAnsi="Garamond"/>
                <w:b/>
                <w:sz w:val="24"/>
              </w:rPr>
            </w:pPr>
            <w:r>
              <w:rPr>
                <w:rFonts w:ascii="Garamond" w:hAnsi="Garamond"/>
                <w:b/>
                <w:sz w:val="24"/>
              </w:rPr>
              <w:t>114/22</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lastRenderedPageBreak/>
              <w:t>2.</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 xml:space="preserve">Pravilnik o standardnim operativnim postupcima za pružanje pomoći nižoj hijerarhijskoj razini od strane više razine sustava civilne zaštite u velikoj nesreći i katastrofi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37/16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3.</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 xml:space="preserve"> </w:t>
            </w:r>
            <w:r>
              <w:rPr>
                <w:rFonts w:ascii="Garamond" w:hAnsi="Garamond" w:cs="Calibri"/>
              </w:rPr>
              <w:t xml:space="preserve">Pravilnik o sastavu stožera, načinu rada te uvjetima za imenovanje načelnika, zamjenika načelnika i članova stožera civilne zaštite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126/19</w:t>
            </w:r>
          </w:p>
          <w:p w:rsidR="005C1E80" w:rsidRDefault="005C1E80" w:rsidP="00F57898">
            <w:pPr>
              <w:spacing w:after="0" w:line="240" w:lineRule="auto"/>
              <w:jc w:val="center"/>
              <w:rPr>
                <w:rFonts w:ascii="Garamond" w:hAnsi="Garamond"/>
                <w:b/>
                <w:sz w:val="24"/>
              </w:rPr>
            </w:pPr>
            <w:r>
              <w:rPr>
                <w:rFonts w:ascii="Garamond" w:hAnsi="Garamond"/>
                <w:b/>
                <w:sz w:val="24"/>
              </w:rPr>
              <w:t>17/20</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4.</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 xml:space="preserve">Naputak o načinu postupanja u slučaju zlouporabe poziva na broj 112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37/16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5.</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izgledu, načinu i mjestu isticanja obavijesti o jedinstvenom europskom broju za hitne službe 112</w:t>
            </w:r>
            <w:r>
              <w:rPr>
                <w:rFonts w:ascii="Garamond" w:hAnsi="Garamond"/>
                <w:b/>
                <w:bCs/>
              </w:rPr>
              <w:t xml:space="preserv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38/16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6.</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vrstama i načinu provođenja vježbi operativnih snaga sustava civilne zaštite</w:t>
            </w:r>
            <w:r>
              <w:rPr>
                <w:rFonts w:ascii="Garamond" w:hAnsi="Garamond"/>
                <w:b/>
                <w:bCs/>
              </w:rPr>
              <w:t xml:space="preserve">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49/16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7.</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 xml:space="preserve">Pravilnik o uvjetima koje moraju ispunjavati ovlaštene osobe za obavljanje stručnih poslova u području planiranja civilne zaštite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57/16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8.</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zemljopisno-obavijesnom sustavu državne uprave za zaštitu i spašavanja</w:t>
            </w:r>
            <w:r>
              <w:rPr>
                <w:rFonts w:ascii="Garamond" w:hAnsi="Garamond"/>
                <w:b/>
                <w:bCs/>
              </w:rPr>
              <w:t xml:space="preserve">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57/16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9.</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tehničkim i drugim uvjetima koje moraju ispunjavati ovlaštene osobe za ispitivanje ispravnosti tehničkih sredstava i opreme civilne zaštite</w:t>
            </w:r>
            <w:r>
              <w:rPr>
                <w:rFonts w:ascii="Garamond" w:hAnsi="Garamond"/>
                <w:b/>
                <w:bCs/>
              </w:rPr>
              <w:t xml:space="preserv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57/16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10.</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Uredba o jedinstvenim znakovima za uzbunjivanje</w:t>
            </w:r>
            <w:r>
              <w:rPr>
                <w:rFonts w:ascii="Garamond" w:hAnsi="Garamond"/>
                <w:b/>
                <w:bCs/>
              </w:rPr>
              <w:t xml:space="preserve">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61/16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11.</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smjernicama za izradu procjene rizika od katastrofa i velikih nesreća za područje RH i Jedinica lokalne i područne (regionalne) samouprave</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65/16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12.</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tehničkim zahtjevima sustava javnog uzbunjivanja stanovništva</w:t>
            </w:r>
            <w:r>
              <w:rPr>
                <w:rFonts w:ascii="Garamond" w:hAnsi="Garamond"/>
                <w:b/>
                <w:bCs/>
              </w:rPr>
              <w:t xml:space="preserv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69/16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13.</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 xml:space="preserve">Pravilnik o postupku uzbunjivanja stanovništva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69/16</w:t>
            </w:r>
          </w:p>
        </w:tc>
      </w:tr>
      <w:tr w:rsidR="005C1E80" w:rsidTr="00F57898">
        <w:tc>
          <w:tcPr>
            <w:tcW w:w="71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14.</w:t>
            </w:r>
          </w:p>
        </w:tc>
        <w:tc>
          <w:tcPr>
            <w:tcW w:w="8360"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mobilizaciji, uvjetima i načinu rada operativnih snaga sustava civilne zaštite</w:t>
            </w:r>
            <w:r>
              <w:rPr>
                <w:rFonts w:ascii="Garamond" w:hAnsi="Garamond"/>
                <w:b/>
                <w:bCs/>
              </w:rPr>
              <w:t xml:space="preserve"> </w:t>
            </w:r>
          </w:p>
        </w:tc>
        <w:tc>
          <w:tcPr>
            <w:tcW w:w="995" w:type="dxa"/>
            <w:tcBorders>
              <w:top w:val="single" w:sz="4" w:space="0" w:color="000000"/>
              <w:left w:val="single" w:sz="4" w:space="0" w:color="000000"/>
              <w:bottom w:val="single" w:sz="4" w:space="0" w:color="000000"/>
              <w:right w:val="single" w:sz="4" w:space="0" w:color="000000"/>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69/16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15.</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
                <w:bCs/>
              </w:rPr>
            </w:pPr>
            <w:r>
              <w:rPr>
                <w:rFonts w:ascii="Garamond" w:hAnsi="Garamond"/>
                <w:bCs/>
              </w:rPr>
              <w:t>Pravilnik o sadržaju, obliku i načinu vođenja očevidnika inspekcijskog nadzora u sustavu civilne zaštite</w:t>
            </w:r>
            <w:r>
              <w:rPr>
                <w:rFonts w:ascii="Garamond" w:hAnsi="Garamond"/>
                <w:b/>
                <w:bCs/>
              </w:rPr>
              <w:t xml:space="preserve">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69/16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16.</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vrsti i postupku dodjele nagrada i priznanja Državne uprave za zaštitu i spašavanje</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75/16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17.</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vođenju evidencija pripadnika operativnih snaga sustava civilne zaštite</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75/16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18.</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A66748">
            <w:pPr>
              <w:pStyle w:val="Odlomakpopisa"/>
              <w:numPr>
                <w:ilvl w:val="0"/>
                <w:numId w:val="55"/>
              </w:numPr>
              <w:spacing w:after="0" w:line="240" w:lineRule="auto"/>
              <w:rPr>
                <w:rFonts w:ascii="Garamond" w:hAnsi="Garamond"/>
                <w:bCs/>
              </w:rPr>
            </w:pPr>
            <w:r>
              <w:rPr>
                <w:rFonts w:ascii="Garamond" w:hAnsi="Garamond"/>
                <w:bCs/>
              </w:rPr>
              <w:t>Pravilnik o kriterijima zdravstvenih sposobnosti koje moraju ispunjavati pripadnici postrojbi civilne zaštite, kriterijima za raspoređivanje i uvjetima za imenovanje povjerenika civilne zaštite i njegovog zamjenika</w:t>
            </w:r>
            <w:r>
              <w:rPr>
                <w:rFonts w:ascii="Garamond" w:hAnsi="Garamond"/>
                <w:b/>
                <w:bCs/>
              </w:rPr>
              <w:t xml:space="preserve"> </w:t>
            </w:r>
          </w:p>
          <w:p w:rsidR="005C1E80" w:rsidRDefault="005C1E80" w:rsidP="00A66748">
            <w:pPr>
              <w:pStyle w:val="Odlomakpopisa"/>
              <w:numPr>
                <w:ilvl w:val="0"/>
                <w:numId w:val="55"/>
              </w:numPr>
              <w:spacing w:after="0" w:line="240" w:lineRule="auto"/>
              <w:rPr>
                <w:rFonts w:ascii="Garamond" w:hAnsi="Garamond"/>
                <w:bCs/>
              </w:rPr>
            </w:pPr>
            <w:r>
              <w:rPr>
                <w:rFonts w:ascii="Garamond" w:hAnsi="Garamond"/>
                <w:bCs/>
              </w:rPr>
              <w:t>Pravilnik o izmjenama i dopunama Pravilnika o kriterijima zdravstvenih sposobnosti koje moraju ispunjavati pripadnici postrojbi civilne zaštite, kriterijima za raspoređivanje i uvjetima za imenovanje povjerenika civilne zaštite i njegovog zamjenika</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98/16</w:t>
            </w:r>
          </w:p>
          <w:p w:rsidR="005C1E80" w:rsidRDefault="005C1E80" w:rsidP="00F57898">
            <w:pPr>
              <w:spacing w:after="0" w:line="240" w:lineRule="auto"/>
              <w:jc w:val="center"/>
              <w:rPr>
                <w:rFonts w:ascii="Garamond" w:hAnsi="Garamond"/>
                <w:b/>
                <w:sz w:val="24"/>
              </w:rPr>
            </w:pPr>
            <w:r>
              <w:rPr>
                <w:rFonts w:ascii="Garamond" w:hAnsi="Garamond"/>
                <w:b/>
                <w:sz w:val="24"/>
              </w:rPr>
              <w:t>67/17</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19.</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odori pripadnika operativnih snaga civilne zaštite i državnih službenika i namještenika državne uprave za zaštitu i spašavanje</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99/16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20.</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vođenju jedinstvene evidencije i informacijskih baza podataka o operativnim snagama, materijalnim sredstvima i opremi operativnih snaga sustava civilne zaštite</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99/16</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21.</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Uredba o sastavu i strukturi postrojbi civilne zaštite</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27/17</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22.</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 xml:space="preserve">Uredba o načinu i uvjetima za ostvarivanje materijalnih prava mobiliziranih pripadnika postrojbi civilne zaštite za vrijeme sudjelovanja u aktivnostima u sustavu civilne zaštite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33/17</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23.</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 xml:space="preserve">Pravilnik o nositeljima, sadržaju i postupcima izrade planskih dokumenata u civilnoj zaštiti te načinu informiranja javnosti u postupku njihovog donošenja </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66/21</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24.</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načinu rada u aktivnostima radijske komunikacije za potrebe djelovanja sustava civilne zaštite u velikim nesrećama i katastrofama</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53/17</w:t>
            </w:r>
          </w:p>
        </w:tc>
      </w:tr>
      <w:tr w:rsidR="005C1E80" w:rsidTr="00F57898">
        <w:tc>
          <w:tcPr>
            <w:tcW w:w="71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jc w:val="center"/>
              <w:rPr>
                <w:rFonts w:ascii="Garamond" w:hAnsi="Garamond"/>
                <w:bCs/>
              </w:rPr>
            </w:pPr>
            <w:r>
              <w:rPr>
                <w:rFonts w:ascii="Garamond" w:hAnsi="Garamond"/>
                <w:bCs/>
              </w:rPr>
              <w:t>25.</w:t>
            </w:r>
          </w:p>
        </w:tc>
        <w:tc>
          <w:tcPr>
            <w:tcW w:w="8360" w:type="dxa"/>
            <w:tcBorders>
              <w:top w:val="single" w:sz="8" w:space="0" w:color="4F81BD"/>
              <w:left w:val="single" w:sz="8" w:space="0" w:color="4F81BD"/>
              <w:bottom w:val="single" w:sz="8" w:space="0" w:color="4F81BD"/>
              <w:right w:val="single" w:sz="4" w:space="0" w:color="000000"/>
            </w:tcBorders>
            <w:vAlign w:val="center"/>
          </w:tcPr>
          <w:p w:rsidR="005C1E80" w:rsidRDefault="005C1E80" w:rsidP="00F57898">
            <w:pPr>
              <w:spacing w:after="0" w:line="240" w:lineRule="auto"/>
              <w:rPr>
                <w:rFonts w:ascii="Garamond" w:hAnsi="Garamond"/>
                <w:bCs/>
              </w:rPr>
            </w:pPr>
            <w:r>
              <w:rPr>
                <w:rFonts w:ascii="Garamond" w:hAnsi="Garamond"/>
                <w:bCs/>
              </w:rPr>
              <w:t>Pravilnik o postupku primanja i prenošenja obavijesti ranog upozoravanja, neposredne opasnosti te davanju uputa stanovništvu</w:t>
            </w:r>
          </w:p>
        </w:tc>
        <w:tc>
          <w:tcPr>
            <w:tcW w:w="995" w:type="dxa"/>
            <w:tcBorders>
              <w:top w:val="single" w:sz="8" w:space="0" w:color="4F81BD"/>
              <w:left w:val="single" w:sz="4" w:space="0" w:color="000000"/>
              <w:bottom w:val="single" w:sz="8" w:space="0" w:color="4F81BD"/>
              <w:right w:val="single" w:sz="8" w:space="0" w:color="4F81BD"/>
            </w:tcBorders>
            <w:vAlign w:val="center"/>
          </w:tcPr>
          <w:p w:rsidR="005C1E80" w:rsidRDefault="005C1E80" w:rsidP="00F57898">
            <w:pPr>
              <w:spacing w:after="0" w:line="240" w:lineRule="auto"/>
              <w:jc w:val="center"/>
              <w:rPr>
                <w:rFonts w:ascii="Garamond" w:hAnsi="Garamond"/>
                <w:b/>
                <w:sz w:val="24"/>
              </w:rPr>
            </w:pPr>
            <w:r>
              <w:rPr>
                <w:rFonts w:ascii="Garamond" w:hAnsi="Garamond"/>
                <w:b/>
                <w:sz w:val="24"/>
              </w:rPr>
              <w:t>67/17</w:t>
            </w:r>
          </w:p>
        </w:tc>
      </w:tr>
    </w:tbl>
    <w:p w:rsidR="005C1E80" w:rsidRDefault="005C1E80" w:rsidP="005C1E80">
      <w:pPr>
        <w:spacing w:after="0"/>
        <w:jc w:val="both"/>
        <w:rPr>
          <w:rFonts w:ascii="Garamond" w:hAnsi="Garamond"/>
        </w:rPr>
      </w:pPr>
    </w:p>
    <w:p w:rsidR="005C1E80" w:rsidRDefault="005C1E80" w:rsidP="005C1E80">
      <w:pPr>
        <w:pStyle w:val="Odlomakpopisa"/>
        <w:numPr>
          <w:ilvl w:val="0"/>
          <w:numId w:val="4"/>
        </w:numPr>
        <w:spacing w:after="200" w:line="276" w:lineRule="auto"/>
        <w:jc w:val="both"/>
        <w:rPr>
          <w:rFonts w:ascii="Garamond" w:hAnsi="Garamond" w:cs="Arial"/>
          <w:b/>
          <w:bCs/>
          <w:sz w:val="28"/>
          <w:szCs w:val="28"/>
        </w:rPr>
      </w:pPr>
      <w:r>
        <w:rPr>
          <w:rFonts w:ascii="Garamond" w:hAnsi="Garamond" w:cs="Arial"/>
          <w:b/>
          <w:bCs/>
          <w:sz w:val="28"/>
          <w:szCs w:val="28"/>
        </w:rPr>
        <w:t>STANJE SUSTAVA CIVILNE ZAŠTITE</w:t>
      </w:r>
    </w:p>
    <w:p w:rsidR="005C1E80" w:rsidRDefault="005C1E80" w:rsidP="005C1E80">
      <w:pPr>
        <w:pStyle w:val="Zaglavlje"/>
        <w:tabs>
          <w:tab w:val="left" w:pos="2580"/>
          <w:tab w:val="left" w:pos="2985"/>
        </w:tabs>
        <w:spacing w:line="276" w:lineRule="auto"/>
        <w:jc w:val="both"/>
        <w:rPr>
          <w:rFonts w:ascii="Garamond" w:eastAsia="Calibri" w:hAnsi="Garamond" w:cs="Arial"/>
          <w:sz w:val="24"/>
          <w:szCs w:val="24"/>
        </w:rPr>
      </w:pPr>
      <w:r>
        <w:rPr>
          <w:rFonts w:ascii="Garamond" w:eastAsia="Calibri" w:hAnsi="Garamond" w:cs="Arial"/>
          <w:sz w:val="24"/>
          <w:szCs w:val="24"/>
        </w:rPr>
        <w:t>U 2025.g. poduzeto je slijedeće:</w:t>
      </w:r>
    </w:p>
    <w:p w:rsidR="005C1E80" w:rsidRDefault="005C1E80" w:rsidP="005C1E80">
      <w:pPr>
        <w:pStyle w:val="Odlomakpopisa"/>
        <w:autoSpaceDE w:val="0"/>
        <w:autoSpaceDN w:val="0"/>
        <w:adjustRightInd w:val="0"/>
        <w:spacing w:after="0" w:line="240" w:lineRule="auto"/>
        <w:jc w:val="both"/>
        <w:rPr>
          <w:rFonts w:ascii="Garamond" w:hAnsi="Garamond" w:cs="TimesNewRoman,Bold"/>
          <w:bCs/>
          <w:sz w:val="24"/>
          <w:szCs w:val="24"/>
        </w:rPr>
      </w:pPr>
    </w:p>
    <w:p w:rsidR="005C1E80" w:rsidRDefault="005C1E80" w:rsidP="00A66748">
      <w:pPr>
        <w:pStyle w:val="Odlomakpopisa"/>
        <w:numPr>
          <w:ilvl w:val="0"/>
          <w:numId w:val="56"/>
        </w:numPr>
        <w:autoSpaceDE w:val="0"/>
        <w:autoSpaceDN w:val="0"/>
        <w:adjustRightInd w:val="0"/>
        <w:spacing w:after="0" w:line="240" w:lineRule="auto"/>
        <w:jc w:val="both"/>
        <w:rPr>
          <w:rFonts w:ascii="Garamond" w:hAnsi="Garamond" w:cs="TimesNewRoman,Bold"/>
          <w:bCs/>
          <w:sz w:val="24"/>
          <w:szCs w:val="24"/>
        </w:rPr>
      </w:pPr>
      <w:r>
        <w:rPr>
          <w:rFonts w:ascii="Garamond" w:hAnsi="Garamond" w:cs="TimesNewRoman,Bold"/>
          <w:bCs/>
          <w:sz w:val="24"/>
          <w:szCs w:val="24"/>
        </w:rPr>
        <w:t>Doneseno je Usklađivanje Procjene rizika od velikih nesreća za Općinu Gornji Bogićevci</w:t>
      </w:r>
    </w:p>
    <w:p w:rsidR="005C1E80" w:rsidRDefault="005C1E80" w:rsidP="00A66748">
      <w:pPr>
        <w:pStyle w:val="Odlomakpopisa"/>
        <w:numPr>
          <w:ilvl w:val="0"/>
          <w:numId w:val="56"/>
        </w:numPr>
        <w:spacing w:after="0" w:line="240" w:lineRule="auto"/>
        <w:jc w:val="both"/>
        <w:rPr>
          <w:rFonts w:ascii="Garamond" w:hAnsi="Garamond" w:cs="TimesNewRoman,Bold"/>
          <w:bCs/>
          <w:color w:val="FF0000"/>
          <w:sz w:val="24"/>
          <w:szCs w:val="24"/>
        </w:rPr>
      </w:pPr>
      <w:r>
        <w:rPr>
          <w:rFonts w:ascii="Garamond" w:hAnsi="Garamond"/>
          <w:sz w:val="24"/>
          <w:szCs w:val="24"/>
        </w:rPr>
        <w:t xml:space="preserve">Donesena je Odluka o osnivanju Stožera civilne zaštite Općine Gornji Bogićevci i imenovanju načelnika, zamjenika načelnika i članova Stožera civilne zaštite Općine Gornji Bogićevci </w:t>
      </w:r>
    </w:p>
    <w:p w:rsidR="005C1E80" w:rsidRDefault="005C1E80" w:rsidP="00A66748">
      <w:pPr>
        <w:pStyle w:val="Odlomakpopisa"/>
        <w:numPr>
          <w:ilvl w:val="0"/>
          <w:numId w:val="56"/>
        </w:numPr>
        <w:autoSpaceDE w:val="0"/>
        <w:autoSpaceDN w:val="0"/>
        <w:adjustRightInd w:val="0"/>
        <w:spacing w:after="0" w:line="240" w:lineRule="auto"/>
        <w:jc w:val="both"/>
        <w:rPr>
          <w:rFonts w:ascii="Garamond" w:hAnsi="Garamond" w:cs="TimesNewRoman,Bold"/>
          <w:bCs/>
          <w:sz w:val="24"/>
          <w:szCs w:val="24"/>
        </w:rPr>
      </w:pPr>
      <w:r>
        <w:rPr>
          <w:rFonts w:ascii="Garamond" w:hAnsi="Garamond" w:cs="TimesNewRoman,Bold"/>
          <w:bCs/>
          <w:sz w:val="24"/>
          <w:szCs w:val="24"/>
        </w:rPr>
        <w:lastRenderedPageBreak/>
        <w:t>Donesena je analiza stanja sustava civilne zaštite za 2025.g.,</w:t>
      </w:r>
    </w:p>
    <w:p w:rsidR="005C1E80" w:rsidRDefault="005C1E80" w:rsidP="00A66748">
      <w:pPr>
        <w:pStyle w:val="Odlomakpopisa"/>
        <w:numPr>
          <w:ilvl w:val="0"/>
          <w:numId w:val="56"/>
        </w:numPr>
        <w:autoSpaceDE w:val="0"/>
        <w:autoSpaceDN w:val="0"/>
        <w:adjustRightInd w:val="0"/>
        <w:spacing w:after="0" w:line="240" w:lineRule="auto"/>
        <w:jc w:val="both"/>
        <w:rPr>
          <w:rFonts w:ascii="Garamond" w:hAnsi="Garamond" w:cs="TimesNewRoman,Bold"/>
          <w:bCs/>
          <w:color w:val="FF0000"/>
          <w:sz w:val="24"/>
          <w:szCs w:val="24"/>
        </w:rPr>
      </w:pPr>
      <w:bookmarkStart w:id="16" w:name="_Hlk24710451"/>
      <w:r>
        <w:rPr>
          <w:rFonts w:ascii="Garamond" w:hAnsi="Garamond" w:cs="TimesNewRoman,Bold"/>
          <w:bCs/>
          <w:sz w:val="24"/>
          <w:szCs w:val="24"/>
        </w:rPr>
        <w:t>Donesen je Godišnji plan razvoja sustava civilne zaštite s financijskim učincima za trogodišnje razdoblje,</w:t>
      </w:r>
    </w:p>
    <w:p w:rsidR="005C1E80" w:rsidRDefault="005C1E80" w:rsidP="00A66748">
      <w:pPr>
        <w:pStyle w:val="Odlomakpopisa"/>
        <w:numPr>
          <w:ilvl w:val="0"/>
          <w:numId w:val="56"/>
        </w:numPr>
        <w:autoSpaceDE w:val="0"/>
        <w:autoSpaceDN w:val="0"/>
        <w:adjustRightInd w:val="0"/>
        <w:spacing w:after="0" w:line="240" w:lineRule="auto"/>
        <w:jc w:val="both"/>
        <w:rPr>
          <w:rFonts w:ascii="Garamond" w:hAnsi="Garamond" w:cs="TimesNewRoman,Bold"/>
          <w:bCs/>
          <w:color w:val="FF0000"/>
          <w:sz w:val="24"/>
          <w:szCs w:val="24"/>
        </w:rPr>
      </w:pPr>
      <w:r>
        <w:rPr>
          <w:rFonts w:ascii="Garamond" w:hAnsi="Garamond" w:cs="TimesNewRoman,Bold"/>
          <w:bCs/>
          <w:sz w:val="24"/>
          <w:szCs w:val="24"/>
        </w:rPr>
        <w:t>Donesene su smjernice za organizaciju i razvoj sustava civilne zaštite od 2026-2029.</w:t>
      </w:r>
    </w:p>
    <w:p w:rsidR="005C1E80" w:rsidRDefault="005C1E80" w:rsidP="00A66748">
      <w:pPr>
        <w:pStyle w:val="Odlomakpopisa"/>
        <w:numPr>
          <w:ilvl w:val="0"/>
          <w:numId w:val="56"/>
        </w:numPr>
        <w:autoSpaceDE w:val="0"/>
        <w:autoSpaceDN w:val="0"/>
        <w:adjustRightInd w:val="0"/>
        <w:spacing w:after="0" w:line="240" w:lineRule="auto"/>
        <w:jc w:val="both"/>
        <w:rPr>
          <w:rFonts w:ascii="Garamond" w:hAnsi="Garamond" w:cs="TimesNewRoman,Bold"/>
          <w:bCs/>
          <w:sz w:val="24"/>
          <w:szCs w:val="24"/>
        </w:rPr>
      </w:pPr>
      <w:bookmarkStart w:id="17" w:name="_Hlk24710436"/>
      <w:bookmarkStart w:id="18" w:name="_Hlk24527838"/>
      <w:bookmarkEnd w:id="16"/>
      <w:r>
        <w:rPr>
          <w:rFonts w:ascii="Garamond" w:hAnsi="Garamond" w:cs="TimesNewRoman,Bold"/>
          <w:bCs/>
          <w:sz w:val="24"/>
          <w:szCs w:val="24"/>
        </w:rPr>
        <w:t>Donesen je Plan vježbi za 2026.</w:t>
      </w:r>
    </w:p>
    <w:bookmarkEnd w:id="17"/>
    <w:p w:rsidR="005C1E80" w:rsidRDefault="005C1E80" w:rsidP="005C1E80">
      <w:pPr>
        <w:pStyle w:val="Odlomakpopisa"/>
        <w:autoSpaceDE w:val="0"/>
        <w:autoSpaceDN w:val="0"/>
        <w:adjustRightInd w:val="0"/>
        <w:spacing w:after="0" w:line="240" w:lineRule="auto"/>
        <w:jc w:val="both"/>
        <w:rPr>
          <w:rFonts w:ascii="Garamond" w:hAnsi="Garamond" w:cs="TimesNewRoman,Bold"/>
          <w:bCs/>
          <w:sz w:val="24"/>
          <w:szCs w:val="24"/>
        </w:rPr>
      </w:pPr>
    </w:p>
    <w:bookmarkEnd w:id="18"/>
    <w:p w:rsidR="005C1E80" w:rsidRDefault="005C1E80" w:rsidP="005C1E80">
      <w:pPr>
        <w:pStyle w:val="Odlomakpopisa"/>
        <w:autoSpaceDE w:val="0"/>
        <w:autoSpaceDN w:val="0"/>
        <w:adjustRightInd w:val="0"/>
        <w:spacing w:after="0" w:line="240" w:lineRule="auto"/>
        <w:jc w:val="both"/>
        <w:rPr>
          <w:rFonts w:ascii="Garamond" w:hAnsi="Garamond" w:cs="TimesNewRoman,Bold"/>
          <w:bCs/>
          <w:color w:val="FF0000"/>
          <w:sz w:val="24"/>
          <w:szCs w:val="24"/>
        </w:rPr>
      </w:pPr>
    </w:p>
    <w:p w:rsidR="005C1E80" w:rsidRDefault="005C1E80" w:rsidP="005C1E80">
      <w:pPr>
        <w:autoSpaceDE w:val="0"/>
        <w:autoSpaceDN w:val="0"/>
        <w:adjustRightInd w:val="0"/>
        <w:spacing w:after="0" w:line="240" w:lineRule="auto"/>
        <w:jc w:val="both"/>
        <w:rPr>
          <w:rFonts w:ascii="Garamond" w:hAnsi="Garamond" w:cs="TimesNewRoman,Bold"/>
          <w:bCs/>
          <w:sz w:val="24"/>
          <w:szCs w:val="24"/>
        </w:rPr>
      </w:pPr>
    </w:p>
    <w:p w:rsidR="005C1E80" w:rsidRDefault="005C1E80" w:rsidP="005C1E80">
      <w:pPr>
        <w:pStyle w:val="Odlomakpopisa"/>
        <w:numPr>
          <w:ilvl w:val="0"/>
          <w:numId w:val="4"/>
        </w:numPr>
        <w:spacing w:after="200" w:line="276" w:lineRule="auto"/>
        <w:jc w:val="both"/>
        <w:rPr>
          <w:rFonts w:ascii="Garamond" w:hAnsi="Garamond" w:cs="Arial"/>
          <w:b/>
          <w:bCs/>
          <w:sz w:val="28"/>
          <w:szCs w:val="28"/>
        </w:rPr>
      </w:pPr>
      <w:r>
        <w:rPr>
          <w:rFonts w:ascii="Garamond" w:hAnsi="Garamond" w:cs="Arial"/>
          <w:b/>
          <w:bCs/>
          <w:sz w:val="28"/>
          <w:szCs w:val="28"/>
        </w:rPr>
        <w:t>CIVILNA ZAŠTITA: (stožer civilne zaštite,  postrojba CZ opće namjene)</w:t>
      </w:r>
    </w:p>
    <w:tbl>
      <w:tblPr>
        <w:tblW w:w="82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47"/>
        <w:gridCol w:w="3237"/>
      </w:tblGrid>
      <w:tr w:rsidR="005C1E80" w:rsidTr="00F57898">
        <w:trPr>
          <w:trHeight w:val="481"/>
          <w:jc w:val="center"/>
        </w:trPr>
        <w:tc>
          <w:tcPr>
            <w:tcW w:w="5047" w:type="dxa"/>
          </w:tcPr>
          <w:p w:rsidR="005C1E80" w:rsidRDefault="005C1E80" w:rsidP="00F57898">
            <w:pPr>
              <w:spacing w:after="0" w:line="240" w:lineRule="auto"/>
              <w:rPr>
                <w:rFonts w:ascii="Garamond" w:eastAsia="Times New Roman" w:hAnsi="Garamond" w:cs="Calibri"/>
                <w:b/>
                <w:bCs/>
                <w:sz w:val="20"/>
                <w:szCs w:val="20"/>
              </w:rPr>
            </w:pPr>
            <w:r>
              <w:rPr>
                <w:rFonts w:ascii="Garamond" w:eastAsia="Times New Roman" w:hAnsi="Garamond" w:cs="Calibri"/>
                <w:b/>
                <w:bCs/>
                <w:sz w:val="20"/>
                <w:szCs w:val="20"/>
              </w:rPr>
              <w:t>Naziv stožera CZ/ dužnost</w:t>
            </w:r>
          </w:p>
        </w:tc>
        <w:tc>
          <w:tcPr>
            <w:tcW w:w="3237" w:type="dxa"/>
          </w:tcPr>
          <w:p w:rsidR="005C1E80" w:rsidRDefault="005C1E80" w:rsidP="00F57898">
            <w:pPr>
              <w:spacing w:after="0" w:line="240" w:lineRule="auto"/>
              <w:rPr>
                <w:rFonts w:ascii="Garamond" w:eastAsia="Times New Roman" w:hAnsi="Garamond" w:cs="Calibri"/>
                <w:b/>
                <w:bCs/>
                <w:sz w:val="20"/>
                <w:szCs w:val="20"/>
              </w:rPr>
            </w:pPr>
            <w:r>
              <w:rPr>
                <w:rFonts w:ascii="Garamond" w:eastAsia="Times New Roman" w:hAnsi="Garamond" w:cs="Calibri"/>
                <w:b/>
                <w:bCs/>
                <w:sz w:val="20"/>
                <w:szCs w:val="20"/>
              </w:rPr>
              <w:t>Prezime i ime</w:t>
            </w:r>
          </w:p>
        </w:tc>
      </w:tr>
      <w:tr w:rsidR="005C1E80" w:rsidTr="00F57898">
        <w:trPr>
          <w:trHeight w:val="20"/>
          <w:jc w:val="center"/>
        </w:trPr>
        <w:tc>
          <w:tcPr>
            <w:tcW w:w="504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sz w:val="20"/>
                <w:szCs w:val="20"/>
              </w:rPr>
              <w:t>Načelnik stožera civilne zaštite</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Ivica Siladi</w:t>
            </w:r>
          </w:p>
        </w:tc>
      </w:tr>
      <w:tr w:rsidR="005C1E80" w:rsidTr="00F57898">
        <w:trPr>
          <w:trHeight w:val="292"/>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olor w:val="000000" w:themeColor="text1"/>
                <w:sz w:val="20"/>
                <w:szCs w:val="20"/>
              </w:rPr>
              <w:t>Zamjenik načelnika stožera</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Franjo Bungić</w:t>
            </w:r>
          </w:p>
        </w:tc>
      </w:tr>
      <w:tr w:rsidR="005C1E80" w:rsidTr="00F57898">
        <w:trPr>
          <w:trHeight w:val="281"/>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za protupožarnu zaštitu</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Matej Jelčić</w:t>
            </w:r>
          </w:p>
        </w:tc>
      </w:tr>
      <w:tr w:rsidR="005C1E80" w:rsidTr="00F57898">
        <w:trPr>
          <w:trHeight w:val="414"/>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za komunalne djelatnosti</w:t>
            </w:r>
          </w:p>
        </w:tc>
        <w:tc>
          <w:tcPr>
            <w:tcW w:w="3237" w:type="dxa"/>
          </w:tcPr>
          <w:p w:rsidR="005C1E80" w:rsidRDefault="005C1E80" w:rsidP="00F57898">
            <w:pPr>
              <w:spacing w:after="0" w:line="240" w:lineRule="auto"/>
              <w:rPr>
                <w:rFonts w:ascii="Garamond" w:eastAsia="Times New Roman" w:hAnsi="Garamond"/>
                <w:sz w:val="20"/>
                <w:szCs w:val="20"/>
              </w:rPr>
            </w:pPr>
            <w:r>
              <w:rPr>
                <w:rFonts w:ascii="Garamond" w:eastAsia="Times New Roman" w:hAnsi="Garamond"/>
                <w:sz w:val="20"/>
                <w:szCs w:val="20"/>
              </w:rPr>
              <w:t>Franjo Bungić</w:t>
            </w:r>
          </w:p>
        </w:tc>
      </w:tr>
      <w:tr w:rsidR="005C1E80" w:rsidTr="00F57898">
        <w:trPr>
          <w:trHeight w:val="278"/>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 predstavnik policijske uprave</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Nikola Radošić</w:t>
            </w:r>
          </w:p>
        </w:tc>
      </w:tr>
      <w:tr w:rsidR="005C1E80" w:rsidTr="00F57898">
        <w:trPr>
          <w:trHeight w:val="410"/>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 predstavnik službe civilne zaštite</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Željko Valešić</w:t>
            </w:r>
          </w:p>
        </w:tc>
      </w:tr>
      <w:tr w:rsidR="005C1E80" w:rsidTr="00F57898">
        <w:trPr>
          <w:trHeight w:val="430"/>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za medicinsko zbrinjavanje</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Dragica Bilandžić</w:t>
            </w:r>
          </w:p>
        </w:tc>
      </w:tr>
      <w:tr w:rsidR="005C1E80" w:rsidTr="00F57898">
        <w:trPr>
          <w:trHeight w:val="408"/>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za veterinarsko zbrinjavanje i asanaciju</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Mario Bokulić</w:t>
            </w:r>
          </w:p>
        </w:tc>
      </w:tr>
      <w:tr w:rsidR="005C1E80" w:rsidTr="00F57898">
        <w:trPr>
          <w:trHeight w:val="456"/>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za zbrinjavanje stanovništva i evakuaciju HCK</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Franjo Bungić</w:t>
            </w:r>
          </w:p>
        </w:tc>
      </w:tr>
      <w:tr w:rsidR="005C1E80" w:rsidTr="00F57898">
        <w:trPr>
          <w:trHeight w:val="468"/>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 zapovjednik postrojbe CZ</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Josip Zdunić</w:t>
            </w:r>
          </w:p>
        </w:tc>
      </w:tr>
      <w:tr w:rsidR="005C1E80" w:rsidTr="00F57898">
        <w:trPr>
          <w:trHeight w:val="585"/>
          <w:jc w:val="center"/>
        </w:trPr>
        <w:tc>
          <w:tcPr>
            <w:tcW w:w="5047" w:type="dxa"/>
          </w:tcPr>
          <w:p w:rsidR="005C1E80" w:rsidRDefault="005C1E80" w:rsidP="00F57898">
            <w:pPr>
              <w:spacing w:after="0" w:line="240" w:lineRule="auto"/>
              <w:rPr>
                <w:rFonts w:ascii="Garamond" w:eastAsia="Times New Roman" w:hAnsi="Garamond" w:cs="Calibri"/>
                <w:color w:val="000000" w:themeColor="text1"/>
                <w:sz w:val="20"/>
                <w:szCs w:val="20"/>
              </w:rPr>
            </w:pPr>
            <w:r>
              <w:rPr>
                <w:rFonts w:ascii="Garamond" w:eastAsia="Times New Roman" w:hAnsi="Garamond" w:cs="Calibri"/>
                <w:color w:val="000000" w:themeColor="text1"/>
                <w:sz w:val="20"/>
                <w:szCs w:val="20"/>
              </w:rPr>
              <w:t>Član stožera – HGSS</w:t>
            </w:r>
          </w:p>
        </w:tc>
        <w:tc>
          <w:tcPr>
            <w:tcW w:w="3237" w:type="dxa"/>
          </w:tcPr>
          <w:p w:rsidR="005C1E80" w:rsidRDefault="005C1E80" w:rsidP="00F57898">
            <w:pPr>
              <w:spacing w:after="0" w:line="240" w:lineRule="auto"/>
              <w:rPr>
                <w:rFonts w:ascii="Garamond" w:eastAsia="Times New Roman" w:hAnsi="Garamond" w:cs="Calibri"/>
                <w:sz w:val="20"/>
                <w:szCs w:val="20"/>
              </w:rPr>
            </w:pPr>
            <w:r>
              <w:rPr>
                <w:rFonts w:ascii="Garamond" w:eastAsia="Times New Roman" w:hAnsi="Garamond" w:cs="Calibri"/>
                <w:sz w:val="20"/>
                <w:szCs w:val="20"/>
              </w:rPr>
              <w:t>Domagoj Kovačević</w:t>
            </w:r>
          </w:p>
        </w:tc>
      </w:tr>
    </w:tbl>
    <w:p w:rsidR="005C1E80" w:rsidRDefault="005C1E80" w:rsidP="005C1E80">
      <w:pPr>
        <w:autoSpaceDE w:val="0"/>
        <w:autoSpaceDN w:val="0"/>
        <w:adjustRightInd w:val="0"/>
        <w:spacing w:after="0" w:line="240" w:lineRule="auto"/>
        <w:jc w:val="both"/>
        <w:rPr>
          <w:rFonts w:ascii="Garamond" w:hAnsi="Garamond" w:cs="Arial"/>
          <w:b/>
          <w:bCs/>
          <w:color w:val="FF0000"/>
        </w:rPr>
      </w:pPr>
    </w:p>
    <w:p w:rsidR="005C1E80" w:rsidRDefault="005C1E80" w:rsidP="005C1E80">
      <w:pPr>
        <w:autoSpaceDE w:val="0"/>
        <w:autoSpaceDN w:val="0"/>
        <w:adjustRightInd w:val="0"/>
        <w:spacing w:after="0" w:line="240" w:lineRule="auto"/>
        <w:jc w:val="both"/>
        <w:rPr>
          <w:rFonts w:ascii="Garamond" w:hAnsi="Garamond" w:cs="Arial"/>
          <w:b/>
          <w:bCs/>
          <w:color w:val="FF0000"/>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r>
        <w:rPr>
          <w:rFonts w:ascii="Garamond" w:hAnsi="Garamond" w:cs="TimesNewRoman,Bold"/>
          <w:bCs/>
          <w:sz w:val="24"/>
          <w:szCs w:val="24"/>
        </w:rPr>
        <w:t xml:space="preserve">- </w:t>
      </w:r>
      <w:r>
        <w:rPr>
          <w:rFonts w:ascii="Garamond" w:hAnsi="Garamond" w:cstheme="minorHAnsi"/>
          <w:bCs/>
          <w:sz w:val="24"/>
          <w:szCs w:val="24"/>
        </w:rPr>
        <w:t>Održano je</w:t>
      </w:r>
      <w:r>
        <w:rPr>
          <w:rFonts w:ascii="Garamond" w:eastAsia="Calibri" w:hAnsi="Garamond" w:cstheme="minorHAnsi"/>
          <w:bCs/>
          <w:color w:val="FF0000"/>
          <w:sz w:val="24"/>
        </w:rPr>
        <w:t xml:space="preserve"> </w:t>
      </w:r>
      <w:r>
        <w:rPr>
          <w:rFonts w:ascii="Garamond" w:eastAsia="Calibri" w:hAnsi="Garamond" w:cstheme="minorHAnsi"/>
          <w:bCs/>
          <w:sz w:val="24"/>
        </w:rPr>
        <w:t>__ sjednica stožera civilne zaštite na kojima se raspravljalo o stanju sustava civilne zaštite na području općine</w:t>
      </w: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pStyle w:val="Odlomakpopisa"/>
        <w:numPr>
          <w:ilvl w:val="1"/>
          <w:numId w:val="4"/>
        </w:numPr>
        <w:autoSpaceDE w:val="0"/>
        <w:autoSpaceDN w:val="0"/>
        <w:adjustRightInd w:val="0"/>
        <w:spacing w:after="0" w:line="240" w:lineRule="auto"/>
        <w:jc w:val="both"/>
        <w:rPr>
          <w:rFonts w:ascii="Garamond" w:eastAsia="Calibri" w:hAnsi="Garamond" w:cstheme="minorHAnsi"/>
          <w:b/>
          <w:bCs/>
          <w:sz w:val="28"/>
          <w:szCs w:val="28"/>
        </w:rPr>
      </w:pPr>
      <w:r>
        <w:rPr>
          <w:rFonts w:ascii="Garamond" w:eastAsia="Calibri" w:hAnsi="Garamond" w:cstheme="minorHAnsi"/>
          <w:b/>
          <w:bCs/>
          <w:sz w:val="28"/>
          <w:szCs w:val="28"/>
        </w:rPr>
        <w:t>Postrojba civilne zaštite opće namjene</w:t>
      </w: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r>
        <w:rPr>
          <w:rFonts w:ascii="Garamond" w:eastAsia="Calibri" w:hAnsi="Garamond" w:cstheme="minorHAnsi"/>
          <w:bCs/>
          <w:sz w:val="24"/>
        </w:rPr>
        <w:t>Sukladno Procjeni rizika od velikih nesreća i Odluci o sastavu i strukturi postrojbe civilne zaštite ustrojena je postrojba civilne zaštite opće namjene koji broji  18 (osamnaest) obveznika.</w:t>
      </w: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r>
        <w:rPr>
          <w:rFonts w:ascii="Garamond" w:eastAsia="Calibri" w:hAnsi="Garamond" w:cstheme="minorHAnsi"/>
          <w:bCs/>
          <w:noProof/>
          <w:sz w:val="24"/>
          <w:lang w:eastAsia="hr-HR"/>
        </w:rPr>
        <w:lastRenderedPageBreak/>
        <w:drawing>
          <wp:inline distT="0" distB="0" distL="0" distR="0">
            <wp:extent cx="5784215" cy="3498215"/>
            <wp:effectExtent l="0" t="0" r="6985" b="6985"/>
            <wp:docPr id="674834106" name="Slika 1" descr="Slika na kojoj se prikazuje tekst, snimka zaslona, softver, Ikona na računalu&#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834106" name="Slika 1" descr="Slika na kojoj se prikazuje tekst, snimka zaslona, softver, Ikona na računalu&#10;&#10;Sadržaj generiran uz AI možda nije točan."/>
                    <pic:cNvPicPr>
                      <a:picLocks noChangeAspect="1"/>
                    </pic:cNvPicPr>
                  </pic:nvPicPr>
                  <pic:blipFill>
                    <a:blip r:embed="rId12" cstate="print"/>
                    <a:srcRect l="28474" t="26079" r="27860" b="23932"/>
                    <a:stretch>
                      <a:fillRect/>
                    </a:stretch>
                  </pic:blipFill>
                  <pic:spPr>
                    <a:xfrm>
                      <a:off x="0" y="0"/>
                      <a:ext cx="5800065" cy="3508160"/>
                    </a:xfrm>
                    <a:prstGeom prst="rect">
                      <a:avLst/>
                    </a:prstGeom>
                    <a:ln>
                      <a:noFill/>
                    </a:ln>
                  </pic:spPr>
                </pic:pic>
              </a:graphicData>
            </a:graphic>
          </wp:inline>
        </w:drawing>
      </w: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numPr>
          <w:ilvl w:val="1"/>
          <w:numId w:val="4"/>
        </w:numPr>
        <w:autoSpaceDE w:val="0"/>
        <w:autoSpaceDN w:val="0"/>
        <w:adjustRightInd w:val="0"/>
        <w:spacing w:after="0" w:line="240" w:lineRule="auto"/>
        <w:jc w:val="both"/>
        <w:rPr>
          <w:rFonts w:ascii="Garamond" w:eastAsia="Calibri" w:hAnsi="Garamond" w:cs="Calibri"/>
          <w:b/>
          <w:sz w:val="28"/>
          <w:szCs w:val="28"/>
        </w:rPr>
      </w:pPr>
      <w:r>
        <w:rPr>
          <w:rFonts w:ascii="Garamond" w:eastAsia="Calibri" w:hAnsi="Garamond" w:cs="Calibri"/>
          <w:b/>
          <w:sz w:val="28"/>
          <w:szCs w:val="28"/>
        </w:rPr>
        <w:t>Povjerenici civilne zaštite</w:t>
      </w:r>
    </w:p>
    <w:p w:rsidR="005C1E80" w:rsidRDefault="005C1E80" w:rsidP="005C1E80">
      <w:pPr>
        <w:autoSpaceDE w:val="0"/>
        <w:autoSpaceDN w:val="0"/>
        <w:adjustRightInd w:val="0"/>
        <w:spacing w:after="0" w:line="240" w:lineRule="auto"/>
        <w:jc w:val="both"/>
        <w:rPr>
          <w:rFonts w:ascii="Garamond" w:eastAsia="Calibri" w:hAnsi="Garamond" w:cs="Calibri"/>
          <w:sz w:val="24"/>
          <w:szCs w:val="24"/>
        </w:rPr>
      </w:pPr>
    </w:p>
    <w:p w:rsidR="005C1E80" w:rsidRDefault="005C1E80" w:rsidP="005C1E80">
      <w:pPr>
        <w:autoSpaceDE w:val="0"/>
        <w:autoSpaceDN w:val="0"/>
        <w:adjustRightInd w:val="0"/>
        <w:spacing w:after="0" w:line="240" w:lineRule="auto"/>
        <w:jc w:val="both"/>
        <w:rPr>
          <w:rFonts w:ascii="Garamond" w:eastAsia="Calibri" w:hAnsi="Garamond" w:cs="Calibri"/>
          <w:sz w:val="24"/>
          <w:szCs w:val="24"/>
        </w:rPr>
      </w:pPr>
      <w:r>
        <w:rPr>
          <w:rFonts w:ascii="Garamond" w:eastAsia="Calibri" w:hAnsi="Garamond" w:cs="Calibri"/>
          <w:sz w:val="24"/>
          <w:szCs w:val="24"/>
        </w:rPr>
        <w:t>Za 6 (šest) mjesnih odbora određeni su povjerenici civilne zaštite sukladno planu civilne zaštite.</w:t>
      </w:r>
    </w:p>
    <w:tbl>
      <w:tblPr>
        <w:tblW w:w="73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30" w:type="dxa"/>
          <w:right w:w="30" w:type="dxa"/>
        </w:tblCellMar>
        <w:tblLook w:val="04A0"/>
      </w:tblPr>
      <w:tblGrid>
        <w:gridCol w:w="1559"/>
        <w:gridCol w:w="2126"/>
        <w:gridCol w:w="1984"/>
        <w:gridCol w:w="1701"/>
      </w:tblGrid>
      <w:tr w:rsidR="005C1E80" w:rsidTr="00F57898">
        <w:trPr>
          <w:trHeight w:val="242"/>
          <w:jc w:val="center"/>
        </w:trPr>
        <w:tc>
          <w:tcPr>
            <w:tcW w:w="1559" w:type="dxa"/>
            <w:shd w:val="clear" w:color="auto" w:fill="D9D9D9" w:themeFill="background1" w:themeFillShade="D9"/>
          </w:tcPr>
          <w:p w:rsidR="005C1E80" w:rsidRDefault="005C1E80" w:rsidP="00F57898">
            <w:pPr>
              <w:spacing w:after="0"/>
              <w:jc w:val="center"/>
              <w:rPr>
                <w:rFonts w:ascii="Calibri" w:hAnsi="Calibri"/>
                <w:i/>
                <w:iCs/>
              </w:rPr>
            </w:pPr>
            <w:r>
              <w:rPr>
                <w:rFonts w:ascii="Calibri" w:hAnsi="Calibri"/>
                <w:i/>
                <w:iCs/>
              </w:rPr>
              <w:t>Naselje</w:t>
            </w:r>
          </w:p>
        </w:tc>
        <w:tc>
          <w:tcPr>
            <w:tcW w:w="2126" w:type="dxa"/>
            <w:tcBorders>
              <w:left w:val="single" w:sz="4" w:space="0" w:color="auto"/>
              <w:bottom w:val="single" w:sz="4" w:space="0" w:color="auto"/>
              <w:right w:val="single" w:sz="4" w:space="0" w:color="auto"/>
            </w:tcBorders>
            <w:shd w:val="clear" w:color="auto" w:fill="D9D9D9" w:themeFill="background1" w:themeFillShade="D9"/>
          </w:tcPr>
          <w:p w:rsidR="005C1E80" w:rsidRDefault="005C1E80" w:rsidP="00F57898">
            <w:pPr>
              <w:spacing w:after="0"/>
              <w:jc w:val="center"/>
              <w:rPr>
                <w:rFonts w:ascii="Calibri" w:hAnsi="Calibri"/>
                <w:i/>
                <w:iCs/>
              </w:rPr>
            </w:pPr>
            <w:r>
              <w:rPr>
                <w:rFonts w:ascii="Calibri" w:hAnsi="Calibri"/>
                <w:i/>
                <w:iCs/>
              </w:rPr>
              <w:t>Povjerenici</w:t>
            </w:r>
          </w:p>
        </w:tc>
        <w:tc>
          <w:tcPr>
            <w:tcW w:w="1984" w:type="dxa"/>
            <w:tcBorders>
              <w:left w:val="single" w:sz="4" w:space="0" w:color="auto"/>
              <w:bottom w:val="single" w:sz="4" w:space="0" w:color="auto"/>
              <w:right w:val="single" w:sz="4" w:space="0" w:color="auto"/>
            </w:tcBorders>
            <w:shd w:val="clear" w:color="auto" w:fill="D9D9D9" w:themeFill="background1" w:themeFillShade="D9"/>
          </w:tcPr>
          <w:p w:rsidR="005C1E80" w:rsidRDefault="005C1E80" w:rsidP="00F57898">
            <w:pPr>
              <w:spacing w:after="0"/>
              <w:jc w:val="center"/>
              <w:rPr>
                <w:rFonts w:ascii="Calibri" w:hAnsi="Calibri"/>
                <w:i/>
                <w:iCs/>
              </w:rPr>
            </w:pPr>
            <w:r>
              <w:rPr>
                <w:rFonts w:ascii="Calibri" w:hAnsi="Calibri"/>
                <w:i/>
                <w:iCs/>
              </w:rPr>
              <w:t>Zamjenici povjerenika</w:t>
            </w:r>
          </w:p>
        </w:tc>
        <w:tc>
          <w:tcPr>
            <w:tcW w:w="1701" w:type="dxa"/>
            <w:tcBorders>
              <w:left w:val="single" w:sz="4" w:space="0" w:color="auto"/>
              <w:bottom w:val="single" w:sz="4" w:space="0" w:color="auto"/>
            </w:tcBorders>
            <w:shd w:val="clear" w:color="auto" w:fill="D9D9D9" w:themeFill="background1" w:themeFillShade="D9"/>
          </w:tcPr>
          <w:p w:rsidR="005C1E80" w:rsidRDefault="005C1E80" w:rsidP="00F57898">
            <w:pPr>
              <w:spacing w:after="0"/>
              <w:jc w:val="center"/>
              <w:rPr>
                <w:rFonts w:ascii="Calibri" w:hAnsi="Calibri"/>
                <w:i/>
                <w:iCs/>
              </w:rPr>
            </w:pPr>
            <w:r>
              <w:rPr>
                <w:rFonts w:ascii="Calibri" w:hAnsi="Calibri"/>
                <w:i/>
                <w:iCs/>
              </w:rPr>
              <w:t>Ukupno</w:t>
            </w:r>
          </w:p>
        </w:tc>
      </w:tr>
      <w:tr w:rsidR="005C1E80" w:rsidTr="00F57898">
        <w:trPr>
          <w:trHeight w:val="242"/>
          <w:jc w:val="center"/>
        </w:trPr>
        <w:tc>
          <w:tcPr>
            <w:tcW w:w="1559" w:type="dxa"/>
          </w:tcPr>
          <w:p w:rsidR="005C1E80" w:rsidRDefault="005C1E80" w:rsidP="00F57898">
            <w:pPr>
              <w:spacing w:after="0"/>
              <w:rPr>
                <w:rFonts w:ascii="Calibri" w:hAnsi="Calibri"/>
                <w:sz w:val="20"/>
              </w:rPr>
            </w:pPr>
            <w:r>
              <w:rPr>
                <w:rFonts w:ascii="Calibri" w:eastAsia="Times New Roman" w:hAnsi="Calibri" w:cs="Times New Roman"/>
                <w:sz w:val="20"/>
                <w:szCs w:val="20"/>
              </w:rPr>
              <w:t>Dubovac</w:t>
            </w:r>
          </w:p>
        </w:tc>
        <w:tc>
          <w:tcPr>
            <w:tcW w:w="2126" w:type="dxa"/>
            <w:tcBorders>
              <w:left w:val="single" w:sz="4" w:space="0" w:color="auto"/>
              <w:bottom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i/>
                <w:iCs/>
                <w:sz w:val="20"/>
                <w:szCs w:val="20"/>
              </w:rPr>
            </w:pPr>
            <w:r>
              <w:rPr>
                <w:rFonts w:ascii="Calibri" w:hAnsi="Calibri"/>
                <w:i/>
                <w:iCs/>
                <w:sz w:val="20"/>
                <w:szCs w:val="20"/>
              </w:rPr>
              <w:t>1</w:t>
            </w:r>
          </w:p>
        </w:tc>
        <w:tc>
          <w:tcPr>
            <w:tcW w:w="1984" w:type="dxa"/>
            <w:tcBorders>
              <w:left w:val="single" w:sz="4" w:space="0" w:color="auto"/>
              <w:bottom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i/>
                <w:iCs/>
                <w:sz w:val="20"/>
                <w:szCs w:val="20"/>
              </w:rPr>
            </w:pPr>
            <w:r>
              <w:rPr>
                <w:rFonts w:ascii="Calibri" w:hAnsi="Calibri"/>
                <w:i/>
                <w:iCs/>
                <w:sz w:val="20"/>
                <w:szCs w:val="20"/>
              </w:rPr>
              <w:t>1</w:t>
            </w:r>
          </w:p>
        </w:tc>
        <w:tc>
          <w:tcPr>
            <w:tcW w:w="1701" w:type="dxa"/>
            <w:tcBorders>
              <w:left w:val="single" w:sz="4" w:space="0" w:color="auto"/>
              <w:bottom w:val="single" w:sz="4" w:space="0" w:color="auto"/>
            </w:tcBorders>
            <w:shd w:val="clear" w:color="auto" w:fill="FFFFFF" w:themeFill="background1"/>
          </w:tcPr>
          <w:p w:rsidR="005C1E80" w:rsidRDefault="005C1E80" w:rsidP="00F57898">
            <w:pPr>
              <w:spacing w:after="0"/>
              <w:jc w:val="center"/>
              <w:rPr>
                <w:rFonts w:ascii="Calibri" w:hAnsi="Calibri"/>
                <w:i/>
                <w:iCs/>
                <w:sz w:val="20"/>
                <w:szCs w:val="20"/>
              </w:rPr>
            </w:pPr>
            <w:r>
              <w:rPr>
                <w:rFonts w:ascii="Calibri" w:hAnsi="Calibri"/>
                <w:i/>
                <w:iCs/>
                <w:sz w:val="20"/>
                <w:szCs w:val="20"/>
              </w:rPr>
              <w:t>2</w:t>
            </w:r>
          </w:p>
        </w:tc>
      </w:tr>
      <w:tr w:rsidR="005C1E80" w:rsidTr="00F57898">
        <w:trPr>
          <w:trHeight w:val="242"/>
          <w:jc w:val="center"/>
        </w:trPr>
        <w:tc>
          <w:tcPr>
            <w:tcW w:w="1559" w:type="dxa"/>
          </w:tcPr>
          <w:p w:rsidR="005C1E80" w:rsidRDefault="005C1E80" w:rsidP="00F57898">
            <w:pPr>
              <w:spacing w:after="0"/>
              <w:rPr>
                <w:rFonts w:ascii="Calibri" w:hAnsi="Calibri"/>
                <w:sz w:val="20"/>
              </w:rPr>
            </w:pPr>
            <w:r>
              <w:rPr>
                <w:rFonts w:ascii="Calibri" w:eastAsia="Times New Roman" w:hAnsi="Calibri" w:cs="Times New Roman"/>
                <w:sz w:val="20"/>
                <w:szCs w:val="20"/>
              </w:rPr>
              <w:t>Gornji Bogićevci</w:t>
            </w:r>
          </w:p>
        </w:tc>
        <w:tc>
          <w:tcPr>
            <w:tcW w:w="2126" w:type="dxa"/>
            <w:tcBorders>
              <w:left w:val="single" w:sz="4" w:space="0" w:color="auto"/>
              <w:bottom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i/>
                <w:iCs/>
                <w:sz w:val="20"/>
                <w:szCs w:val="20"/>
              </w:rPr>
            </w:pPr>
            <w:r>
              <w:rPr>
                <w:rFonts w:ascii="Calibri" w:hAnsi="Calibri"/>
                <w:i/>
                <w:iCs/>
                <w:sz w:val="20"/>
                <w:szCs w:val="20"/>
              </w:rPr>
              <w:t>2</w:t>
            </w:r>
          </w:p>
        </w:tc>
        <w:tc>
          <w:tcPr>
            <w:tcW w:w="1984" w:type="dxa"/>
            <w:tcBorders>
              <w:left w:val="single" w:sz="4" w:space="0" w:color="auto"/>
              <w:bottom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i/>
                <w:iCs/>
                <w:sz w:val="20"/>
                <w:szCs w:val="20"/>
              </w:rPr>
            </w:pPr>
            <w:r>
              <w:rPr>
                <w:rFonts w:ascii="Calibri" w:hAnsi="Calibri"/>
                <w:i/>
                <w:iCs/>
                <w:sz w:val="20"/>
                <w:szCs w:val="20"/>
              </w:rPr>
              <w:t>2</w:t>
            </w:r>
          </w:p>
        </w:tc>
        <w:tc>
          <w:tcPr>
            <w:tcW w:w="1701" w:type="dxa"/>
            <w:tcBorders>
              <w:left w:val="single" w:sz="4" w:space="0" w:color="auto"/>
              <w:bottom w:val="single" w:sz="4" w:space="0" w:color="auto"/>
            </w:tcBorders>
            <w:shd w:val="clear" w:color="auto" w:fill="FFFFFF" w:themeFill="background1"/>
          </w:tcPr>
          <w:p w:rsidR="005C1E80" w:rsidRDefault="005C1E80" w:rsidP="00F57898">
            <w:pPr>
              <w:spacing w:after="0"/>
              <w:jc w:val="center"/>
              <w:rPr>
                <w:rFonts w:ascii="Calibri" w:hAnsi="Calibri"/>
                <w:i/>
                <w:iCs/>
                <w:sz w:val="20"/>
                <w:szCs w:val="20"/>
              </w:rPr>
            </w:pPr>
            <w:r>
              <w:rPr>
                <w:rFonts w:ascii="Calibri" w:hAnsi="Calibri"/>
                <w:i/>
                <w:iCs/>
                <w:sz w:val="20"/>
                <w:szCs w:val="20"/>
              </w:rPr>
              <w:t>4</w:t>
            </w:r>
          </w:p>
        </w:tc>
      </w:tr>
      <w:tr w:rsidR="005C1E80" w:rsidTr="00F57898">
        <w:trPr>
          <w:trHeight w:val="242"/>
          <w:jc w:val="center"/>
        </w:trPr>
        <w:tc>
          <w:tcPr>
            <w:tcW w:w="1559" w:type="dxa"/>
          </w:tcPr>
          <w:p w:rsidR="005C1E80" w:rsidRDefault="005C1E80" w:rsidP="00F57898">
            <w:pPr>
              <w:spacing w:after="0"/>
              <w:rPr>
                <w:rFonts w:ascii="Calibri" w:hAnsi="Calibri"/>
                <w:sz w:val="20"/>
              </w:rPr>
            </w:pPr>
            <w:r>
              <w:rPr>
                <w:rFonts w:ascii="Calibri" w:eastAsia="Times New Roman" w:hAnsi="Calibri" w:cs="Times New Roman"/>
                <w:sz w:val="20"/>
                <w:szCs w:val="20"/>
              </w:rPr>
              <w:t>Kosovac</w:t>
            </w:r>
          </w:p>
        </w:tc>
        <w:tc>
          <w:tcPr>
            <w:tcW w:w="2126" w:type="dxa"/>
            <w:tcBorders>
              <w:left w:val="single" w:sz="4" w:space="0" w:color="auto"/>
              <w:bottom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1</w:t>
            </w:r>
          </w:p>
        </w:tc>
        <w:tc>
          <w:tcPr>
            <w:tcW w:w="1984" w:type="dxa"/>
            <w:tcBorders>
              <w:left w:val="single" w:sz="4" w:space="0" w:color="auto"/>
              <w:bottom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1</w:t>
            </w:r>
          </w:p>
        </w:tc>
        <w:tc>
          <w:tcPr>
            <w:tcW w:w="1701" w:type="dxa"/>
            <w:tcBorders>
              <w:left w:val="single" w:sz="4" w:space="0" w:color="auto"/>
              <w:bottom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2</w:t>
            </w:r>
          </w:p>
        </w:tc>
      </w:tr>
      <w:tr w:rsidR="005C1E80" w:rsidTr="00F57898">
        <w:trPr>
          <w:trHeight w:val="242"/>
          <w:jc w:val="center"/>
        </w:trPr>
        <w:tc>
          <w:tcPr>
            <w:tcW w:w="1559" w:type="dxa"/>
          </w:tcPr>
          <w:p w:rsidR="005C1E80" w:rsidRDefault="005C1E80" w:rsidP="00F57898">
            <w:pPr>
              <w:spacing w:after="0"/>
              <w:rPr>
                <w:rFonts w:ascii="Calibri" w:hAnsi="Calibri"/>
                <w:sz w:val="20"/>
              </w:rPr>
            </w:pPr>
            <w:r>
              <w:rPr>
                <w:rFonts w:ascii="Calibri" w:eastAsia="Times New Roman" w:hAnsi="Calibri" w:cs="Times New Roman"/>
                <w:sz w:val="20"/>
                <w:szCs w:val="20"/>
              </w:rPr>
              <w:t>Ratkovac</w:t>
            </w:r>
          </w:p>
        </w:tc>
        <w:tc>
          <w:tcPr>
            <w:tcW w:w="2126" w:type="dxa"/>
            <w:tcBorders>
              <w:top w:val="single" w:sz="4" w:space="0" w:color="auto"/>
              <w:left w:val="single" w:sz="4" w:space="0" w:color="auto"/>
              <w:bottom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1</w:t>
            </w:r>
          </w:p>
        </w:tc>
        <w:tc>
          <w:tcPr>
            <w:tcW w:w="1984" w:type="dxa"/>
            <w:tcBorders>
              <w:top w:val="single" w:sz="4" w:space="0" w:color="auto"/>
              <w:left w:val="single" w:sz="4" w:space="0" w:color="auto"/>
              <w:bottom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1</w:t>
            </w:r>
          </w:p>
        </w:tc>
        <w:tc>
          <w:tcPr>
            <w:tcW w:w="1701" w:type="dxa"/>
            <w:tcBorders>
              <w:top w:val="single" w:sz="4" w:space="0" w:color="auto"/>
              <w:left w:val="single" w:sz="4" w:space="0" w:color="auto"/>
              <w:bottom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2</w:t>
            </w:r>
          </w:p>
        </w:tc>
      </w:tr>
      <w:tr w:rsidR="005C1E80" w:rsidTr="00F57898">
        <w:trPr>
          <w:trHeight w:val="537"/>
          <w:jc w:val="center"/>
        </w:trPr>
        <w:tc>
          <w:tcPr>
            <w:tcW w:w="1559" w:type="dxa"/>
          </w:tcPr>
          <w:p w:rsidR="005C1E80" w:rsidRDefault="005C1E80" w:rsidP="00F57898">
            <w:pPr>
              <w:spacing w:after="0"/>
              <w:rPr>
                <w:rFonts w:ascii="Calibri" w:hAnsi="Calibri"/>
                <w:sz w:val="20"/>
              </w:rPr>
            </w:pPr>
            <w:r>
              <w:rPr>
                <w:rFonts w:ascii="Calibri" w:eastAsia="Times New Roman" w:hAnsi="Calibri" w:cs="Times New Roman"/>
                <w:sz w:val="20"/>
                <w:szCs w:val="20"/>
              </w:rPr>
              <w:t>Smrtić</w:t>
            </w:r>
          </w:p>
          <w:p w:rsidR="005C1E80" w:rsidRDefault="005C1E80" w:rsidP="00F57898">
            <w:pPr>
              <w:spacing w:after="0"/>
              <w:rPr>
                <w:rFonts w:ascii="Calibri" w:hAnsi="Calibri"/>
                <w:sz w:val="20"/>
              </w:rPr>
            </w:pPr>
            <w:r>
              <w:rPr>
                <w:rFonts w:ascii="Calibri" w:eastAsia="Times New Roman" w:hAnsi="Calibri" w:cs="Times New Roman"/>
                <w:sz w:val="20"/>
                <w:szCs w:val="20"/>
              </w:rPr>
              <w:t>Trnava</w:t>
            </w:r>
          </w:p>
        </w:tc>
        <w:tc>
          <w:tcPr>
            <w:tcW w:w="2126" w:type="dxa"/>
            <w:tcBorders>
              <w:left w:val="single" w:sz="4" w:space="0" w:color="auto"/>
              <w:right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1</w:t>
            </w:r>
          </w:p>
          <w:p w:rsidR="005C1E80" w:rsidRDefault="005C1E80" w:rsidP="00F57898">
            <w:pPr>
              <w:spacing w:after="0"/>
              <w:jc w:val="center"/>
              <w:rPr>
                <w:rFonts w:ascii="Calibri" w:hAnsi="Calibri"/>
                <w:sz w:val="20"/>
                <w:szCs w:val="20"/>
              </w:rPr>
            </w:pPr>
          </w:p>
        </w:tc>
        <w:tc>
          <w:tcPr>
            <w:tcW w:w="1984" w:type="dxa"/>
            <w:tcBorders>
              <w:left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1</w:t>
            </w:r>
          </w:p>
          <w:p w:rsidR="005C1E80" w:rsidRDefault="005C1E80" w:rsidP="00F57898">
            <w:pPr>
              <w:spacing w:after="0"/>
              <w:jc w:val="center"/>
              <w:rPr>
                <w:rFonts w:ascii="Calibri" w:hAnsi="Calibri"/>
                <w:sz w:val="20"/>
                <w:szCs w:val="20"/>
              </w:rPr>
            </w:pPr>
          </w:p>
        </w:tc>
        <w:tc>
          <w:tcPr>
            <w:tcW w:w="1701" w:type="dxa"/>
            <w:tcBorders>
              <w:left w:val="single" w:sz="4" w:space="0" w:color="auto"/>
            </w:tcBorders>
            <w:shd w:val="clear" w:color="auto" w:fill="FFFFFF" w:themeFill="background1"/>
          </w:tcPr>
          <w:p w:rsidR="005C1E80" w:rsidRDefault="005C1E80" w:rsidP="00F57898">
            <w:pPr>
              <w:spacing w:after="0"/>
              <w:jc w:val="center"/>
              <w:rPr>
                <w:rFonts w:ascii="Calibri" w:hAnsi="Calibri"/>
                <w:sz w:val="20"/>
                <w:szCs w:val="20"/>
              </w:rPr>
            </w:pPr>
            <w:r>
              <w:rPr>
                <w:rFonts w:ascii="Calibri" w:hAnsi="Calibri"/>
                <w:sz w:val="20"/>
                <w:szCs w:val="20"/>
              </w:rPr>
              <w:t>2</w:t>
            </w:r>
          </w:p>
          <w:p w:rsidR="005C1E80" w:rsidRDefault="005C1E80" w:rsidP="00F57898">
            <w:pPr>
              <w:spacing w:after="0"/>
              <w:jc w:val="center"/>
              <w:rPr>
                <w:rFonts w:ascii="Calibri" w:hAnsi="Calibri"/>
                <w:sz w:val="20"/>
                <w:szCs w:val="20"/>
              </w:rPr>
            </w:pPr>
          </w:p>
        </w:tc>
      </w:tr>
      <w:tr w:rsidR="005C1E80" w:rsidTr="00F57898">
        <w:trPr>
          <w:trHeight w:val="242"/>
          <w:jc w:val="center"/>
        </w:trPr>
        <w:tc>
          <w:tcPr>
            <w:tcW w:w="1559" w:type="dxa"/>
            <w:shd w:val="clear" w:color="auto" w:fill="F2F2F2" w:themeFill="background1" w:themeFillShade="F2"/>
          </w:tcPr>
          <w:p w:rsidR="005C1E80" w:rsidRDefault="005C1E80" w:rsidP="00F57898">
            <w:pPr>
              <w:spacing w:after="0"/>
              <w:rPr>
                <w:rFonts w:ascii="Calibri" w:hAnsi="Calibri"/>
                <w:i/>
                <w:iCs/>
              </w:rPr>
            </w:pPr>
            <w:r>
              <w:rPr>
                <w:rFonts w:ascii="Calibri" w:hAnsi="Calibri"/>
                <w:i/>
                <w:iCs/>
              </w:rPr>
              <w:t>UKUPNO:</w:t>
            </w:r>
          </w:p>
        </w:tc>
        <w:tc>
          <w:tcPr>
            <w:tcW w:w="2126" w:type="dxa"/>
            <w:tcBorders>
              <w:left w:val="single" w:sz="4" w:space="0" w:color="auto"/>
              <w:right w:val="single" w:sz="4" w:space="0" w:color="auto"/>
            </w:tcBorders>
            <w:shd w:val="clear" w:color="auto" w:fill="F2F2F2" w:themeFill="background1" w:themeFillShade="F2"/>
          </w:tcPr>
          <w:p w:rsidR="005C1E80" w:rsidRDefault="005C1E80" w:rsidP="00F57898">
            <w:pPr>
              <w:spacing w:after="0"/>
              <w:jc w:val="center"/>
              <w:rPr>
                <w:rFonts w:ascii="Calibri" w:hAnsi="Calibri"/>
                <w:i/>
                <w:iCs/>
                <w:sz w:val="20"/>
                <w:szCs w:val="20"/>
              </w:rPr>
            </w:pPr>
            <w:r>
              <w:rPr>
                <w:rFonts w:ascii="Calibri" w:hAnsi="Calibri"/>
                <w:i/>
                <w:iCs/>
                <w:sz w:val="20"/>
                <w:szCs w:val="20"/>
              </w:rPr>
              <w:t>6</w:t>
            </w:r>
          </w:p>
        </w:tc>
        <w:tc>
          <w:tcPr>
            <w:tcW w:w="1984" w:type="dxa"/>
            <w:tcBorders>
              <w:left w:val="single" w:sz="4" w:space="0" w:color="auto"/>
            </w:tcBorders>
            <w:shd w:val="clear" w:color="auto" w:fill="F2F2F2" w:themeFill="background1" w:themeFillShade="F2"/>
          </w:tcPr>
          <w:p w:rsidR="005C1E80" w:rsidRDefault="005C1E80" w:rsidP="00F57898">
            <w:pPr>
              <w:spacing w:after="0"/>
              <w:jc w:val="center"/>
              <w:rPr>
                <w:rFonts w:ascii="Calibri" w:hAnsi="Calibri"/>
                <w:i/>
                <w:iCs/>
                <w:sz w:val="20"/>
                <w:szCs w:val="20"/>
              </w:rPr>
            </w:pPr>
            <w:r>
              <w:rPr>
                <w:rFonts w:ascii="Calibri" w:hAnsi="Calibri"/>
                <w:i/>
                <w:iCs/>
                <w:sz w:val="20"/>
                <w:szCs w:val="20"/>
              </w:rPr>
              <w:t>6</w:t>
            </w:r>
          </w:p>
        </w:tc>
        <w:tc>
          <w:tcPr>
            <w:tcW w:w="1701" w:type="dxa"/>
            <w:tcBorders>
              <w:left w:val="single" w:sz="4" w:space="0" w:color="auto"/>
            </w:tcBorders>
            <w:shd w:val="clear" w:color="auto" w:fill="F2F2F2" w:themeFill="background1" w:themeFillShade="F2"/>
          </w:tcPr>
          <w:p w:rsidR="005C1E80" w:rsidRDefault="005C1E80" w:rsidP="00F57898">
            <w:pPr>
              <w:spacing w:after="0"/>
              <w:jc w:val="center"/>
              <w:rPr>
                <w:rFonts w:ascii="Calibri" w:hAnsi="Calibri"/>
                <w:i/>
                <w:iCs/>
                <w:sz w:val="20"/>
                <w:szCs w:val="20"/>
              </w:rPr>
            </w:pPr>
            <w:r>
              <w:rPr>
                <w:rFonts w:ascii="Calibri" w:hAnsi="Calibri"/>
                <w:i/>
                <w:iCs/>
                <w:sz w:val="20"/>
                <w:szCs w:val="20"/>
              </w:rPr>
              <w:t>12</w:t>
            </w:r>
          </w:p>
        </w:tc>
      </w:tr>
    </w:tbl>
    <w:p w:rsidR="005C1E80" w:rsidRDefault="005C1E80" w:rsidP="005C1E80">
      <w:pPr>
        <w:autoSpaceDE w:val="0"/>
        <w:autoSpaceDN w:val="0"/>
        <w:adjustRightInd w:val="0"/>
        <w:spacing w:after="0" w:line="240" w:lineRule="auto"/>
        <w:jc w:val="both"/>
        <w:rPr>
          <w:rFonts w:ascii="Garamond" w:eastAsia="Calibri" w:hAnsi="Garamond" w:cs="Calibri"/>
          <w:sz w:val="24"/>
          <w:szCs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pStyle w:val="Odlomakpopisa"/>
        <w:numPr>
          <w:ilvl w:val="0"/>
          <w:numId w:val="4"/>
        </w:numPr>
        <w:autoSpaceDE w:val="0"/>
        <w:autoSpaceDN w:val="0"/>
        <w:adjustRightInd w:val="0"/>
        <w:spacing w:after="0" w:line="240" w:lineRule="auto"/>
        <w:jc w:val="both"/>
        <w:rPr>
          <w:rFonts w:ascii="Garamond" w:eastAsia="Calibri" w:hAnsi="Garamond" w:cstheme="minorHAnsi"/>
          <w:b/>
          <w:bCs/>
          <w:sz w:val="28"/>
          <w:szCs w:val="28"/>
        </w:rPr>
      </w:pPr>
      <w:r>
        <w:rPr>
          <w:rFonts w:ascii="Garamond" w:eastAsia="Calibri" w:hAnsi="Garamond" w:cstheme="minorHAnsi"/>
          <w:b/>
          <w:bCs/>
          <w:sz w:val="28"/>
          <w:szCs w:val="28"/>
        </w:rPr>
        <w:t>PREVENTIVA</w:t>
      </w:r>
    </w:p>
    <w:p w:rsidR="005C1E80" w:rsidRDefault="005C1E80" w:rsidP="005C1E80">
      <w:pPr>
        <w:pStyle w:val="Odlomakpopisa"/>
        <w:autoSpaceDE w:val="0"/>
        <w:autoSpaceDN w:val="0"/>
        <w:adjustRightInd w:val="0"/>
        <w:spacing w:after="0" w:line="240" w:lineRule="auto"/>
        <w:jc w:val="both"/>
        <w:rPr>
          <w:rFonts w:ascii="Garamond" w:eastAsia="Calibri" w:hAnsi="Garamond" w:cstheme="minorHAnsi"/>
          <w:b/>
          <w:bCs/>
          <w:sz w:val="28"/>
          <w:szCs w:val="28"/>
        </w:rPr>
      </w:pPr>
    </w:p>
    <w:p w:rsidR="005C1E80" w:rsidRDefault="005C1E80" w:rsidP="00A66748">
      <w:pPr>
        <w:pStyle w:val="Odlomakpopisa"/>
        <w:numPr>
          <w:ilvl w:val="0"/>
          <w:numId w:val="57"/>
        </w:numPr>
        <w:autoSpaceDE w:val="0"/>
        <w:autoSpaceDN w:val="0"/>
        <w:adjustRightInd w:val="0"/>
        <w:spacing w:after="0" w:line="240" w:lineRule="auto"/>
        <w:jc w:val="both"/>
        <w:rPr>
          <w:rFonts w:ascii="Garamond" w:eastAsia="Calibri" w:hAnsi="Garamond" w:cstheme="minorHAnsi"/>
          <w:bCs/>
          <w:sz w:val="24"/>
        </w:rPr>
      </w:pPr>
      <w:bookmarkStart w:id="19" w:name="_Hlk24715484"/>
      <w:r>
        <w:rPr>
          <w:rFonts w:ascii="Garamond" w:eastAsia="Calibri" w:hAnsi="Garamond" w:cstheme="minorHAnsi"/>
          <w:bCs/>
          <w:sz w:val="24"/>
        </w:rPr>
        <w:t>Donesen je Plan djelovanja civilne zaštite</w:t>
      </w:r>
    </w:p>
    <w:p w:rsidR="005C1E80" w:rsidRDefault="005C1E80" w:rsidP="00A66748">
      <w:pPr>
        <w:pStyle w:val="Odlomakpopisa"/>
        <w:numPr>
          <w:ilvl w:val="0"/>
          <w:numId w:val="57"/>
        </w:numPr>
        <w:autoSpaceDE w:val="0"/>
        <w:autoSpaceDN w:val="0"/>
        <w:adjustRightInd w:val="0"/>
        <w:spacing w:after="0" w:line="240" w:lineRule="auto"/>
        <w:jc w:val="both"/>
        <w:rPr>
          <w:rFonts w:ascii="Garamond" w:eastAsia="Calibri" w:hAnsi="Garamond" w:cstheme="minorHAnsi"/>
          <w:bCs/>
          <w:sz w:val="24"/>
        </w:rPr>
      </w:pPr>
      <w:bookmarkStart w:id="20" w:name="_Hlk24710548"/>
      <w:r>
        <w:rPr>
          <w:rFonts w:ascii="Garamond" w:eastAsia="Calibri" w:hAnsi="Garamond" w:cstheme="minorHAnsi"/>
          <w:bCs/>
          <w:sz w:val="24"/>
        </w:rPr>
        <w:t>Donesen je Plan djelovanja u području prirodnih nepogoda</w:t>
      </w:r>
    </w:p>
    <w:bookmarkEnd w:id="20"/>
    <w:p w:rsidR="005C1E80" w:rsidRDefault="005C1E80" w:rsidP="00A66748">
      <w:pPr>
        <w:pStyle w:val="Odlomakpopisa"/>
        <w:numPr>
          <w:ilvl w:val="0"/>
          <w:numId w:val="57"/>
        </w:numPr>
        <w:autoSpaceDE w:val="0"/>
        <w:autoSpaceDN w:val="0"/>
        <w:adjustRightInd w:val="0"/>
        <w:spacing w:after="0" w:line="240" w:lineRule="auto"/>
        <w:jc w:val="both"/>
        <w:rPr>
          <w:rFonts w:ascii="Garamond" w:eastAsia="Calibri" w:hAnsi="Garamond" w:cstheme="minorHAnsi"/>
          <w:bCs/>
          <w:sz w:val="24"/>
        </w:rPr>
      </w:pPr>
      <w:r>
        <w:rPr>
          <w:rFonts w:ascii="Garamond" w:eastAsia="Calibri" w:hAnsi="Garamond" w:cstheme="minorHAnsi"/>
          <w:bCs/>
          <w:sz w:val="24"/>
        </w:rPr>
        <w:t>Donesen je operativni postupovnik</w:t>
      </w: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autoSpaceDE w:val="0"/>
        <w:autoSpaceDN w:val="0"/>
        <w:adjustRightInd w:val="0"/>
        <w:spacing w:after="0" w:line="240" w:lineRule="auto"/>
        <w:jc w:val="both"/>
        <w:rPr>
          <w:rFonts w:ascii="Garamond" w:eastAsia="Calibri" w:hAnsi="Garamond" w:cstheme="minorHAnsi"/>
          <w:bCs/>
          <w:sz w:val="24"/>
        </w:rPr>
      </w:pPr>
    </w:p>
    <w:p w:rsidR="005C1E80" w:rsidRDefault="005C1E80" w:rsidP="005C1E80">
      <w:pPr>
        <w:pStyle w:val="StandardWeb"/>
        <w:numPr>
          <w:ilvl w:val="1"/>
          <w:numId w:val="4"/>
        </w:numPr>
        <w:spacing w:before="0" w:beforeAutospacing="0" w:after="0" w:afterAutospacing="0"/>
        <w:jc w:val="both"/>
        <w:rPr>
          <w:rFonts w:ascii="Garamond" w:hAnsi="Garamond"/>
          <w:b/>
          <w:sz w:val="28"/>
          <w:szCs w:val="28"/>
        </w:rPr>
      </w:pPr>
      <w:bookmarkStart w:id="21" w:name="_Hlk24533128"/>
      <w:r>
        <w:rPr>
          <w:rFonts w:ascii="Garamond" w:hAnsi="Garamond"/>
          <w:b/>
          <w:sz w:val="28"/>
          <w:szCs w:val="28"/>
        </w:rPr>
        <w:t>Plan djelovanja civilne zaštite</w:t>
      </w:r>
    </w:p>
    <w:p w:rsidR="005C1E80" w:rsidRDefault="005C1E80" w:rsidP="005C1E80">
      <w:pPr>
        <w:pStyle w:val="StandardWeb"/>
        <w:spacing w:before="0" w:beforeAutospacing="0" w:after="0" w:afterAutospacing="0"/>
        <w:jc w:val="both"/>
        <w:rPr>
          <w:rFonts w:ascii="Garamond" w:hAnsi="Garamond"/>
          <w:b/>
          <w:sz w:val="28"/>
          <w:szCs w:val="28"/>
        </w:rPr>
      </w:pPr>
    </w:p>
    <w:p w:rsidR="005C1E80" w:rsidRDefault="005C1E80" w:rsidP="005C1E80">
      <w:pPr>
        <w:pStyle w:val="StandardWeb"/>
        <w:numPr>
          <w:ilvl w:val="1"/>
          <w:numId w:val="4"/>
        </w:numPr>
        <w:spacing w:before="0" w:beforeAutospacing="0" w:after="0" w:afterAutospacing="0"/>
        <w:jc w:val="both"/>
        <w:rPr>
          <w:rFonts w:ascii="Garamond" w:hAnsi="Garamond"/>
          <w:bCs/>
        </w:rPr>
      </w:pPr>
      <w:r>
        <w:rPr>
          <w:rFonts w:ascii="Garamond" w:hAnsi="Garamond"/>
          <w:bCs/>
        </w:rPr>
        <w:t>Plan djelovanja civilne  zaštite sastoji se od općeg i posebnih dijelova.</w:t>
      </w:r>
    </w:p>
    <w:p w:rsidR="005C1E80" w:rsidRDefault="005C1E80" w:rsidP="005C1E80">
      <w:pPr>
        <w:pStyle w:val="StandardWeb"/>
        <w:ind w:left="720"/>
        <w:jc w:val="both"/>
        <w:rPr>
          <w:rFonts w:ascii="Garamond" w:hAnsi="Garamond" w:cstheme="minorHAnsi"/>
        </w:rPr>
      </w:pPr>
      <w:r>
        <w:rPr>
          <w:rFonts w:ascii="Garamond" w:hAnsi="Garamond"/>
          <w:bCs/>
        </w:rPr>
        <w:t xml:space="preserve">Opći dio sadrži: </w:t>
      </w:r>
      <w:r>
        <w:rPr>
          <w:rFonts w:ascii="Garamond" w:hAnsi="Garamond" w:cstheme="minorHAnsi"/>
        </w:rPr>
        <w:t>./ Upozoravanje 2./ Pripravnost 3./ Mobilizaciju (aktiviranje) i narastanje operativnih snaga sustava civilne zaštite. 4./ Opis područja odgovornosti nositelja izrade plana 5./ Grafički dio.</w:t>
      </w:r>
    </w:p>
    <w:p w:rsidR="005C1E80" w:rsidRDefault="005C1E80" w:rsidP="005C1E80">
      <w:pPr>
        <w:spacing w:before="100" w:beforeAutospacing="1" w:after="100" w:afterAutospacing="1" w:line="240" w:lineRule="auto"/>
        <w:ind w:left="720"/>
        <w:jc w:val="both"/>
        <w:rPr>
          <w:rFonts w:ascii="Garamond" w:eastAsia="Times New Roman" w:hAnsi="Garamond" w:cstheme="minorHAnsi"/>
          <w:sz w:val="24"/>
          <w:szCs w:val="24"/>
        </w:rPr>
      </w:pPr>
      <w:r>
        <w:rPr>
          <w:rFonts w:ascii="Garamond" w:eastAsia="Times New Roman" w:hAnsi="Garamond" w:cstheme="minorHAnsi"/>
          <w:sz w:val="24"/>
          <w:szCs w:val="24"/>
        </w:rPr>
        <w:t xml:space="preserve">Posebni dijelovi plana djelovanja civilne zaštite sadrže razradu operativnog djelovanja sustava civilne zaštite tijekom reagiranja u velikim nesrećama i katastrofama. </w:t>
      </w:r>
    </w:p>
    <w:p w:rsidR="005C1E80" w:rsidRDefault="005C1E80" w:rsidP="005C1E80">
      <w:pPr>
        <w:spacing w:before="100" w:beforeAutospacing="1" w:after="100" w:afterAutospacing="1" w:line="240" w:lineRule="auto"/>
        <w:ind w:left="720"/>
        <w:jc w:val="both"/>
        <w:rPr>
          <w:rFonts w:ascii="Garamond" w:eastAsia="Times New Roman" w:hAnsi="Garamond" w:cstheme="minorHAnsi"/>
          <w:b/>
          <w:sz w:val="28"/>
          <w:szCs w:val="28"/>
        </w:rPr>
      </w:pPr>
      <w:r>
        <w:rPr>
          <w:rFonts w:ascii="Garamond" w:eastAsia="Times New Roman" w:hAnsi="Garamond" w:cstheme="minorHAnsi"/>
          <w:sz w:val="24"/>
          <w:szCs w:val="24"/>
        </w:rPr>
        <w:t>Uvijek kada je moguće (raspoloživo) i prikladno u planu djelovanja civilne zaštite trebaju se koristiti grafički prikazi, tablice i slike, uključujući grafikone, karte i fotografije.</w:t>
      </w:r>
    </w:p>
    <w:p w:rsidR="005C1E80" w:rsidRDefault="005C1E80" w:rsidP="005C1E80">
      <w:pPr>
        <w:numPr>
          <w:ilvl w:val="1"/>
          <w:numId w:val="4"/>
        </w:numPr>
        <w:spacing w:before="100" w:beforeAutospacing="1" w:after="100" w:afterAutospacing="1" w:line="240" w:lineRule="auto"/>
        <w:jc w:val="both"/>
        <w:rPr>
          <w:rFonts w:ascii="Garamond" w:eastAsia="Times New Roman" w:hAnsi="Garamond" w:cs="Times New Roman"/>
          <w:b/>
          <w:sz w:val="28"/>
          <w:szCs w:val="28"/>
        </w:rPr>
      </w:pPr>
      <w:bookmarkStart w:id="22" w:name="_Hlk24710568"/>
      <w:r>
        <w:rPr>
          <w:rFonts w:ascii="Garamond" w:eastAsia="Times New Roman" w:hAnsi="Garamond" w:cs="Times New Roman"/>
          <w:b/>
          <w:sz w:val="28"/>
          <w:szCs w:val="28"/>
        </w:rPr>
        <w:t>Plan djelovanja u području prirodnih nepogoda</w:t>
      </w:r>
    </w:p>
    <w:p w:rsidR="005C1E80" w:rsidRDefault="005C1E80" w:rsidP="005C1E80">
      <w:pPr>
        <w:spacing w:after="135" w:line="240" w:lineRule="auto"/>
        <w:ind w:left="360"/>
        <w:rPr>
          <w:rFonts w:ascii="Garamond" w:eastAsia="Times New Roman" w:hAnsi="Garamond" w:cstheme="minorHAnsi"/>
          <w:sz w:val="24"/>
          <w:szCs w:val="24"/>
        </w:rPr>
      </w:pPr>
      <w:r>
        <w:rPr>
          <w:rFonts w:ascii="Garamond" w:eastAsia="Times New Roman" w:hAnsi="Garamond" w:cstheme="minorHAnsi"/>
          <w:sz w:val="24"/>
          <w:szCs w:val="24"/>
        </w:rPr>
        <w:t>Plan djelovanja sadržava:</w:t>
      </w:r>
    </w:p>
    <w:p w:rsidR="005C1E80" w:rsidRDefault="005C1E80" w:rsidP="005C1E80">
      <w:pPr>
        <w:spacing w:after="135" w:line="240" w:lineRule="auto"/>
        <w:ind w:left="720"/>
        <w:contextualSpacing/>
        <w:rPr>
          <w:rFonts w:ascii="Garamond" w:eastAsia="Times New Roman" w:hAnsi="Garamond" w:cstheme="minorHAnsi"/>
          <w:sz w:val="24"/>
          <w:szCs w:val="24"/>
        </w:rPr>
      </w:pPr>
      <w:r>
        <w:rPr>
          <w:rFonts w:ascii="Garamond" w:eastAsia="Times New Roman" w:hAnsi="Garamond" w:cstheme="minorHAnsi"/>
          <w:sz w:val="24"/>
          <w:szCs w:val="24"/>
        </w:rPr>
        <w:t>1. popis mjera i nositelja mjera u slučaju nastajanja prirodne nepogode</w:t>
      </w:r>
    </w:p>
    <w:p w:rsidR="005C1E80" w:rsidRDefault="005C1E80" w:rsidP="005C1E80">
      <w:pPr>
        <w:spacing w:after="135" w:line="240" w:lineRule="auto"/>
        <w:ind w:left="720"/>
        <w:contextualSpacing/>
        <w:rPr>
          <w:rFonts w:ascii="Garamond" w:eastAsia="Times New Roman" w:hAnsi="Garamond" w:cstheme="minorHAnsi"/>
          <w:sz w:val="24"/>
          <w:szCs w:val="24"/>
        </w:rPr>
      </w:pPr>
      <w:r>
        <w:rPr>
          <w:rFonts w:ascii="Garamond" w:eastAsia="Times New Roman" w:hAnsi="Garamond" w:cstheme="minorHAnsi"/>
          <w:sz w:val="24"/>
          <w:szCs w:val="24"/>
        </w:rPr>
        <w:t>2. procjene osiguranja opreme i drugih sredstava za zaštitu i sprječavanje stradanja imovine, gospodarskih funkcija i stradanja stanovništva</w:t>
      </w:r>
    </w:p>
    <w:p w:rsidR="005C1E80" w:rsidRDefault="005C1E80" w:rsidP="005C1E80">
      <w:pPr>
        <w:spacing w:after="135" w:line="240" w:lineRule="auto"/>
        <w:ind w:left="720"/>
        <w:contextualSpacing/>
        <w:rPr>
          <w:rFonts w:ascii="Garamond" w:eastAsia="Times New Roman" w:hAnsi="Garamond" w:cstheme="minorHAnsi"/>
          <w:sz w:val="24"/>
          <w:szCs w:val="24"/>
        </w:rPr>
      </w:pPr>
      <w:r>
        <w:rPr>
          <w:rFonts w:ascii="Garamond" w:eastAsia="Times New Roman" w:hAnsi="Garamond" w:cstheme="minorHAnsi"/>
          <w:sz w:val="24"/>
          <w:szCs w:val="24"/>
        </w:rPr>
        <w:t>3. sve druge mjere koje uključuju suradnju s nadležnim tijelima iz ovoga Zakona i/ili drugih tijela, znanstvenih ustanova i stručnjaka za područje prirodnih nepogoda</w:t>
      </w:r>
      <w:bookmarkEnd w:id="22"/>
      <w:r>
        <w:rPr>
          <w:rFonts w:ascii="Garamond" w:eastAsia="Times New Roman" w:hAnsi="Garamond" w:cstheme="minorHAnsi"/>
          <w:sz w:val="24"/>
          <w:szCs w:val="24"/>
        </w:rPr>
        <w:t>.</w:t>
      </w:r>
    </w:p>
    <w:p w:rsidR="005C1E80" w:rsidRDefault="005C1E80" w:rsidP="005C1E80">
      <w:pPr>
        <w:spacing w:after="135" w:line="240" w:lineRule="auto"/>
        <w:ind w:left="720"/>
        <w:contextualSpacing/>
        <w:rPr>
          <w:rFonts w:ascii="Garamond" w:eastAsia="Times New Roman" w:hAnsi="Garamond" w:cstheme="minorHAnsi"/>
          <w:color w:val="414145"/>
          <w:sz w:val="24"/>
          <w:szCs w:val="24"/>
        </w:rPr>
      </w:pPr>
    </w:p>
    <w:p w:rsidR="005C1E80" w:rsidRDefault="005C1E80" w:rsidP="005C1E80">
      <w:pPr>
        <w:numPr>
          <w:ilvl w:val="1"/>
          <w:numId w:val="4"/>
        </w:numPr>
        <w:spacing w:before="100" w:beforeAutospacing="1" w:after="100" w:afterAutospacing="1" w:line="240" w:lineRule="auto"/>
        <w:jc w:val="both"/>
        <w:rPr>
          <w:rFonts w:ascii="Garamond" w:eastAsia="Times New Roman" w:hAnsi="Garamond" w:cs="Times New Roman"/>
          <w:b/>
          <w:sz w:val="28"/>
          <w:szCs w:val="28"/>
        </w:rPr>
      </w:pPr>
      <w:r>
        <w:rPr>
          <w:rFonts w:ascii="Garamond" w:eastAsia="Times New Roman" w:hAnsi="Garamond" w:cs="Times New Roman"/>
          <w:b/>
          <w:sz w:val="28"/>
          <w:szCs w:val="28"/>
        </w:rPr>
        <w:t>Operativni postupovnik</w:t>
      </w:r>
    </w:p>
    <w:p w:rsidR="005C1E80" w:rsidRDefault="005C1E80" w:rsidP="005C1E80">
      <w:pPr>
        <w:jc w:val="both"/>
        <w:rPr>
          <w:rFonts w:ascii="Garamond" w:hAnsi="Garamond" w:cstheme="minorHAnsi"/>
          <w:color w:val="231F20"/>
          <w:sz w:val="24"/>
          <w:szCs w:val="24"/>
          <w:shd w:val="clear" w:color="auto" w:fill="FFFFFF"/>
        </w:rPr>
      </w:pPr>
      <w:r>
        <w:rPr>
          <w:rFonts w:ascii="Garamond" w:hAnsi="Garamond"/>
          <w:color w:val="231F20"/>
          <w:sz w:val="24"/>
          <w:szCs w:val="24"/>
          <w:shd w:val="clear" w:color="auto" w:fill="FFFFFF"/>
        </w:rPr>
        <w:t xml:space="preserve">Operativnim postupovnikom definiraju se sve pojedinosti od značaja za pripravnost, mobilizaciju, operativno djelovanje, demobilizaciju i završetak djelovanja postrojbe civilne </w:t>
      </w:r>
      <w:r>
        <w:rPr>
          <w:rFonts w:ascii="Garamond" w:hAnsi="Garamond" w:cstheme="minorHAnsi"/>
          <w:color w:val="231F20"/>
          <w:sz w:val="24"/>
          <w:szCs w:val="24"/>
          <w:shd w:val="clear" w:color="auto" w:fill="FFFFFF"/>
        </w:rPr>
        <w:t>zaštite.</w:t>
      </w:r>
    </w:p>
    <w:p w:rsidR="005C1E80" w:rsidRDefault="005C1E80" w:rsidP="005C1E80">
      <w:pPr>
        <w:shd w:val="clear" w:color="auto" w:fill="FFFFFF"/>
        <w:spacing w:after="48" w:line="240" w:lineRule="auto"/>
        <w:jc w:val="both"/>
        <w:textAlignment w:val="baseline"/>
        <w:rPr>
          <w:rFonts w:ascii="Garamond" w:eastAsia="Times New Roman" w:hAnsi="Garamond" w:cstheme="minorHAnsi"/>
          <w:color w:val="231F20"/>
          <w:sz w:val="24"/>
          <w:szCs w:val="24"/>
        </w:rPr>
      </w:pPr>
      <w:r>
        <w:rPr>
          <w:rFonts w:ascii="Garamond" w:eastAsia="Times New Roman" w:hAnsi="Garamond" w:cstheme="minorHAnsi"/>
          <w:color w:val="231F20"/>
          <w:sz w:val="24"/>
          <w:szCs w:val="24"/>
        </w:rPr>
        <w:t>Načela djelovanja postrojbi civilne zaštite su:</w:t>
      </w:r>
    </w:p>
    <w:p w:rsidR="005C1E80" w:rsidRDefault="005C1E80" w:rsidP="00A66748">
      <w:pPr>
        <w:numPr>
          <w:ilvl w:val="0"/>
          <w:numId w:val="58"/>
        </w:numPr>
        <w:shd w:val="clear" w:color="auto" w:fill="FFFFFF"/>
        <w:spacing w:after="0" w:line="240" w:lineRule="auto"/>
        <w:jc w:val="both"/>
        <w:textAlignment w:val="baseline"/>
        <w:rPr>
          <w:rFonts w:ascii="Garamond" w:eastAsia="Times New Roman" w:hAnsi="Garamond" w:cstheme="minorHAnsi"/>
          <w:color w:val="231F20"/>
          <w:sz w:val="24"/>
          <w:szCs w:val="24"/>
        </w:rPr>
      </w:pPr>
      <w:r>
        <w:rPr>
          <w:rFonts w:ascii="Garamond" w:eastAsia="Times New Roman" w:hAnsi="Garamond" w:cstheme="minorHAnsi"/>
          <w:color w:val="231F20"/>
          <w:sz w:val="24"/>
          <w:szCs w:val="24"/>
        </w:rPr>
        <w:t>samodostatnost,</w:t>
      </w:r>
    </w:p>
    <w:p w:rsidR="005C1E80" w:rsidRDefault="005C1E80" w:rsidP="00A66748">
      <w:pPr>
        <w:numPr>
          <w:ilvl w:val="0"/>
          <w:numId w:val="58"/>
        </w:numPr>
        <w:shd w:val="clear" w:color="auto" w:fill="FFFFFF"/>
        <w:spacing w:after="0" w:line="240" w:lineRule="auto"/>
        <w:jc w:val="both"/>
        <w:textAlignment w:val="baseline"/>
        <w:rPr>
          <w:rFonts w:ascii="Garamond" w:eastAsia="Times New Roman" w:hAnsi="Garamond" w:cstheme="minorHAnsi"/>
          <w:color w:val="231F20"/>
          <w:sz w:val="24"/>
          <w:szCs w:val="24"/>
        </w:rPr>
      </w:pPr>
      <w:r>
        <w:rPr>
          <w:rFonts w:ascii="Garamond" w:eastAsia="Times New Roman" w:hAnsi="Garamond" w:cstheme="minorHAnsi"/>
          <w:color w:val="231F20"/>
          <w:sz w:val="24"/>
          <w:szCs w:val="24"/>
        </w:rPr>
        <w:t>modularnost,</w:t>
      </w:r>
    </w:p>
    <w:p w:rsidR="005C1E80" w:rsidRDefault="005C1E80" w:rsidP="00A66748">
      <w:pPr>
        <w:numPr>
          <w:ilvl w:val="0"/>
          <w:numId w:val="58"/>
        </w:numPr>
        <w:shd w:val="clear" w:color="auto" w:fill="FFFFFF"/>
        <w:spacing w:after="0" w:line="240" w:lineRule="auto"/>
        <w:jc w:val="both"/>
        <w:textAlignment w:val="baseline"/>
        <w:rPr>
          <w:rFonts w:ascii="Garamond" w:eastAsia="Times New Roman" w:hAnsi="Garamond" w:cstheme="minorHAnsi"/>
          <w:color w:val="231F20"/>
          <w:sz w:val="24"/>
          <w:szCs w:val="24"/>
        </w:rPr>
      </w:pPr>
      <w:r>
        <w:rPr>
          <w:rFonts w:ascii="Garamond" w:eastAsia="Times New Roman" w:hAnsi="Garamond" w:cstheme="minorHAnsi"/>
          <w:color w:val="231F20"/>
          <w:sz w:val="24"/>
          <w:szCs w:val="24"/>
        </w:rPr>
        <w:t>interoperabilnost.</w:t>
      </w:r>
    </w:p>
    <w:bookmarkEnd w:id="19"/>
    <w:p w:rsidR="005C1E80" w:rsidRDefault="005C1E80" w:rsidP="005C1E80">
      <w:pPr>
        <w:pStyle w:val="StandardWeb"/>
        <w:spacing w:before="0" w:beforeAutospacing="0" w:after="0" w:afterAutospacing="0"/>
        <w:jc w:val="both"/>
        <w:rPr>
          <w:rFonts w:ascii="Garamond" w:eastAsiaTheme="minorEastAsia" w:hAnsi="Garamond" w:cstheme="minorBidi"/>
        </w:rPr>
      </w:pPr>
    </w:p>
    <w:p w:rsidR="005C1E80" w:rsidRDefault="005C1E80" w:rsidP="005C1E80">
      <w:pPr>
        <w:pStyle w:val="StandardWeb"/>
        <w:spacing w:before="0" w:beforeAutospacing="0" w:after="0" w:afterAutospacing="0"/>
        <w:jc w:val="both"/>
        <w:rPr>
          <w:rFonts w:ascii="Garamond" w:eastAsiaTheme="minorEastAsia" w:hAnsi="Garamond" w:cstheme="minorBidi"/>
        </w:rPr>
      </w:pPr>
    </w:p>
    <w:p w:rsidR="005C1E80" w:rsidRDefault="005C1E80" w:rsidP="005C1E80">
      <w:pPr>
        <w:pStyle w:val="StandardWeb"/>
        <w:spacing w:before="0" w:beforeAutospacing="0" w:after="0" w:afterAutospacing="0"/>
        <w:jc w:val="both"/>
        <w:rPr>
          <w:rFonts w:ascii="Garamond" w:eastAsiaTheme="minorEastAsia" w:hAnsi="Garamond" w:cstheme="minorBidi"/>
        </w:rPr>
      </w:pPr>
    </w:p>
    <w:p w:rsidR="005C1E80" w:rsidRDefault="005C1E80" w:rsidP="005C1E80">
      <w:pPr>
        <w:pStyle w:val="StandardWeb"/>
        <w:spacing w:before="0" w:beforeAutospacing="0" w:after="0" w:afterAutospacing="0"/>
        <w:jc w:val="both"/>
        <w:rPr>
          <w:rFonts w:ascii="Garamond" w:eastAsiaTheme="minorEastAsia" w:hAnsi="Garamond" w:cstheme="minorBidi"/>
        </w:rPr>
      </w:pPr>
    </w:p>
    <w:p w:rsidR="005C1E80" w:rsidRDefault="005C1E80" w:rsidP="005C1E80">
      <w:pPr>
        <w:pStyle w:val="StandardWeb"/>
        <w:spacing w:before="0" w:beforeAutospacing="0" w:after="0" w:afterAutospacing="0"/>
        <w:jc w:val="both"/>
        <w:rPr>
          <w:rFonts w:ascii="Garamond" w:eastAsiaTheme="minorEastAsia" w:hAnsi="Garamond" w:cstheme="minorBidi"/>
        </w:rPr>
      </w:pPr>
    </w:p>
    <w:p w:rsidR="005C1E80" w:rsidRDefault="005C1E80" w:rsidP="005C1E80">
      <w:pPr>
        <w:pStyle w:val="StandardWeb"/>
        <w:spacing w:before="0" w:beforeAutospacing="0" w:after="0" w:afterAutospacing="0"/>
        <w:jc w:val="both"/>
        <w:rPr>
          <w:rFonts w:ascii="Garamond" w:hAnsi="Garamond"/>
        </w:rPr>
      </w:pPr>
      <w:r>
        <w:rPr>
          <w:rFonts w:ascii="Garamond" w:eastAsiaTheme="minorEastAsia" w:hAnsi="Garamond" w:cstheme="minorBidi"/>
        </w:rPr>
        <w:br/>
      </w:r>
      <w:bookmarkEnd w:id="21"/>
    </w:p>
    <w:p w:rsidR="005C1E80" w:rsidRDefault="005C1E80" w:rsidP="005C1E80">
      <w:pPr>
        <w:pStyle w:val="Odlomakpopisa"/>
        <w:numPr>
          <w:ilvl w:val="0"/>
          <w:numId w:val="4"/>
        </w:numPr>
        <w:spacing w:after="200" w:line="276" w:lineRule="auto"/>
        <w:jc w:val="both"/>
        <w:rPr>
          <w:rFonts w:ascii="Garamond" w:hAnsi="Garamond" w:cs="Arial"/>
          <w:b/>
          <w:bCs/>
          <w:sz w:val="28"/>
          <w:szCs w:val="28"/>
        </w:rPr>
      </w:pPr>
      <w:r>
        <w:rPr>
          <w:rFonts w:ascii="Garamond" w:hAnsi="Garamond" w:cs="Arial"/>
          <w:b/>
          <w:bCs/>
          <w:sz w:val="28"/>
          <w:szCs w:val="28"/>
        </w:rPr>
        <w:t>VATROGASTVO</w:t>
      </w:r>
    </w:p>
    <w:p w:rsidR="005C1E80" w:rsidRDefault="005C1E80" w:rsidP="005C1E80">
      <w:pPr>
        <w:jc w:val="both"/>
        <w:rPr>
          <w:rFonts w:ascii="Garamond" w:hAnsi="Garamond" w:cs="Arial"/>
          <w:bCs/>
          <w:color w:val="FF0000"/>
          <w:sz w:val="24"/>
          <w:szCs w:val="24"/>
        </w:rPr>
      </w:pPr>
      <w:r>
        <w:rPr>
          <w:rFonts w:ascii="Garamond" w:hAnsi="Garamond" w:cs="Arial"/>
          <w:sz w:val="24"/>
        </w:rPr>
        <w:t>Za DVD Gornji Bogićevci,</w:t>
      </w:r>
      <w:r>
        <w:rPr>
          <w:rFonts w:ascii="Garamond" w:hAnsi="Garamond" w:cs="Arial"/>
          <w:sz w:val="24"/>
          <w:szCs w:val="24"/>
        </w:rPr>
        <w:t xml:space="preserve"> sukladno njihovim vlastitim programima i razvojnim projektima, u</w:t>
      </w:r>
      <w:r>
        <w:rPr>
          <w:rFonts w:ascii="Garamond" w:hAnsi="Garamond" w:cs="Arial"/>
          <w:b/>
          <w:sz w:val="24"/>
          <w:szCs w:val="24"/>
        </w:rPr>
        <w:t xml:space="preserve"> </w:t>
      </w:r>
      <w:r>
        <w:rPr>
          <w:rFonts w:ascii="Garamond" w:hAnsi="Garamond" w:cs="Arial"/>
          <w:bCs/>
          <w:sz w:val="24"/>
          <w:szCs w:val="24"/>
        </w:rPr>
        <w:t>Proračunu osigurati sredstva za:</w:t>
      </w:r>
      <w:r>
        <w:rPr>
          <w:rFonts w:ascii="Garamond" w:hAnsi="Garamond" w:cs="Arial"/>
          <w:bCs/>
          <w:color w:val="FF0000"/>
          <w:sz w:val="24"/>
          <w:szCs w:val="24"/>
        </w:rPr>
        <w:t xml:space="preserve"> </w:t>
      </w:r>
    </w:p>
    <w:p w:rsidR="005C1E80" w:rsidRDefault="005C1E80" w:rsidP="005C1E80">
      <w:pPr>
        <w:ind w:left="360"/>
        <w:jc w:val="both"/>
        <w:rPr>
          <w:rFonts w:ascii="Garamond" w:hAnsi="Garamond" w:cs="Arial"/>
          <w:bCs/>
          <w:color w:val="000000" w:themeColor="text1"/>
          <w:sz w:val="24"/>
          <w:szCs w:val="24"/>
        </w:rPr>
      </w:pPr>
      <w:r>
        <w:rPr>
          <w:rFonts w:ascii="Garamond" w:hAnsi="Garamond" w:cs="Arial"/>
          <w:bCs/>
          <w:color w:val="000000" w:themeColor="text1"/>
          <w:sz w:val="24"/>
          <w:szCs w:val="24"/>
        </w:rPr>
        <w:t>-</w:t>
      </w:r>
      <w:r>
        <w:t xml:space="preserve"> </w:t>
      </w:r>
      <w:r>
        <w:rPr>
          <w:rFonts w:ascii="Garamond" w:hAnsi="Garamond" w:cs="Arial"/>
          <w:bCs/>
          <w:color w:val="000000" w:themeColor="text1"/>
          <w:sz w:val="24"/>
          <w:szCs w:val="24"/>
        </w:rPr>
        <w:t>Registracija, održavanja vozila, goriva i maziva, liječnički pregled, osiguranje vatrogasaca, održavanje memorijalnog kupa, servisi, uredski materijal, i slično.</w:t>
      </w:r>
    </w:p>
    <w:p w:rsidR="005C1E80" w:rsidRDefault="005C1E80" w:rsidP="00A66748">
      <w:pPr>
        <w:numPr>
          <w:ilvl w:val="0"/>
          <w:numId w:val="59"/>
        </w:numPr>
        <w:spacing w:after="0" w:line="240" w:lineRule="auto"/>
        <w:jc w:val="both"/>
        <w:rPr>
          <w:rFonts w:ascii="Garamond" w:hAnsi="Garamond" w:cs="Arial"/>
          <w:bCs/>
          <w:sz w:val="24"/>
          <w:szCs w:val="24"/>
        </w:rPr>
      </w:pPr>
      <w:r>
        <w:rPr>
          <w:rFonts w:ascii="Garamond" w:hAnsi="Garamond" w:cs="Arial"/>
          <w:bCs/>
          <w:sz w:val="24"/>
          <w:szCs w:val="24"/>
        </w:rPr>
        <w:t xml:space="preserve">nabavku vatrogasne opreme - </w:t>
      </w:r>
    </w:p>
    <w:p w:rsidR="005C1E80" w:rsidRDefault="005C1E80" w:rsidP="00A66748">
      <w:pPr>
        <w:numPr>
          <w:ilvl w:val="0"/>
          <w:numId w:val="59"/>
        </w:numPr>
        <w:spacing w:after="0" w:line="240" w:lineRule="auto"/>
        <w:jc w:val="both"/>
        <w:rPr>
          <w:rFonts w:ascii="Garamond" w:hAnsi="Garamond" w:cs="Arial"/>
          <w:bCs/>
          <w:sz w:val="24"/>
          <w:szCs w:val="24"/>
        </w:rPr>
      </w:pPr>
      <w:r>
        <w:rPr>
          <w:rFonts w:ascii="Garamond" w:hAnsi="Garamond" w:cs="Arial"/>
          <w:bCs/>
          <w:sz w:val="24"/>
          <w:szCs w:val="24"/>
        </w:rPr>
        <w:lastRenderedPageBreak/>
        <w:t xml:space="preserve">razvoj kadrovskih kapaciteta – eventualno uposlenje novih vatrogasaca i broj vatrogasaca koje planirate za polaganje stručnog ispita; </w:t>
      </w:r>
    </w:p>
    <w:p w:rsidR="005C1E80" w:rsidRDefault="005C1E80" w:rsidP="00A66748">
      <w:pPr>
        <w:numPr>
          <w:ilvl w:val="0"/>
          <w:numId w:val="59"/>
        </w:numPr>
        <w:spacing w:after="0" w:line="240" w:lineRule="auto"/>
        <w:jc w:val="both"/>
        <w:rPr>
          <w:rFonts w:ascii="Garamond" w:hAnsi="Garamond" w:cs="Arial"/>
          <w:bCs/>
          <w:sz w:val="24"/>
          <w:szCs w:val="24"/>
        </w:rPr>
      </w:pPr>
      <w:r>
        <w:rPr>
          <w:rFonts w:ascii="Garamond" w:hAnsi="Garamond" w:cs="Arial"/>
          <w:bCs/>
          <w:sz w:val="24"/>
          <w:szCs w:val="24"/>
        </w:rPr>
        <w:t xml:space="preserve">planirane vježbe – koje, gdje, kada i planirani troškovi; </w:t>
      </w:r>
    </w:p>
    <w:p w:rsidR="005C1E80" w:rsidRDefault="005C1E80" w:rsidP="00A66748">
      <w:pPr>
        <w:numPr>
          <w:ilvl w:val="0"/>
          <w:numId w:val="59"/>
        </w:numPr>
        <w:spacing w:after="0" w:line="240" w:lineRule="auto"/>
        <w:jc w:val="both"/>
        <w:rPr>
          <w:rFonts w:ascii="Garamond" w:hAnsi="Garamond" w:cs="Arial"/>
          <w:bCs/>
          <w:sz w:val="28"/>
        </w:rPr>
      </w:pPr>
      <w:r>
        <w:rPr>
          <w:rFonts w:ascii="Garamond" w:hAnsi="Garamond" w:cs="Arial"/>
          <w:bCs/>
          <w:sz w:val="24"/>
          <w:szCs w:val="24"/>
        </w:rPr>
        <w:t xml:space="preserve">sustav organizacije i djelovanja - dežurstva, preseljenja i sl.). </w:t>
      </w:r>
    </w:p>
    <w:p w:rsidR="005C1E80" w:rsidRDefault="005C1E80" w:rsidP="005C1E80">
      <w:pPr>
        <w:spacing w:after="0" w:line="240" w:lineRule="auto"/>
        <w:jc w:val="both"/>
        <w:rPr>
          <w:rFonts w:ascii="Garamond" w:hAnsi="Garamond" w:cs="Arial"/>
          <w:b/>
          <w:bCs/>
          <w:sz w:val="24"/>
          <w:szCs w:val="24"/>
        </w:rPr>
      </w:pPr>
    </w:p>
    <w:p w:rsidR="005C1E80" w:rsidRDefault="005C1E80" w:rsidP="005C1E80">
      <w:pPr>
        <w:spacing w:after="0" w:line="240" w:lineRule="auto"/>
        <w:jc w:val="both"/>
        <w:rPr>
          <w:rFonts w:ascii="Garamond" w:hAnsi="Garamond" w:cs="Arial"/>
          <w:b/>
          <w:bCs/>
          <w:sz w:val="24"/>
          <w:szCs w:val="24"/>
        </w:rPr>
      </w:pPr>
    </w:p>
    <w:p w:rsidR="005C1E80" w:rsidRDefault="005C1E80" w:rsidP="005C1E80">
      <w:pPr>
        <w:spacing w:after="0" w:line="240" w:lineRule="auto"/>
        <w:jc w:val="both"/>
        <w:rPr>
          <w:rFonts w:ascii="Garamond" w:hAnsi="Garamond" w:cs="Arial"/>
          <w:b/>
          <w:bCs/>
          <w:sz w:val="24"/>
          <w:szCs w:val="24"/>
        </w:rPr>
      </w:pPr>
    </w:p>
    <w:p w:rsidR="005C1E80" w:rsidRDefault="005C1E80" w:rsidP="005C1E80">
      <w:pPr>
        <w:pStyle w:val="Tijeloteksta2"/>
        <w:ind w:left="720"/>
        <w:rPr>
          <w:rFonts w:ascii="Garamond" w:hAnsi="Garamond"/>
          <w:b/>
          <w:color w:val="FF0000"/>
          <w:szCs w:val="28"/>
        </w:rPr>
      </w:pPr>
    </w:p>
    <w:p w:rsidR="005C1E80" w:rsidRDefault="005C1E80" w:rsidP="005C1E80">
      <w:pPr>
        <w:pStyle w:val="Tijeloteksta2"/>
        <w:numPr>
          <w:ilvl w:val="0"/>
          <w:numId w:val="4"/>
        </w:numPr>
        <w:rPr>
          <w:rFonts w:ascii="Garamond" w:eastAsia="Calibri" w:hAnsi="Garamond"/>
          <w:sz w:val="24"/>
        </w:rPr>
      </w:pPr>
      <w:r>
        <w:rPr>
          <w:rFonts w:ascii="Garamond" w:hAnsi="Garamond"/>
          <w:szCs w:val="28"/>
        </w:rPr>
        <w:t xml:space="preserve">UDRUGE GRAĐANA OD ZNAČAJA ZA SUSTAV CIVILNE ZAŠTITE </w:t>
      </w:r>
    </w:p>
    <w:p w:rsidR="005C1E80" w:rsidRDefault="005C1E80" w:rsidP="005C1E80">
      <w:pPr>
        <w:pStyle w:val="Tijeloteksta2"/>
        <w:ind w:left="720"/>
        <w:rPr>
          <w:rFonts w:ascii="Garamond" w:eastAsia="Calibri" w:hAnsi="Garamond"/>
          <w:sz w:val="24"/>
        </w:rPr>
      </w:pPr>
    </w:p>
    <w:p w:rsidR="005C1E80" w:rsidRDefault="005C1E80" w:rsidP="005C1E80">
      <w:pPr>
        <w:jc w:val="both"/>
        <w:rPr>
          <w:rFonts w:ascii="Garamond" w:hAnsi="Garamond"/>
          <w:sz w:val="24"/>
          <w:szCs w:val="24"/>
        </w:rPr>
      </w:pPr>
      <w:r>
        <w:rPr>
          <w:rFonts w:ascii="Garamond" w:hAnsi="Garamond"/>
          <w:sz w:val="24"/>
          <w:szCs w:val="24"/>
        </w:rPr>
        <w:t>Udruge građana predstavljaju značajan potencijal Općine. Članove udruga je potrebno uključiti u one segmente sustava civilne zaštite obzirom na područje rada za koje su osnovani. Udruge koje funkcioniraju imaju utvrđen ustroj, poznati su im potencijali članova, u redovitoj djelatnosti okupljaju se oko zajedničkih ciljeva, imaju iskustva u organizaciji i dr.</w:t>
      </w:r>
    </w:p>
    <w:p w:rsidR="005C1E80" w:rsidRDefault="005C1E80" w:rsidP="005C1E80">
      <w:pPr>
        <w:jc w:val="both"/>
        <w:rPr>
          <w:rFonts w:ascii="Garamond" w:hAnsi="Garamond"/>
          <w:sz w:val="24"/>
          <w:szCs w:val="24"/>
        </w:rPr>
      </w:pPr>
      <w:r>
        <w:rPr>
          <w:rFonts w:ascii="Garamond" w:hAnsi="Garamond"/>
          <w:sz w:val="24"/>
          <w:szCs w:val="24"/>
        </w:rPr>
        <w:t>Udruge građana:</w:t>
      </w:r>
    </w:p>
    <w:p w:rsidR="005C1E80" w:rsidRDefault="005C1E80" w:rsidP="005C1E80">
      <w:pPr>
        <w:jc w:val="both"/>
        <w:rPr>
          <w:rFonts w:ascii="Garamond" w:hAnsi="Garamond"/>
          <w:b/>
          <w:sz w:val="24"/>
          <w:szCs w:val="24"/>
        </w:rPr>
      </w:pPr>
      <w:r>
        <w:rPr>
          <w:rFonts w:ascii="Garamond" w:hAnsi="Garamond" w:cs="Arial"/>
          <w:b/>
          <w:sz w:val="24"/>
          <w:szCs w:val="24"/>
        </w:rPr>
        <w:t>1</w:t>
      </w:r>
      <w:r>
        <w:rPr>
          <w:rFonts w:ascii="Garamond" w:hAnsi="Garamond" w:cs="Arial"/>
          <w:sz w:val="24"/>
          <w:szCs w:val="24"/>
        </w:rPr>
        <w:t xml:space="preserve">. </w:t>
      </w:r>
      <w:r>
        <w:rPr>
          <w:rFonts w:ascii="Garamond" w:hAnsi="Garamond"/>
          <w:b/>
          <w:sz w:val="24"/>
          <w:szCs w:val="24"/>
        </w:rPr>
        <w:t>LU Sokol Gornji Bogićevci</w:t>
      </w:r>
    </w:p>
    <w:p w:rsidR="005C1E80" w:rsidRDefault="005C1E80" w:rsidP="005C1E80">
      <w:pPr>
        <w:jc w:val="both"/>
        <w:rPr>
          <w:rFonts w:ascii="Garamond" w:hAnsi="Garamond" w:cs="Arial"/>
          <w:sz w:val="24"/>
          <w:szCs w:val="24"/>
        </w:rPr>
      </w:pPr>
      <w:r>
        <w:rPr>
          <w:rFonts w:ascii="Garamond" w:hAnsi="Garamond"/>
          <w:b/>
          <w:sz w:val="24"/>
          <w:szCs w:val="24"/>
        </w:rPr>
        <w:t>2. LU Sokol Okučani</w:t>
      </w:r>
    </w:p>
    <w:p w:rsidR="005C1E80" w:rsidRDefault="005C1E80" w:rsidP="005C1E80">
      <w:pPr>
        <w:pStyle w:val="Tijeloteksta2"/>
        <w:ind w:left="180" w:hanging="180"/>
        <w:rPr>
          <w:rFonts w:ascii="Garamond" w:hAnsi="Garamond"/>
          <w:b/>
          <w:color w:val="FF0000"/>
          <w:sz w:val="24"/>
        </w:rPr>
      </w:pPr>
    </w:p>
    <w:p w:rsidR="005C1E80" w:rsidRDefault="005C1E80" w:rsidP="005C1E80">
      <w:pPr>
        <w:pStyle w:val="Tijeloteksta2"/>
        <w:numPr>
          <w:ilvl w:val="0"/>
          <w:numId w:val="4"/>
        </w:numPr>
        <w:rPr>
          <w:rFonts w:ascii="Garamond" w:hAnsi="Garamond"/>
          <w:szCs w:val="28"/>
        </w:rPr>
      </w:pPr>
      <w:r>
        <w:rPr>
          <w:rFonts w:ascii="Garamond" w:hAnsi="Garamond"/>
          <w:szCs w:val="28"/>
        </w:rPr>
        <w:t>OPERATIVNE SNAGE SUSTAVA CIVILNE ZAŠTITE I PRAVNE OSOBE OD INTERESA ZA SUSTAV CIVILNE ZAŠTITE</w:t>
      </w:r>
    </w:p>
    <w:p w:rsidR="005C1E80" w:rsidRDefault="005C1E80" w:rsidP="005C1E80">
      <w:pPr>
        <w:pStyle w:val="Tijeloteksta2"/>
        <w:ind w:left="720"/>
        <w:rPr>
          <w:rFonts w:ascii="Garamond" w:hAnsi="Garamond"/>
          <w:szCs w:val="28"/>
        </w:rPr>
      </w:pPr>
    </w:p>
    <w:p w:rsidR="005C1E80" w:rsidRDefault="005C1E80" w:rsidP="005C1E80">
      <w:pPr>
        <w:autoSpaceDE w:val="0"/>
        <w:autoSpaceDN w:val="0"/>
        <w:adjustRightInd w:val="0"/>
        <w:spacing w:after="0" w:line="240" w:lineRule="auto"/>
        <w:jc w:val="both"/>
        <w:rPr>
          <w:rFonts w:ascii="Garamond" w:eastAsia="Calibri" w:hAnsi="Garamond" w:cs="Calibri"/>
          <w:b/>
          <w:bCs/>
          <w:sz w:val="24"/>
          <w:szCs w:val="24"/>
        </w:rPr>
      </w:pPr>
      <w:r>
        <w:rPr>
          <w:rFonts w:ascii="Garamond" w:eastAsia="Calibri" w:hAnsi="Garamond" w:cs="Calibri"/>
          <w:b/>
          <w:bCs/>
          <w:sz w:val="24"/>
          <w:szCs w:val="24"/>
        </w:rPr>
        <w:t xml:space="preserve">6.1. Operativne snage sustava civilne zaštite </w:t>
      </w:r>
    </w:p>
    <w:p w:rsidR="005C1E80" w:rsidRDefault="005C1E80" w:rsidP="005C1E80">
      <w:pPr>
        <w:autoSpaceDE w:val="0"/>
        <w:autoSpaceDN w:val="0"/>
        <w:adjustRightInd w:val="0"/>
        <w:spacing w:after="0" w:line="240" w:lineRule="auto"/>
        <w:jc w:val="both"/>
        <w:rPr>
          <w:rFonts w:ascii="Garamond" w:eastAsia="Calibri" w:hAnsi="Garamond" w:cs="Calibri"/>
          <w:b/>
          <w:bCs/>
          <w:sz w:val="24"/>
          <w:szCs w:val="24"/>
        </w:rPr>
      </w:pPr>
    </w:p>
    <w:p w:rsidR="005C1E80" w:rsidRDefault="005C1E80" w:rsidP="005C1E80">
      <w:pPr>
        <w:spacing w:after="0"/>
        <w:jc w:val="both"/>
        <w:rPr>
          <w:rFonts w:ascii="Garamond" w:eastAsia="Times New Roman" w:hAnsi="Garamond" w:cs="TimesNewRoman"/>
        </w:rPr>
      </w:pPr>
      <w:r>
        <w:rPr>
          <w:rFonts w:ascii="Garamond" w:eastAsia="Times New Roman" w:hAnsi="Garamond" w:cs="TimesNewRoman"/>
        </w:rPr>
        <w:t xml:space="preserve">1. Stožer civilne zaštite </w:t>
      </w:r>
    </w:p>
    <w:p w:rsidR="005C1E80" w:rsidRDefault="005C1E80" w:rsidP="005C1E80">
      <w:pPr>
        <w:spacing w:after="0"/>
        <w:jc w:val="both"/>
        <w:rPr>
          <w:rFonts w:ascii="Garamond" w:eastAsia="Times New Roman" w:hAnsi="Garamond" w:cs="Times New Roman"/>
        </w:rPr>
      </w:pPr>
    </w:p>
    <w:p w:rsidR="005C1E80" w:rsidRDefault="005C1E80" w:rsidP="005C1E80">
      <w:pPr>
        <w:autoSpaceDE w:val="0"/>
        <w:autoSpaceDN w:val="0"/>
        <w:adjustRightInd w:val="0"/>
        <w:spacing w:after="0"/>
        <w:jc w:val="both"/>
        <w:rPr>
          <w:rFonts w:ascii="Garamond" w:eastAsia="Times New Roman" w:hAnsi="Garamond" w:cs="TimesNewRoman"/>
        </w:rPr>
      </w:pPr>
      <w:r>
        <w:rPr>
          <w:rFonts w:ascii="Garamond" w:eastAsia="Times New Roman" w:hAnsi="Garamond" w:cs="TimesNewRoman"/>
        </w:rPr>
        <w:t xml:space="preserve">2. Postrojba civilne zaštite opće namjene </w:t>
      </w:r>
    </w:p>
    <w:p w:rsidR="005C1E80" w:rsidRDefault="005C1E80" w:rsidP="005C1E80">
      <w:pPr>
        <w:autoSpaceDE w:val="0"/>
        <w:autoSpaceDN w:val="0"/>
        <w:adjustRightInd w:val="0"/>
        <w:spacing w:after="0"/>
        <w:jc w:val="both"/>
        <w:rPr>
          <w:rFonts w:ascii="Garamond" w:eastAsia="Times New Roman" w:hAnsi="Garamond" w:cs="TimesNewRoman"/>
        </w:rPr>
      </w:pPr>
    </w:p>
    <w:p w:rsidR="005C1E80" w:rsidRDefault="005C1E80" w:rsidP="005C1E80">
      <w:pPr>
        <w:autoSpaceDE w:val="0"/>
        <w:autoSpaceDN w:val="0"/>
        <w:adjustRightInd w:val="0"/>
        <w:spacing w:after="0"/>
        <w:jc w:val="both"/>
        <w:rPr>
          <w:rFonts w:ascii="Garamond" w:eastAsia="Times New Roman" w:hAnsi="Garamond" w:cs="TimesNewRoman"/>
        </w:rPr>
      </w:pPr>
      <w:r>
        <w:rPr>
          <w:rFonts w:ascii="Garamond" w:eastAsia="Times New Roman" w:hAnsi="Garamond" w:cs="TimesNewRoman"/>
        </w:rPr>
        <w:t>3. Povjerenici civilne zaštite</w:t>
      </w:r>
    </w:p>
    <w:p w:rsidR="005C1E80" w:rsidRDefault="005C1E80" w:rsidP="005C1E80">
      <w:pPr>
        <w:autoSpaceDE w:val="0"/>
        <w:autoSpaceDN w:val="0"/>
        <w:adjustRightInd w:val="0"/>
        <w:spacing w:after="0"/>
        <w:jc w:val="both"/>
        <w:rPr>
          <w:rFonts w:ascii="Garamond" w:eastAsia="Times New Roman" w:hAnsi="Garamond" w:cs="TimesNewRoman"/>
        </w:rPr>
      </w:pPr>
    </w:p>
    <w:p w:rsidR="005C1E80" w:rsidRDefault="005C1E80" w:rsidP="005C1E80">
      <w:pPr>
        <w:autoSpaceDE w:val="0"/>
        <w:autoSpaceDN w:val="0"/>
        <w:adjustRightInd w:val="0"/>
        <w:spacing w:after="0" w:line="240" w:lineRule="auto"/>
        <w:jc w:val="both"/>
        <w:rPr>
          <w:rFonts w:ascii="Garamond" w:eastAsia="Calibri" w:hAnsi="Garamond" w:cs="Calibri"/>
          <w:b/>
          <w:bCs/>
          <w:sz w:val="24"/>
          <w:szCs w:val="24"/>
        </w:rPr>
      </w:pPr>
    </w:p>
    <w:p w:rsidR="005C1E80" w:rsidRDefault="005C1E80" w:rsidP="005C1E80">
      <w:pPr>
        <w:autoSpaceDE w:val="0"/>
        <w:autoSpaceDN w:val="0"/>
        <w:adjustRightInd w:val="0"/>
        <w:spacing w:after="0" w:line="240" w:lineRule="auto"/>
        <w:jc w:val="both"/>
        <w:rPr>
          <w:rFonts w:ascii="Garamond" w:eastAsia="Calibri" w:hAnsi="Garamond" w:cs="Calibri"/>
          <w:b/>
          <w:bCs/>
          <w:sz w:val="24"/>
          <w:szCs w:val="24"/>
        </w:rPr>
      </w:pPr>
    </w:p>
    <w:p w:rsidR="005C1E80" w:rsidRDefault="005C1E80" w:rsidP="005C1E80">
      <w:pPr>
        <w:autoSpaceDE w:val="0"/>
        <w:autoSpaceDN w:val="0"/>
        <w:adjustRightInd w:val="0"/>
        <w:spacing w:after="0"/>
        <w:contextualSpacing/>
        <w:rPr>
          <w:rFonts w:ascii="Garamond" w:eastAsia="Times New Roman" w:hAnsi="Garamond" w:cs="Calibri"/>
          <w:sz w:val="24"/>
          <w:szCs w:val="24"/>
        </w:rPr>
      </w:pPr>
    </w:p>
    <w:p w:rsidR="005C1E80" w:rsidRDefault="005C1E80" w:rsidP="005C1E80">
      <w:pPr>
        <w:autoSpaceDE w:val="0"/>
        <w:autoSpaceDN w:val="0"/>
        <w:adjustRightInd w:val="0"/>
        <w:spacing w:after="0"/>
        <w:contextualSpacing/>
        <w:rPr>
          <w:rFonts w:ascii="Garamond" w:eastAsia="Times New Roman" w:hAnsi="Garamond" w:cs="Calibri"/>
          <w:sz w:val="24"/>
          <w:szCs w:val="24"/>
        </w:rPr>
      </w:pPr>
    </w:p>
    <w:p w:rsidR="005C1E80" w:rsidRDefault="005C1E80" w:rsidP="005C1E80">
      <w:pPr>
        <w:autoSpaceDE w:val="0"/>
        <w:autoSpaceDN w:val="0"/>
        <w:adjustRightInd w:val="0"/>
        <w:spacing w:after="0"/>
        <w:contextualSpacing/>
        <w:rPr>
          <w:rFonts w:ascii="Garamond" w:eastAsia="Times New Roman" w:hAnsi="Garamond" w:cs="Calibri"/>
          <w:sz w:val="24"/>
          <w:szCs w:val="24"/>
        </w:rPr>
      </w:pPr>
    </w:p>
    <w:p w:rsidR="005C1E80" w:rsidRDefault="005C1E80" w:rsidP="005C1E80">
      <w:pPr>
        <w:autoSpaceDE w:val="0"/>
        <w:autoSpaceDN w:val="0"/>
        <w:adjustRightInd w:val="0"/>
        <w:spacing w:after="0"/>
        <w:contextualSpacing/>
        <w:rPr>
          <w:rFonts w:ascii="Garamond" w:eastAsia="Times New Roman" w:hAnsi="Garamond" w:cs="Calibri"/>
          <w:sz w:val="24"/>
          <w:szCs w:val="24"/>
        </w:rPr>
      </w:pPr>
    </w:p>
    <w:p w:rsidR="005C1E80" w:rsidRDefault="005C1E80" w:rsidP="005C1E80">
      <w:pPr>
        <w:autoSpaceDE w:val="0"/>
        <w:autoSpaceDN w:val="0"/>
        <w:adjustRightInd w:val="0"/>
        <w:spacing w:after="0" w:line="240" w:lineRule="auto"/>
        <w:jc w:val="both"/>
        <w:rPr>
          <w:rFonts w:ascii="Garamond" w:eastAsia="Calibri" w:hAnsi="Garamond" w:cs="Calibri"/>
          <w:b/>
          <w:bCs/>
          <w:sz w:val="24"/>
          <w:szCs w:val="24"/>
        </w:rPr>
      </w:pPr>
    </w:p>
    <w:p w:rsidR="005C1E80" w:rsidRDefault="005C1E80" w:rsidP="005C1E80">
      <w:pPr>
        <w:pStyle w:val="Odlomakpopisa"/>
        <w:numPr>
          <w:ilvl w:val="0"/>
          <w:numId w:val="4"/>
        </w:numPr>
        <w:spacing w:after="200" w:line="276" w:lineRule="auto"/>
        <w:jc w:val="both"/>
        <w:rPr>
          <w:rFonts w:ascii="Garamond" w:eastAsia="Calibri" w:hAnsi="Garamond" w:cs="Calibri"/>
          <w:b/>
          <w:bCs/>
          <w:sz w:val="28"/>
          <w:szCs w:val="28"/>
        </w:rPr>
      </w:pPr>
      <w:r>
        <w:rPr>
          <w:rFonts w:ascii="Garamond" w:eastAsia="Calibri" w:hAnsi="Garamond" w:cs="Calibri"/>
          <w:b/>
          <w:bCs/>
          <w:sz w:val="28"/>
          <w:szCs w:val="28"/>
        </w:rPr>
        <w:t>Zaključak o stanju sustava civilne zaštite</w:t>
      </w:r>
    </w:p>
    <w:p w:rsidR="005C1E80" w:rsidRDefault="005C1E80" w:rsidP="005C1E80">
      <w:pPr>
        <w:jc w:val="both"/>
        <w:rPr>
          <w:rFonts w:ascii="Garamond" w:eastAsia="Calibri" w:hAnsi="Garamond" w:cs="Calibri"/>
          <w:sz w:val="24"/>
          <w:szCs w:val="24"/>
        </w:rPr>
      </w:pPr>
      <w:r>
        <w:rPr>
          <w:rFonts w:ascii="Garamond" w:eastAsia="Calibri" w:hAnsi="Garamond" w:cs="Calibri"/>
          <w:sz w:val="24"/>
          <w:szCs w:val="24"/>
        </w:rPr>
        <w:t>Za područje preventive</w:t>
      </w:r>
    </w:p>
    <w:p w:rsidR="005C1E80" w:rsidRDefault="005C1E80" w:rsidP="005C1E80">
      <w:pPr>
        <w:jc w:val="both"/>
        <w:rPr>
          <w:rFonts w:ascii="Garamond" w:hAnsi="Garamond"/>
        </w:rPr>
      </w:pPr>
      <w:r>
        <w:rPr>
          <w:rFonts w:ascii="Garamond" w:hAnsi="Garamond"/>
        </w:rPr>
        <w:t>Nakon vrednovanja pojedinih kategorija koji određuju spremnost sustava civilne zaštite u području preventive donosi se konačna ocjena u pogledu sposobnosti provođenje preventivnih mjera. Kategorije u području preventive su ocijenjene kako je prikazano u narednoj tablici.</w:t>
      </w:r>
    </w:p>
    <w:tbl>
      <w:tblPr>
        <w:tblStyle w:val="Reetkatablice"/>
        <w:tblW w:w="0" w:type="auto"/>
        <w:jc w:val="center"/>
        <w:tblLook w:val="04A0"/>
      </w:tblPr>
      <w:tblGrid>
        <w:gridCol w:w="5544"/>
        <w:gridCol w:w="1681"/>
        <w:gridCol w:w="1837"/>
      </w:tblGrid>
      <w:tr w:rsidR="005C1E80" w:rsidTr="00F57898">
        <w:trPr>
          <w:jc w:val="center"/>
        </w:trPr>
        <w:tc>
          <w:tcPr>
            <w:tcW w:w="5544" w:type="dxa"/>
            <w:tcBorders>
              <w:right w:val="single" w:sz="4" w:space="0" w:color="auto"/>
            </w:tcBorders>
            <w:shd w:val="clear" w:color="auto" w:fill="D9D9D9" w:themeFill="background1" w:themeFillShade="D9"/>
          </w:tcPr>
          <w:p w:rsidR="005C1E80" w:rsidRDefault="005C1E80" w:rsidP="00F57898">
            <w:pPr>
              <w:jc w:val="center"/>
              <w:rPr>
                <w:i/>
                <w:iCs/>
                <w:sz w:val="24"/>
                <w:szCs w:val="24"/>
                <w:lang w:eastAsia="zh-CN"/>
              </w:rPr>
            </w:pPr>
            <w:bookmarkStart w:id="23" w:name="_Hlk535833924"/>
            <w:r>
              <w:rPr>
                <w:rFonts w:asciiTheme="minorHAnsi" w:hAnsiTheme="minorHAnsi"/>
                <w:i/>
                <w:iCs/>
                <w:sz w:val="24"/>
                <w:szCs w:val="24"/>
                <w:lang w:val="hr-HR"/>
              </w:rPr>
              <w:t>Sastavnice/aktivnosti  sustava civilne zaštite, područje preventive</w:t>
            </w:r>
          </w:p>
        </w:tc>
        <w:tc>
          <w:tcPr>
            <w:tcW w:w="1681" w:type="dxa"/>
            <w:tcBorders>
              <w:left w:val="single" w:sz="4" w:space="0" w:color="auto"/>
              <w:righ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eastAsia="zh-CN"/>
              </w:rPr>
              <w:t>Brojčana ocjena</w:t>
            </w:r>
          </w:p>
        </w:tc>
        <w:tc>
          <w:tcPr>
            <w:tcW w:w="1837" w:type="dxa"/>
            <w:tcBorders>
              <w:lef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eastAsia="zh-CN"/>
              </w:rPr>
              <w:t>Ocjena</w:t>
            </w:r>
          </w:p>
        </w:tc>
      </w:tr>
      <w:tr w:rsidR="005C1E80" w:rsidTr="00F57898">
        <w:trPr>
          <w:trHeight w:val="70"/>
          <w:jc w:val="center"/>
        </w:trPr>
        <w:tc>
          <w:tcPr>
            <w:tcW w:w="5544" w:type="dxa"/>
          </w:tcPr>
          <w:p w:rsidR="005C1E80" w:rsidRDefault="005C1E80" w:rsidP="00F57898">
            <w:pPr>
              <w:rPr>
                <w:sz w:val="24"/>
                <w:szCs w:val="24"/>
                <w:lang w:eastAsia="zh-CN"/>
              </w:rPr>
            </w:pPr>
            <w:bookmarkStart w:id="24" w:name="_Hlk535833939"/>
            <w:r>
              <w:rPr>
                <w:rFonts w:asciiTheme="minorHAnsi" w:hAnsiTheme="minorHAnsi"/>
                <w:lang w:val="hr-HR"/>
              </w:rPr>
              <w:t>strategija, normativno uređenje i planovi</w:t>
            </w:r>
          </w:p>
        </w:tc>
        <w:tc>
          <w:tcPr>
            <w:tcW w:w="1681" w:type="dxa"/>
            <w:tcBorders>
              <w:right w:val="single" w:sz="4" w:space="0" w:color="auto"/>
            </w:tcBorders>
            <w:shd w:val="clear" w:color="auto" w:fill="FFFF00"/>
          </w:tcPr>
          <w:p w:rsidR="005C1E80" w:rsidRDefault="005C1E80" w:rsidP="00F57898">
            <w:pPr>
              <w:jc w:val="center"/>
              <w:rPr>
                <w:lang w:eastAsia="zh-CN"/>
              </w:rPr>
            </w:pPr>
            <w:r>
              <w:rPr>
                <w:rFonts w:asciiTheme="minorHAnsi" w:hAnsiTheme="minorHAnsi"/>
                <w:lang w:val="hr-HR" w:eastAsia="zh-CN"/>
              </w:rPr>
              <w:t>2</w:t>
            </w:r>
          </w:p>
        </w:tc>
        <w:tc>
          <w:tcPr>
            <w:tcW w:w="1837" w:type="dxa"/>
            <w:tcBorders>
              <w:left w:val="single" w:sz="4" w:space="0" w:color="auto"/>
            </w:tcBorders>
            <w:shd w:val="clear" w:color="auto" w:fill="FFFF00"/>
          </w:tcPr>
          <w:p w:rsidR="005C1E80" w:rsidRDefault="005C1E80" w:rsidP="00F57898">
            <w:pPr>
              <w:jc w:val="center"/>
              <w:rPr>
                <w:lang w:eastAsia="zh-CN"/>
              </w:rPr>
            </w:pPr>
            <w:r>
              <w:rPr>
                <w:rFonts w:asciiTheme="minorHAnsi" w:hAnsiTheme="minorHAnsi"/>
                <w:lang w:val="hr-HR" w:eastAsia="zh-CN"/>
              </w:rPr>
              <w:t>Visoka spremnost</w:t>
            </w:r>
          </w:p>
        </w:tc>
      </w:tr>
      <w:tr w:rsidR="005C1E80" w:rsidTr="00F57898">
        <w:trPr>
          <w:jc w:val="center"/>
        </w:trPr>
        <w:tc>
          <w:tcPr>
            <w:tcW w:w="5544" w:type="dxa"/>
          </w:tcPr>
          <w:p w:rsidR="005C1E80" w:rsidRDefault="005C1E80" w:rsidP="00F57898">
            <w:pPr>
              <w:rPr>
                <w:sz w:val="24"/>
                <w:szCs w:val="24"/>
                <w:lang w:eastAsia="zh-CN"/>
              </w:rPr>
            </w:pPr>
            <w:r>
              <w:rPr>
                <w:rFonts w:asciiTheme="minorHAnsi" w:hAnsiTheme="minorHAnsi"/>
                <w:lang w:val="hr-HR"/>
              </w:rPr>
              <w:t>sustav javnog uzbunjivanja</w:t>
            </w:r>
          </w:p>
        </w:tc>
        <w:tc>
          <w:tcPr>
            <w:tcW w:w="1681" w:type="dxa"/>
            <w:tcBorders>
              <w:right w:val="single" w:sz="4" w:space="0" w:color="auto"/>
            </w:tcBorders>
            <w:shd w:val="clear" w:color="auto" w:fill="00B050"/>
          </w:tcPr>
          <w:p w:rsidR="005C1E80" w:rsidRDefault="005C1E80" w:rsidP="00F57898">
            <w:pPr>
              <w:jc w:val="center"/>
              <w:rPr>
                <w:lang w:eastAsia="zh-CN"/>
              </w:rPr>
            </w:pPr>
            <w:r>
              <w:rPr>
                <w:rFonts w:asciiTheme="minorHAnsi" w:hAnsiTheme="minorHAnsi"/>
                <w:lang w:val="hr-HR" w:eastAsia="zh-CN"/>
              </w:rPr>
              <w:t>1</w:t>
            </w:r>
          </w:p>
        </w:tc>
        <w:tc>
          <w:tcPr>
            <w:tcW w:w="1837" w:type="dxa"/>
            <w:tcBorders>
              <w:left w:val="single" w:sz="4" w:space="0" w:color="auto"/>
            </w:tcBorders>
            <w:shd w:val="clear" w:color="auto" w:fill="00B050"/>
          </w:tcPr>
          <w:p w:rsidR="005C1E80" w:rsidRDefault="005C1E80" w:rsidP="00F57898">
            <w:pPr>
              <w:jc w:val="center"/>
              <w:rPr>
                <w:lang w:eastAsia="zh-CN"/>
              </w:rPr>
            </w:pPr>
            <w:r>
              <w:rPr>
                <w:rFonts w:asciiTheme="minorHAnsi" w:hAnsiTheme="minorHAnsi"/>
                <w:lang w:val="hr-HR" w:eastAsia="zh-CN"/>
              </w:rPr>
              <w:t>Vrlo visoka spremnost</w:t>
            </w:r>
          </w:p>
        </w:tc>
      </w:tr>
      <w:tr w:rsidR="005C1E80" w:rsidTr="00F57898">
        <w:trPr>
          <w:jc w:val="center"/>
        </w:trPr>
        <w:tc>
          <w:tcPr>
            <w:tcW w:w="5544" w:type="dxa"/>
          </w:tcPr>
          <w:p w:rsidR="005C1E80" w:rsidRDefault="005C1E80" w:rsidP="00F57898">
            <w:r>
              <w:rPr>
                <w:rFonts w:asciiTheme="minorHAnsi" w:hAnsiTheme="minorHAnsi"/>
                <w:lang w:val="hr-HR"/>
              </w:rPr>
              <w:lastRenderedPageBreak/>
              <w:t>stanje svijesti o prioritetnim rizicima</w:t>
            </w:r>
          </w:p>
        </w:tc>
        <w:tc>
          <w:tcPr>
            <w:tcW w:w="1681" w:type="dxa"/>
            <w:tcBorders>
              <w:right w:val="single" w:sz="4" w:space="0" w:color="auto"/>
            </w:tcBorders>
            <w:shd w:val="clear" w:color="auto" w:fill="FFC000"/>
          </w:tcPr>
          <w:p w:rsidR="005C1E80" w:rsidRDefault="005C1E80" w:rsidP="00F57898">
            <w:pPr>
              <w:jc w:val="center"/>
              <w:rPr>
                <w:lang w:eastAsia="zh-CN"/>
              </w:rPr>
            </w:pPr>
            <w:r>
              <w:rPr>
                <w:rFonts w:asciiTheme="minorHAnsi" w:hAnsiTheme="minorHAnsi"/>
                <w:lang w:val="hr-HR" w:eastAsia="zh-CN"/>
              </w:rPr>
              <w:t>3</w:t>
            </w:r>
          </w:p>
        </w:tc>
        <w:tc>
          <w:tcPr>
            <w:tcW w:w="1837" w:type="dxa"/>
            <w:tcBorders>
              <w:left w:val="single" w:sz="4" w:space="0" w:color="auto"/>
            </w:tcBorders>
            <w:shd w:val="clear" w:color="auto" w:fill="FFC000"/>
          </w:tcPr>
          <w:p w:rsidR="005C1E80" w:rsidRDefault="005C1E80" w:rsidP="00F57898">
            <w:pPr>
              <w:jc w:val="center"/>
              <w:rPr>
                <w:lang w:eastAsia="zh-CN"/>
              </w:rPr>
            </w:pPr>
            <w:r>
              <w:rPr>
                <w:rFonts w:asciiTheme="minorHAnsi" w:hAnsiTheme="minorHAnsi"/>
                <w:lang w:val="hr-HR" w:eastAsia="zh-CN"/>
              </w:rPr>
              <w:t>Niska spremnost</w:t>
            </w:r>
          </w:p>
        </w:tc>
      </w:tr>
      <w:tr w:rsidR="005C1E80" w:rsidTr="00F57898">
        <w:trPr>
          <w:jc w:val="center"/>
        </w:trPr>
        <w:tc>
          <w:tcPr>
            <w:tcW w:w="5544" w:type="dxa"/>
          </w:tcPr>
          <w:p w:rsidR="005C1E80" w:rsidRDefault="005C1E80" w:rsidP="00F57898">
            <w:r>
              <w:rPr>
                <w:rFonts w:asciiTheme="minorHAnsi" w:hAnsiTheme="minorHAnsi"/>
                <w:lang w:val="hr-HR"/>
              </w:rPr>
              <w:t>prostorno planiranje i legalizacija građevina</w:t>
            </w:r>
          </w:p>
        </w:tc>
        <w:tc>
          <w:tcPr>
            <w:tcW w:w="1681" w:type="dxa"/>
            <w:tcBorders>
              <w:right w:val="single" w:sz="4" w:space="0" w:color="auto"/>
            </w:tcBorders>
            <w:shd w:val="clear" w:color="auto" w:fill="FF0000"/>
          </w:tcPr>
          <w:p w:rsidR="005C1E80" w:rsidRDefault="005C1E80" w:rsidP="00F57898">
            <w:pPr>
              <w:jc w:val="center"/>
              <w:rPr>
                <w:lang w:eastAsia="zh-CN"/>
              </w:rPr>
            </w:pPr>
            <w:r>
              <w:rPr>
                <w:rFonts w:asciiTheme="minorHAnsi" w:hAnsiTheme="minorHAnsi"/>
                <w:lang w:val="hr-HR" w:eastAsia="zh-CN"/>
              </w:rPr>
              <w:t>4</w:t>
            </w:r>
          </w:p>
        </w:tc>
        <w:tc>
          <w:tcPr>
            <w:tcW w:w="1837" w:type="dxa"/>
            <w:tcBorders>
              <w:left w:val="single" w:sz="4" w:space="0" w:color="auto"/>
            </w:tcBorders>
            <w:shd w:val="clear" w:color="auto" w:fill="FF0000"/>
          </w:tcPr>
          <w:p w:rsidR="005C1E80" w:rsidRDefault="005C1E80" w:rsidP="00F57898">
            <w:pPr>
              <w:jc w:val="center"/>
              <w:rPr>
                <w:lang w:eastAsia="zh-CN"/>
              </w:rPr>
            </w:pPr>
            <w:r>
              <w:rPr>
                <w:rFonts w:asciiTheme="minorHAnsi" w:hAnsiTheme="minorHAnsi"/>
                <w:lang w:val="hr-HR" w:eastAsia="zh-CN"/>
              </w:rPr>
              <w:t>Vrlo niska spremnost</w:t>
            </w:r>
          </w:p>
        </w:tc>
      </w:tr>
      <w:tr w:rsidR="005C1E80" w:rsidTr="00F57898">
        <w:trPr>
          <w:jc w:val="center"/>
        </w:trPr>
        <w:tc>
          <w:tcPr>
            <w:tcW w:w="5544" w:type="dxa"/>
          </w:tcPr>
          <w:p w:rsidR="005C1E80" w:rsidRDefault="005C1E80" w:rsidP="00F57898">
            <w:r>
              <w:rPr>
                <w:rFonts w:asciiTheme="minorHAnsi" w:hAnsiTheme="minorHAnsi"/>
                <w:lang w:val="hr-HR"/>
              </w:rPr>
              <w:t>ocjena fiskalne situacije i njene perspektive</w:t>
            </w:r>
          </w:p>
        </w:tc>
        <w:tc>
          <w:tcPr>
            <w:tcW w:w="1681" w:type="dxa"/>
            <w:tcBorders>
              <w:right w:val="single" w:sz="4" w:space="0" w:color="auto"/>
            </w:tcBorders>
            <w:shd w:val="clear" w:color="auto" w:fill="FF0000"/>
          </w:tcPr>
          <w:p w:rsidR="005C1E80" w:rsidRDefault="005C1E80" w:rsidP="00F57898">
            <w:pPr>
              <w:jc w:val="center"/>
              <w:rPr>
                <w:lang w:eastAsia="zh-CN"/>
              </w:rPr>
            </w:pPr>
            <w:r>
              <w:rPr>
                <w:rFonts w:asciiTheme="minorHAnsi" w:hAnsiTheme="minorHAnsi"/>
                <w:lang w:val="hr-HR" w:eastAsia="zh-CN"/>
              </w:rPr>
              <w:t>4</w:t>
            </w:r>
          </w:p>
        </w:tc>
        <w:tc>
          <w:tcPr>
            <w:tcW w:w="1837" w:type="dxa"/>
            <w:tcBorders>
              <w:left w:val="single" w:sz="4" w:space="0" w:color="auto"/>
            </w:tcBorders>
            <w:shd w:val="clear" w:color="auto" w:fill="FF0000"/>
          </w:tcPr>
          <w:p w:rsidR="005C1E80" w:rsidRDefault="005C1E80" w:rsidP="00F57898">
            <w:pPr>
              <w:jc w:val="center"/>
              <w:rPr>
                <w:lang w:eastAsia="zh-CN"/>
              </w:rPr>
            </w:pPr>
            <w:r>
              <w:rPr>
                <w:rFonts w:asciiTheme="minorHAnsi" w:hAnsiTheme="minorHAnsi"/>
                <w:lang w:val="hr-HR" w:eastAsia="zh-CN"/>
              </w:rPr>
              <w:t>Vrlo niska spremnost</w:t>
            </w:r>
          </w:p>
        </w:tc>
      </w:tr>
      <w:tr w:rsidR="005C1E80" w:rsidTr="00F57898">
        <w:trPr>
          <w:trHeight w:val="170"/>
          <w:jc w:val="center"/>
        </w:trPr>
        <w:tc>
          <w:tcPr>
            <w:tcW w:w="5544" w:type="dxa"/>
          </w:tcPr>
          <w:p w:rsidR="005C1E80" w:rsidRDefault="005C1E80" w:rsidP="00F57898">
            <w:r>
              <w:rPr>
                <w:rFonts w:asciiTheme="minorHAnsi" w:hAnsiTheme="minorHAnsi"/>
                <w:lang w:val="hr-HR"/>
              </w:rPr>
              <w:t>ocjena stanja baza podataka i podloga za potrebe planiranja reagiranja</w:t>
            </w:r>
          </w:p>
        </w:tc>
        <w:tc>
          <w:tcPr>
            <w:tcW w:w="1681" w:type="dxa"/>
            <w:tcBorders>
              <w:right w:val="single" w:sz="4" w:space="0" w:color="auto"/>
            </w:tcBorders>
            <w:shd w:val="clear" w:color="auto" w:fill="FFC000"/>
          </w:tcPr>
          <w:p w:rsidR="005C1E80" w:rsidRDefault="005C1E80" w:rsidP="00F57898">
            <w:pPr>
              <w:jc w:val="center"/>
              <w:rPr>
                <w:lang w:eastAsia="zh-CN"/>
              </w:rPr>
            </w:pPr>
            <w:r>
              <w:rPr>
                <w:rFonts w:asciiTheme="minorHAnsi" w:hAnsiTheme="minorHAnsi"/>
                <w:lang w:val="hr-HR" w:eastAsia="zh-CN"/>
              </w:rPr>
              <w:t>3</w:t>
            </w:r>
          </w:p>
        </w:tc>
        <w:tc>
          <w:tcPr>
            <w:tcW w:w="1837" w:type="dxa"/>
            <w:tcBorders>
              <w:left w:val="single" w:sz="4" w:space="0" w:color="auto"/>
            </w:tcBorders>
            <w:shd w:val="clear" w:color="auto" w:fill="FFC000"/>
          </w:tcPr>
          <w:p w:rsidR="005C1E80" w:rsidRDefault="005C1E80" w:rsidP="00F57898">
            <w:pPr>
              <w:jc w:val="center"/>
              <w:rPr>
                <w:lang w:eastAsia="zh-CN"/>
              </w:rPr>
            </w:pPr>
            <w:r>
              <w:rPr>
                <w:rFonts w:asciiTheme="minorHAnsi" w:hAnsiTheme="minorHAnsi"/>
                <w:lang w:val="hr-HR" w:eastAsia="zh-CN"/>
              </w:rPr>
              <w:t>Niska spremnost</w:t>
            </w:r>
          </w:p>
        </w:tc>
      </w:tr>
      <w:tr w:rsidR="005C1E80" w:rsidTr="00F57898">
        <w:trPr>
          <w:trHeight w:val="170"/>
          <w:jc w:val="center"/>
        </w:trPr>
        <w:tc>
          <w:tcPr>
            <w:tcW w:w="5544" w:type="dxa"/>
            <w:shd w:val="clear" w:color="auto" w:fill="F2F2F2" w:themeFill="background1" w:themeFillShade="F2"/>
          </w:tcPr>
          <w:p w:rsidR="005C1E80" w:rsidRDefault="005C1E80" w:rsidP="00F57898">
            <w:pPr>
              <w:rPr>
                <w:b/>
                <w:bCs/>
                <w:i/>
                <w:iCs/>
                <w:sz w:val="24"/>
                <w:szCs w:val="24"/>
              </w:rPr>
            </w:pPr>
            <w:r>
              <w:rPr>
                <w:rFonts w:asciiTheme="minorHAnsi" w:hAnsiTheme="minorHAnsi"/>
                <w:b/>
                <w:bCs/>
                <w:i/>
                <w:iCs/>
                <w:sz w:val="24"/>
                <w:szCs w:val="24"/>
                <w:lang w:val="hr-HR"/>
              </w:rPr>
              <w:t>Ukupna ocjena</w:t>
            </w:r>
          </w:p>
        </w:tc>
        <w:tc>
          <w:tcPr>
            <w:tcW w:w="1681" w:type="dxa"/>
            <w:tcBorders>
              <w:right w:val="single" w:sz="4" w:space="0" w:color="auto"/>
            </w:tcBorders>
            <w:shd w:val="clear" w:color="auto" w:fill="FFC000"/>
          </w:tcPr>
          <w:p w:rsidR="005C1E80" w:rsidRDefault="005C1E80" w:rsidP="00F57898">
            <w:pPr>
              <w:jc w:val="center"/>
              <w:rPr>
                <w:b/>
                <w:bCs/>
                <w:i/>
                <w:iCs/>
                <w:sz w:val="24"/>
                <w:szCs w:val="24"/>
                <w:lang w:eastAsia="zh-CN"/>
              </w:rPr>
            </w:pPr>
            <w:r>
              <w:rPr>
                <w:rFonts w:asciiTheme="minorHAnsi" w:hAnsiTheme="minorHAnsi"/>
                <w:b/>
                <w:bCs/>
                <w:i/>
                <w:iCs/>
                <w:sz w:val="24"/>
                <w:szCs w:val="24"/>
                <w:lang w:val="hr-HR" w:eastAsia="zh-CN"/>
              </w:rPr>
              <w:t>3</w:t>
            </w:r>
          </w:p>
        </w:tc>
        <w:tc>
          <w:tcPr>
            <w:tcW w:w="1837" w:type="dxa"/>
            <w:tcBorders>
              <w:left w:val="single" w:sz="4" w:space="0" w:color="auto"/>
            </w:tcBorders>
            <w:shd w:val="clear" w:color="auto" w:fill="FFC000"/>
          </w:tcPr>
          <w:p w:rsidR="005C1E80" w:rsidRDefault="005C1E80" w:rsidP="00F57898">
            <w:pPr>
              <w:jc w:val="center"/>
              <w:rPr>
                <w:b/>
                <w:bCs/>
                <w:i/>
                <w:iCs/>
                <w:sz w:val="24"/>
                <w:szCs w:val="24"/>
                <w:lang w:eastAsia="zh-CN"/>
              </w:rPr>
            </w:pPr>
            <w:r>
              <w:rPr>
                <w:rFonts w:asciiTheme="minorHAnsi" w:hAnsiTheme="minorHAnsi"/>
                <w:b/>
                <w:bCs/>
                <w:i/>
                <w:iCs/>
                <w:sz w:val="24"/>
                <w:szCs w:val="24"/>
                <w:lang w:val="hr-HR" w:eastAsia="zh-CN"/>
              </w:rPr>
              <w:t>Niska spremnost</w:t>
            </w:r>
          </w:p>
        </w:tc>
      </w:tr>
      <w:bookmarkEnd w:id="23"/>
      <w:bookmarkEnd w:id="24"/>
    </w:tbl>
    <w:p w:rsidR="005C1E80" w:rsidRDefault="005C1E80" w:rsidP="005C1E80">
      <w:pPr>
        <w:shd w:val="clear" w:color="auto" w:fill="FFFFFF" w:themeFill="background1"/>
        <w:rPr>
          <w:rFonts w:ascii="Garamond" w:hAnsi="Garamond"/>
        </w:rPr>
      </w:pPr>
    </w:p>
    <w:p w:rsidR="005C1E80" w:rsidRDefault="005C1E80" w:rsidP="005C1E80">
      <w:pPr>
        <w:shd w:val="clear" w:color="auto" w:fill="FFFFFF" w:themeFill="background1"/>
        <w:rPr>
          <w:rFonts w:ascii="Garamond" w:hAnsi="Garamond"/>
          <w:b/>
          <w:i/>
        </w:rPr>
      </w:pPr>
      <w:r>
        <w:rPr>
          <w:rFonts w:ascii="Garamond" w:hAnsi="Garamond"/>
        </w:rPr>
        <w:t xml:space="preserve">Konačna ocjena je srednja vrijednost ocijenjenih kategorija zaokružena na najbliži cijeli broj. U skladu s navedenim konačna ocjena spremnosti Općine </w:t>
      </w:r>
      <w:r>
        <w:rPr>
          <w:rFonts w:ascii="Garamond" w:hAnsi="Garamond"/>
          <w:b/>
          <w:i/>
        </w:rPr>
        <w:t>u području preventive je 3-niska spremnost.</w:t>
      </w:r>
    </w:p>
    <w:p w:rsidR="005C1E80" w:rsidRDefault="005C1E80" w:rsidP="005C1E80">
      <w:pPr>
        <w:shd w:val="clear" w:color="auto" w:fill="FFFFFF" w:themeFill="background1"/>
        <w:rPr>
          <w:rFonts w:ascii="Garamond" w:hAnsi="Garamond"/>
        </w:rPr>
      </w:pPr>
      <w:r>
        <w:rPr>
          <w:rFonts w:ascii="Garamond" w:hAnsi="Garamond"/>
        </w:rPr>
        <w:t>Da bi se spremnost civilne zaštite u području preventive potrebno je provoditi ili dodatno unaprjeđivati njegove sastavnice koje se ocjenjene ocjenom 4 (vrlo niska spremnost) i 3 (niska spremnost). U ovom slučaju to su sastavnice sustava koje se odnose na stanje svijesti o prioritetnim rizicima i stanje fiskalne situacije i njene perspektive.</w:t>
      </w:r>
    </w:p>
    <w:p w:rsidR="005C1E80" w:rsidRDefault="005C1E80" w:rsidP="005C1E80">
      <w:pPr>
        <w:shd w:val="clear" w:color="auto" w:fill="FFFFFF" w:themeFill="background1"/>
        <w:rPr>
          <w:rFonts w:ascii="Garamond" w:hAnsi="Garamond"/>
          <w:color w:val="FF0000"/>
        </w:rPr>
      </w:pPr>
      <w:r>
        <w:rPr>
          <w:rFonts w:ascii="Garamond" w:hAnsi="Garamond"/>
        </w:rPr>
        <w:t xml:space="preserve">Da bi se sastavnice sustava koje se odnose na stanje svijesti o prioritetnim rizicima i stanja fiskalne situacije unaprijedila potrebno je: </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bookmarkStart w:id="25" w:name="_Hlk502919758"/>
      <w:r>
        <w:rPr>
          <w:rFonts w:ascii="Garamond" w:hAnsi="Garamond"/>
          <w:lang w:eastAsia="zh-CN"/>
        </w:rPr>
        <w:t>Odrediti pravne osobe od interesa za sustav CZ</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r>
        <w:rPr>
          <w:rFonts w:ascii="Garamond" w:hAnsi="Garamond"/>
          <w:lang w:eastAsia="zh-CN"/>
        </w:rPr>
        <w:t>Imenovati zaposlenika zaduženog za praćenje propisa i vođenje baze podataka</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r>
        <w:rPr>
          <w:rFonts w:ascii="Garamond" w:hAnsi="Garamond"/>
          <w:lang w:eastAsia="zh-CN"/>
        </w:rPr>
        <w:t>Izraditi godišnje i srednjoročne planove razvoja sustava CZ</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r>
        <w:rPr>
          <w:rFonts w:ascii="Garamond" w:hAnsi="Garamond"/>
          <w:lang w:eastAsia="zh-CN"/>
        </w:rPr>
        <w:t>Sva naselja pokriti sirenama s kojima se može objaviti nastupanje opće opasnosti,</w:t>
      </w:r>
    </w:p>
    <w:p w:rsidR="005C1E80" w:rsidRDefault="005C1E80" w:rsidP="00A66748">
      <w:pPr>
        <w:pStyle w:val="Odlomakpopisa"/>
        <w:numPr>
          <w:ilvl w:val="0"/>
          <w:numId w:val="60"/>
        </w:numPr>
        <w:spacing w:after="0" w:line="276" w:lineRule="auto"/>
        <w:jc w:val="both"/>
        <w:rPr>
          <w:rFonts w:ascii="Garamond" w:hAnsi="Garamond"/>
          <w:lang w:eastAsia="zh-CN"/>
        </w:rPr>
      </w:pPr>
      <w:r>
        <w:rPr>
          <w:rFonts w:ascii="Garamond" w:hAnsi="Garamond"/>
          <w:lang w:eastAsia="zh-CN"/>
        </w:rPr>
        <w:t>sazivati Stožer CZ i onda kada povod nije nekakav štetni događaj u cilju upoznavanja članova o utvrđenim prijetnjama i mjerama odgovora na iste, štetama izazvanim u proteklom periodu te mjerama kako su se one mogle spriječiti ili bar ublažit,</w:t>
      </w:r>
    </w:p>
    <w:p w:rsidR="005C1E80" w:rsidRDefault="005C1E80" w:rsidP="00A66748">
      <w:pPr>
        <w:numPr>
          <w:ilvl w:val="0"/>
          <w:numId w:val="60"/>
        </w:numPr>
        <w:shd w:val="clear" w:color="auto" w:fill="FFFFFF"/>
        <w:spacing w:after="200" w:line="276" w:lineRule="auto"/>
        <w:contextualSpacing/>
        <w:jc w:val="both"/>
        <w:rPr>
          <w:rFonts w:ascii="Garamond" w:eastAsia="Times New Roman" w:hAnsi="Garamond" w:cs="Times New Roman"/>
        </w:rPr>
      </w:pPr>
      <w:r>
        <w:rPr>
          <w:rFonts w:ascii="Garamond" w:eastAsia="Times New Roman" w:hAnsi="Garamond" w:cs="Times New Roman"/>
        </w:rPr>
        <w:t>u ugroženim naseljima organizirane javne tribine o prijetnjama, mogućim posljedicama neželjenog događaja, te načinu samozaštite ugroženog stanovništva,</w:t>
      </w:r>
    </w:p>
    <w:p w:rsidR="005C1E80" w:rsidRDefault="005C1E80" w:rsidP="00A66748">
      <w:pPr>
        <w:numPr>
          <w:ilvl w:val="0"/>
          <w:numId w:val="60"/>
        </w:numPr>
        <w:shd w:val="clear" w:color="auto" w:fill="FFFFFF"/>
        <w:spacing w:after="0" w:line="276" w:lineRule="auto"/>
        <w:contextualSpacing/>
        <w:jc w:val="both"/>
        <w:rPr>
          <w:rFonts w:ascii="Garamond" w:eastAsia="Times New Roman" w:hAnsi="Garamond" w:cs="Times New Roman"/>
        </w:rPr>
      </w:pPr>
      <w:r>
        <w:rPr>
          <w:rFonts w:ascii="Garamond" w:eastAsia="Times New Roman" w:hAnsi="Garamond" w:cs="Times New Roman"/>
        </w:rPr>
        <w:t>jednom godišnje ili najmanje jedanput u dvije godine  organizirati vježbe sklanjanja, evakuacije i spašavanja stanovništva iz ugroženih područja,</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r>
        <w:rPr>
          <w:rFonts w:ascii="Garamond" w:hAnsi="Garamond"/>
        </w:rPr>
        <w:t>nastaviti organizirati okupljanje operativnih snaga CZ (liječničke ekipe, povjerenici civilne zaštite, timovi civilne zaštite i drugi) sa ciljem upoznavanja sa načinom djelovanja prijetnje, njihovom ulogom u reagiranju na prijetnje, te posebno načinu samozaštite od iste</w:t>
      </w:r>
    </w:p>
    <w:p w:rsidR="005C1E80" w:rsidRDefault="005C1E80" w:rsidP="00A66748">
      <w:pPr>
        <w:numPr>
          <w:ilvl w:val="0"/>
          <w:numId w:val="60"/>
        </w:numPr>
        <w:shd w:val="clear" w:color="auto" w:fill="FFFFFF"/>
        <w:spacing w:after="200" w:line="276" w:lineRule="auto"/>
        <w:contextualSpacing/>
        <w:jc w:val="both"/>
        <w:rPr>
          <w:rFonts w:ascii="Garamond" w:eastAsia="Times New Roman" w:hAnsi="Garamond" w:cs="Times New Roman"/>
        </w:rPr>
      </w:pPr>
      <w:r>
        <w:rPr>
          <w:rFonts w:ascii="Garamond" w:eastAsia="Times New Roman" w:hAnsi="Garamond" w:cs="Times New Roman"/>
        </w:rPr>
        <w:t>donijeti urbanističke planove naselja i gospodarstva  sa izostavljenim područjima u kojima zaštita nije djelotvorna,</w:t>
      </w:r>
    </w:p>
    <w:p w:rsidR="005C1E80" w:rsidRDefault="005C1E80" w:rsidP="00A66748">
      <w:pPr>
        <w:numPr>
          <w:ilvl w:val="0"/>
          <w:numId w:val="60"/>
        </w:numPr>
        <w:shd w:val="clear" w:color="auto" w:fill="FFFFFF"/>
        <w:spacing w:after="0" w:line="276" w:lineRule="auto"/>
        <w:contextualSpacing/>
        <w:jc w:val="both"/>
        <w:rPr>
          <w:rFonts w:ascii="Garamond" w:eastAsia="Times New Roman" w:hAnsi="Garamond" w:cs="Times New Roman"/>
        </w:rPr>
      </w:pPr>
      <w:r>
        <w:rPr>
          <w:rFonts w:ascii="Garamond" w:eastAsia="Times New Roman" w:hAnsi="Garamond" w:cs="Times New Roman"/>
        </w:rPr>
        <w:t>utvrditi broj nelegalnih objekata koji imaju dvojbenu otpornost na posljedice djelovanja prijetnji u područjima prioritetnih ugrožavanja i propisati posebne urbanističke uvjete koji osiguravaju otpornost izgrađenih građevina,</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r>
        <w:rPr>
          <w:rFonts w:ascii="Garamond" w:hAnsi="Garamond"/>
        </w:rPr>
        <w:t>planirati financijska sredstva za provedbu mjera reagiranja u slučaju prijetnje velikom nesrećom i sredstva za povrat u funkciju ugroženog područja,</w:t>
      </w:r>
    </w:p>
    <w:p w:rsidR="005C1E80" w:rsidRDefault="005C1E80" w:rsidP="00A66748">
      <w:pPr>
        <w:pStyle w:val="Odlomakpopisa"/>
        <w:numPr>
          <w:ilvl w:val="0"/>
          <w:numId w:val="60"/>
        </w:numPr>
        <w:shd w:val="clear" w:color="auto" w:fill="FFFFFF"/>
        <w:spacing w:after="0" w:line="276" w:lineRule="auto"/>
        <w:jc w:val="both"/>
        <w:rPr>
          <w:rFonts w:ascii="Garamond" w:hAnsi="Garamond"/>
          <w:lang w:eastAsia="zh-CN"/>
        </w:rPr>
      </w:pPr>
      <w:r>
        <w:rPr>
          <w:rFonts w:ascii="Garamond" w:hAnsi="Garamond"/>
        </w:rPr>
        <w:t>ustrojiti bazu podataka o poremećajima u radu kritične infrastrukture i redovito ažurirati navedene baze podataka.</w:t>
      </w:r>
    </w:p>
    <w:p w:rsidR="005C1E80" w:rsidRDefault="005C1E80" w:rsidP="005C1E80">
      <w:pPr>
        <w:pStyle w:val="Odlomakpopisa"/>
        <w:shd w:val="clear" w:color="auto" w:fill="FFFFFF"/>
        <w:spacing w:after="0"/>
        <w:jc w:val="both"/>
        <w:rPr>
          <w:lang w:eastAsia="zh-CN"/>
        </w:rPr>
      </w:pPr>
    </w:p>
    <w:p w:rsidR="005C1E80" w:rsidRDefault="005C1E80" w:rsidP="005C1E80">
      <w:pPr>
        <w:shd w:val="clear" w:color="auto" w:fill="FFFFFF" w:themeFill="background1"/>
        <w:jc w:val="both"/>
        <w:rPr>
          <w:rFonts w:ascii="Garamond" w:hAnsi="Garamond"/>
        </w:rPr>
      </w:pPr>
    </w:p>
    <w:p w:rsidR="005C1E80" w:rsidRDefault="005C1E80" w:rsidP="005C1E80">
      <w:pPr>
        <w:pStyle w:val="Razina3"/>
        <w:numPr>
          <w:ilvl w:val="0"/>
          <w:numId w:val="0"/>
        </w:numPr>
        <w:rPr>
          <w:rFonts w:ascii="Garamond" w:hAnsi="Garamond"/>
          <w:i w:val="0"/>
          <w:iCs/>
          <w:lang w:val="hr-HR"/>
        </w:rPr>
      </w:pPr>
      <w:bookmarkStart w:id="26" w:name="_Toc536433767"/>
      <w:bookmarkEnd w:id="25"/>
      <w:r>
        <w:rPr>
          <w:rFonts w:ascii="Garamond" w:hAnsi="Garamond"/>
          <w:i w:val="0"/>
          <w:iCs/>
          <w:lang w:val="hr-HR"/>
        </w:rPr>
        <w:t>Za područje reagiranja</w:t>
      </w:r>
      <w:bookmarkEnd w:id="26"/>
    </w:p>
    <w:p w:rsidR="005C1E80" w:rsidRDefault="005C1E80" w:rsidP="005C1E80"/>
    <w:p w:rsidR="005C1E80" w:rsidRDefault="005C1E80" w:rsidP="005C1E80">
      <w:pPr>
        <w:rPr>
          <w:rFonts w:ascii="Garamond" w:hAnsi="Garamond"/>
        </w:rPr>
      </w:pPr>
      <w:r>
        <w:rPr>
          <w:rFonts w:ascii="Garamond" w:hAnsi="Garamond"/>
        </w:rPr>
        <w:lastRenderedPageBreak/>
        <w:t>Nakon vrednovanja pojedinih kategorija koji određuju spremnost sustava civilne zaštite u području preventive donosi se konačna ocjena u pogledu sposobnosti reagiranja. Kategorije u području reagiranja su ocijenjene kako je prikazano u narednoj tablici.</w:t>
      </w:r>
    </w:p>
    <w:p w:rsidR="005C1E80" w:rsidRDefault="005C1E80" w:rsidP="005C1E80">
      <w:pPr>
        <w:pStyle w:val="Opisslike"/>
        <w:rPr>
          <w:rFonts w:ascii="Garamond" w:hAnsi="Garamond"/>
        </w:rPr>
      </w:pPr>
    </w:p>
    <w:tbl>
      <w:tblPr>
        <w:tblStyle w:val="Reetkatablice"/>
        <w:tblW w:w="0" w:type="auto"/>
        <w:jc w:val="center"/>
        <w:tblLook w:val="04A0"/>
      </w:tblPr>
      <w:tblGrid>
        <w:gridCol w:w="5519"/>
        <w:gridCol w:w="1677"/>
        <w:gridCol w:w="2092"/>
      </w:tblGrid>
      <w:tr w:rsidR="005C1E80" w:rsidTr="00F57898">
        <w:trPr>
          <w:jc w:val="center"/>
        </w:trPr>
        <w:tc>
          <w:tcPr>
            <w:tcW w:w="5519" w:type="dxa"/>
            <w:tcBorders>
              <w:righ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rPr>
              <w:t>Sastavnice/aktivnosti  sustava civilne zaštite, područje reagiranja</w:t>
            </w:r>
          </w:p>
        </w:tc>
        <w:tc>
          <w:tcPr>
            <w:tcW w:w="1677" w:type="dxa"/>
            <w:tcBorders>
              <w:left w:val="single" w:sz="4" w:space="0" w:color="auto"/>
              <w:righ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eastAsia="zh-CN"/>
              </w:rPr>
              <w:t>Brojčana ocjena</w:t>
            </w:r>
          </w:p>
        </w:tc>
        <w:tc>
          <w:tcPr>
            <w:tcW w:w="2092" w:type="dxa"/>
            <w:tcBorders>
              <w:lef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eastAsia="zh-CN"/>
              </w:rPr>
              <w:t>Ocjena</w:t>
            </w:r>
          </w:p>
        </w:tc>
      </w:tr>
      <w:tr w:rsidR="005C1E80" w:rsidTr="00F57898">
        <w:trPr>
          <w:trHeight w:val="70"/>
          <w:jc w:val="center"/>
        </w:trPr>
        <w:tc>
          <w:tcPr>
            <w:tcW w:w="5519" w:type="dxa"/>
          </w:tcPr>
          <w:p w:rsidR="005C1E80" w:rsidRDefault="005C1E80" w:rsidP="00F57898">
            <w:pPr>
              <w:rPr>
                <w:sz w:val="24"/>
                <w:szCs w:val="24"/>
                <w:lang w:eastAsia="zh-CN"/>
              </w:rPr>
            </w:pPr>
            <w:r>
              <w:rPr>
                <w:lang w:val="hr-HR"/>
              </w:rPr>
              <w:t>s</w:t>
            </w:r>
            <w:r>
              <w:rPr>
                <w:rFonts w:eastAsia="Calibri"/>
                <w:lang w:val="hr-HR"/>
              </w:rPr>
              <w:t>premnost odgovornih i upravljačkih kapaciteta</w:t>
            </w:r>
          </w:p>
        </w:tc>
        <w:tc>
          <w:tcPr>
            <w:tcW w:w="1677" w:type="dxa"/>
            <w:tcBorders>
              <w:right w:val="single" w:sz="4" w:space="0" w:color="auto"/>
            </w:tcBorders>
            <w:shd w:val="clear" w:color="auto" w:fill="FFFF00"/>
          </w:tcPr>
          <w:p w:rsidR="005C1E80" w:rsidRDefault="005C1E80" w:rsidP="00F57898">
            <w:pPr>
              <w:jc w:val="center"/>
              <w:rPr>
                <w:lang w:eastAsia="zh-CN"/>
              </w:rPr>
            </w:pPr>
            <w:r>
              <w:rPr>
                <w:rFonts w:asciiTheme="minorHAnsi" w:hAnsiTheme="minorHAnsi"/>
                <w:lang w:val="hr-HR" w:eastAsia="zh-CN"/>
              </w:rPr>
              <w:t>2</w:t>
            </w:r>
          </w:p>
        </w:tc>
        <w:tc>
          <w:tcPr>
            <w:tcW w:w="2092" w:type="dxa"/>
            <w:tcBorders>
              <w:left w:val="single" w:sz="4" w:space="0" w:color="auto"/>
            </w:tcBorders>
            <w:shd w:val="clear" w:color="auto" w:fill="FFFF00"/>
          </w:tcPr>
          <w:p w:rsidR="005C1E80" w:rsidRDefault="005C1E80" w:rsidP="00F57898">
            <w:pPr>
              <w:jc w:val="center"/>
              <w:rPr>
                <w:lang w:eastAsia="zh-CN"/>
              </w:rPr>
            </w:pPr>
            <w:r>
              <w:rPr>
                <w:rFonts w:asciiTheme="minorHAnsi" w:hAnsiTheme="minorHAnsi"/>
                <w:lang w:val="hr-HR" w:eastAsia="zh-CN"/>
              </w:rPr>
              <w:t>Visoka spremnost</w:t>
            </w:r>
          </w:p>
        </w:tc>
      </w:tr>
      <w:tr w:rsidR="005C1E80" w:rsidTr="00F57898">
        <w:trPr>
          <w:jc w:val="center"/>
        </w:trPr>
        <w:tc>
          <w:tcPr>
            <w:tcW w:w="5519" w:type="dxa"/>
          </w:tcPr>
          <w:p w:rsidR="005C1E80" w:rsidRDefault="005C1E80" w:rsidP="00F57898">
            <w:pPr>
              <w:rPr>
                <w:sz w:val="24"/>
                <w:szCs w:val="24"/>
                <w:lang w:eastAsia="zh-CN"/>
              </w:rPr>
            </w:pPr>
            <w:r>
              <w:rPr>
                <w:rFonts w:asciiTheme="minorHAnsi" w:hAnsiTheme="minorHAnsi"/>
                <w:lang w:val="hr-HR"/>
              </w:rPr>
              <w:t>spremnost operativnih kapaciteta civilne zaštite</w:t>
            </w:r>
          </w:p>
        </w:tc>
        <w:tc>
          <w:tcPr>
            <w:tcW w:w="1677" w:type="dxa"/>
            <w:tcBorders>
              <w:right w:val="single" w:sz="4" w:space="0" w:color="auto"/>
            </w:tcBorders>
            <w:shd w:val="clear" w:color="auto" w:fill="00B050"/>
          </w:tcPr>
          <w:p w:rsidR="005C1E80" w:rsidRDefault="005C1E80" w:rsidP="00F57898">
            <w:pPr>
              <w:jc w:val="center"/>
              <w:rPr>
                <w:lang w:eastAsia="zh-CN"/>
              </w:rPr>
            </w:pPr>
            <w:r>
              <w:rPr>
                <w:rFonts w:asciiTheme="minorHAnsi" w:hAnsiTheme="minorHAnsi"/>
                <w:lang w:val="hr-HR" w:eastAsia="zh-CN"/>
              </w:rPr>
              <w:t>1</w:t>
            </w:r>
          </w:p>
        </w:tc>
        <w:tc>
          <w:tcPr>
            <w:tcW w:w="2092" w:type="dxa"/>
            <w:tcBorders>
              <w:left w:val="single" w:sz="4" w:space="0" w:color="auto"/>
            </w:tcBorders>
            <w:shd w:val="clear" w:color="auto" w:fill="00B050"/>
          </w:tcPr>
          <w:p w:rsidR="005C1E80" w:rsidRDefault="005C1E80" w:rsidP="00F57898">
            <w:pPr>
              <w:jc w:val="center"/>
              <w:rPr>
                <w:lang w:eastAsia="zh-CN"/>
              </w:rPr>
            </w:pPr>
            <w:r>
              <w:rPr>
                <w:rFonts w:asciiTheme="minorHAnsi" w:hAnsiTheme="minorHAnsi"/>
                <w:lang w:val="hr-HR" w:eastAsia="zh-CN"/>
              </w:rPr>
              <w:t>Vrlo visoka spremnost</w:t>
            </w:r>
          </w:p>
        </w:tc>
      </w:tr>
      <w:tr w:rsidR="005C1E80" w:rsidTr="00F57898">
        <w:trPr>
          <w:trHeight w:val="358"/>
          <w:jc w:val="center"/>
        </w:trPr>
        <w:tc>
          <w:tcPr>
            <w:tcW w:w="5519" w:type="dxa"/>
          </w:tcPr>
          <w:p w:rsidR="005C1E80" w:rsidRDefault="005C1E80" w:rsidP="00F57898">
            <w:r>
              <w:rPr>
                <w:lang w:val="hr-HR"/>
              </w:rPr>
              <w:t>stanje mobilnosti operativnih kapaciteta sustava civilne zaštite i stanja komunikacijskih kapaciteta</w:t>
            </w:r>
          </w:p>
        </w:tc>
        <w:tc>
          <w:tcPr>
            <w:tcW w:w="1677" w:type="dxa"/>
            <w:tcBorders>
              <w:right w:val="single" w:sz="4" w:space="0" w:color="auto"/>
            </w:tcBorders>
            <w:shd w:val="clear" w:color="auto" w:fill="FFC000"/>
          </w:tcPr>
          <w:p w:rsidR="005C1E80" w:rsidRDefault="005C1E80" w:rsidP="00F57898">
            <w:pPr>
              <w:jc w:val="center"/>
              <w:rPr>
                <w:lang w:eastAsia="zh-CN"/>
              </w:rPr>
            </w:pPr>
            <w:r>
              <w:rPr>
                <w:rFonts w:asciiTheme="minorHAnsi" w:hAnsiTheme="minorHAnsi"/>
                <w:lang w:val="hr-HR" w:eastAsia="zh-CN"/>
              </w:rPr>
              <w:t>3</w:t>
            </w:r>
          </w:p>
        </w:tc>
        <w:tc>
          <w:tcPr>
            <w:tcW w:w="2092" w:type="dxa"/>
            <w:tcBorders>
              <w:left w:val="single" w:sz="4" w:space="0" w:color="auto"/>
            </w:tcBorders>
            <w:shd w:val="clear" w:color="auto" w:fill="FFC000"/>
          </w:tcPr>
          <w:p w:rsidR="005C1E80" w:rsidRDefault="005C1E80" w:rsidP="00F57898">
            <w:pPr>
              <w:jc w:val="center"/>
              <w:rPr>
                <w:lang w:eastAsia="zh-CN"/>
              </w:rPr>
            </w:pPr>
            <w:r>
              <w:rPr>
                <w:rFonts w:asciiTheme="minorHAnsi" w:hAnsiTheme="minorHAnsi"/>
                <w:lang w:val="hr-HR" w:eastAsia="zh-CN"/>
              </w:rPr>
              <w:t>Niska spremnost</w:t>
            </w:r>
          </w:p>
        </w:tc>
      </w:tr>
      <w:tr w:rsidR="005C1E80" w:rsidTr="00F57898">
        <w:trPr>
          <w:trHeight w:val="358"/>
          <w:jc w:val="center"/>
        </w:trPr>
        <w:tc>
          <w:tcPr>
            <w:tcW w:w="5519" w:type="dxa"/>
          </w:tcPr>
          <w:p w:rsidR="005C1E80" w:rsidRDefault="005C1E80" w:rsidP="00F57898">
            <w:pPr>
              <w:rPr>
                <w:b/>
                <w:i/>
                <w:iCs/>
              </w:rPr>
            </w:pPr>
            <w:r>
              <w:rPr>
                <w:b/>
                <w:i/>
                <w:iCs/>
                <w:sz w:val="22"/>
                <w:szCs w:val="22"/>
                <w:lang w:val="hr-HR"/>
              </w:rPr>
              <w:t>Ukupna ocjena</w:t>
            </w:r>
          </w:p>
        </w:tc>
        <w:tc>
          <w:tcPr>
            <w:tcW w:w="1677" w:type="dxa"/>
            <w:tcBorders>
              <w:right w:val="single" w:sz="4" w:space="0" w:color="auto"/>
            </w:tcBorders>
            <w:shd w:val="clear" w:color="auto" w:fill="FFFF00"/>
          </w:tcPr>
          <w:p w:rsidR="005C1E80" w:rsidRDefault="005C1E80" w:rsidP="00F57898">
            <w:pPr>
              <w:jc w:val="center"/>
              <w:rPr>
                <w:b/>
                <w:i/>
                <w:iCs/>
                <w:lang w:eastAsia="zh-CN"/>
              </w:rPr>
            </w:pPr>
            <w:r>
              <w:rPr>
                <w:rFonts w:asciiTheme="minorHAnsi" w:hAnsiTheme="minorHAnsi"/>
                <w:b/>
                <w:i/>
                <w:iCs/>
                <w:sz w:val="22"/>
                <w:szCs w:val="22"/>
                <w:lang w:val="hr-HR" w:eastAsia="zh-CN"/>
              </w:rPr>
              <w:t>2</w:t>
            </w:r>
          </w:p>
        </w:tc>
        <w:tc>
          <w:tcPr>
            <w:tcW w:w="2092" w:type="dxa"/>
            <w:tcBorders>
              <w:left w:val="single" w:sz="4" w:space="0" w:color="auto"/>
            </w:tcBorders>
            <w:shd w:val="clear" w:color="auto" w:fill="FFFF00"/>
          </w:tcPr>
          <w:p w:rsidR="005C1E80" w:rsidRDefault="005C1E80" w:rsidP="00F57898">
            <w:pPr>
              <w:jc w:val="center"/>
              <w:rPr>
                <w:b/>
                <w:lang w:eastAsia="zh-CN"/>
              </w:rPr>
            </w:pPr>
            <w:r>
              <w:rPr>
                <w:rFonts w:asciiTheme="minorHAnsi" w:hAnsiTheme="minorHAnsi"/>
                <w:b/>
                <w:sz w:val="22"/>
                <w:szCs w:val="22"/>
                <w:lang w:val="hr-HR" w:eastAsia="zh-CN"/>
              </w:rPr>
              <w:t>Visoka spremnost</w:t>
            </w:r>
          </w:p>
        </w:tc>
      </w:tr>
    </w:tbl>
    <w:p w:rsidR="005C1E80" w:rsidRDefault="005C1E80" w:rsidP="005C1E80">
      <w:pPr>
        <w:shd w:val="clear" w:color="auto" w:fill="FFFFFF" w:themeFill="background1"/>
        <w:rPr>
          <w:rFonts w:ascii="Garamond" w:hAnsi="Garamond"/>
        </w:rPr>
      </w:pPr>
    </w:p>
    <w:p w:rsidR="005C1E80" w:rsidRDefault="005C1E80" w:rsidP="005C1E80">
      <w:pPr>
        <w:shd w:val="clear" w:color="auto" w:fill="FFFFFF" w:themeFill="background1"/>
        <w:rPr>
          <w:rFonts w:ascii="Garamond" w:hAnsi="Garamond"/>
          <w:b/>
          <w:i/>
        </w:rPr>
      </w:pPr>
      <w:r>
        <w:rPr>
          <w:rFonts w:ascii="Garamond" w:hAnsi="Garamond"/>
        </w:rPr>
        <w:t xml:space="preserve">Konačna ocjena je srednja vrijednost ocijenjenih kategorija zaokružena na najbliži cijeli broj. U skladu s navedenim konačna ocjena spremnosti Općine </w:t>
      </w:r>
      <w:r>
        <w:rPr>
          <w:rFonts w:ascii="Garamond" w:hAnsi="Garamond"/>
          <w:b/>
          <w:i/>
        </w:rPr>
        <w:t>u području reagiranja je 2 – visoka spremnost.</w:t>
      </w:r>
    </w:p>
    <w:p w:rsidR="005C1E80" w:rsidRDefault="005C1E80" w:rsidP="005C1E80">
      <w:pPr>
        <w:shd w:val="clear" w:color="auto" w:fill="FFFFFF" w:themeFill="background1"/>
        <w:rPr>
          <w:rFonts w:ascii="Garamond" w:hAnsi="Garamond"/>
        </w:rPr>
      </w:pPr>
      <w:r>
        <w:rPr>
          <w:rFonts w:ascii="Garamond" w:hAnsi="Garamond"/>
        </w:rPr>
        <w:t>Da bi se spremnost civilne zaštite u području preventive potrebno je provoditi ili dodatno unaprjeđivati njegove sastavnice koje se ocjenjene ocjenom 4 (vrlo niska spremnost) i 3 (niska spremnost). U ovom slučaju to su sastavnice sustava koje se odnose na stanje svijesti o prioritetnim rizicima i stanje fiskalne situacije i njene perspektive.</w:t>
      </w:r>
    </w:p>
    <w:p w:rsidR="005C1E80" w:rsidRDefault="005C1E80" w:rsidP="005C1E80">
      <w:pPr>
        <w:shd w:val="clear" w:color="auto" w:fill="FFFFFF" w:themeFill="background1"/>
        <w:rPr>
          <w:rFonts w:ascii="Garamond" w:hAnsi="Garamond"/>
        </w:rPr>
      </w:pPr>
      <w:r>
        <w:rPr>
          <w:rFonts w:ascii="Garamond" w:hAnsi="Garamond"/>
        </w:rPr>
        <w:t>Da bi se sastavnica sustava koja se odnosi na stanje mobilnosti operativnih kapaciteta sustava civilne zaštite i stanja komunikacijskih kapaciteta unaprijedila potrebno je:</w:t>
      </w:r>
    </w:p>
    <w:p w:rsidR="005C1E80" w:rsidRDefault="005C1E80" w:rsidP="00A66748">
      <w:pPr>
        <w:pStyle w:val="Odlomakpopisa"/>
        <w:numPr>
          <w:ilvl w:val="0"/>
          <w:numId w:val="61"/>
        </w:numPr>
        <w:spacing w:after="200" w:line="276" w:lineRule="auto"/>
        <w:jc w:val="both"/>
        <w:rPr>
          <w:rFonts w:ascii="Garamond" w:hAnsi="Garamond"/>
          <w:lang w:eastAsia="zh-CN"/>
        </w:rPr>
      </w:pPr>
      <w:r>
        <w:rPr>
          <w:rFonts w:ascii="Garamond" w:hAnsi="Garamond"/>
          <w:lang w:eastAsia="zh-CN"/>
        </w:rPr>
        <w:t>izvršiti analizu potreba vlastitih operativnih snaga za satelitskim mobilnim telefonima i mobilnim radio uređajima i planirati financijska sredstva za njihovu nabavu.</w:t>
      </w:r>
    </w:p>
    <w:p w:rsidR="005C1E80" w:rsidRDefault="005C1E80" w:rsidP="005C1E80">
      <w:pPr>
        <w:shd w:val="clear" w:color="auto" w:fill="FFFFFF" w:themeFill="background1"/>
        <w:rPr>
          <w:rFonts w:ascii="Garamond" w:hAnsi="Garamond"/>
        </w:rPr>
      </w:pPr>
    </w:p>
    <w:p w:rsidR="005C1E80" w:rsidRDefault="005C1E80" w:rsidP="005C1E80">
      <w:pPr>
        <w:pStyle w:val="Razina3"/>
        <w:numPr>
          <w:ilvl w:val="0"/>
          <w:numId w:val="0"/>
        </w:numPr>
        <w:rPr>
          <w:rFonts w:ascii="Garamond" w:hAnsi="Garamond"/>
          <w:i w:val="0"/>
          <w:iCs/>
          <w:lang w:val="hr-HR"/>
        </w:rPr>
      </w:pPr>
      <w:bookmarkStart w:id="27" w:name="_Toc536433768"/>
      <w:r>
        <w:rPr>
          <w:rFonts w:ascii="Garamond" w:hAnsi="Garamond"/>
          <w:i w:val="0"/>
          <w:iCs/>
          <w:lang w:val="hr-HR"/>
        </w:rPr>
        <w:t>Za područje sustava civilne zaštite jedinice lokalne samouprave u cjelini</w:t>
      </w:r>
      <w:bookmarkEnd w:id="27"/>
    </w:p>
    <w:p w:rsidR="005C1E80" w:rsidRDefault="005C1E80" w:rsidP="005C1E80">
      <w:pPr>
        <w:rPr>
          <w:rFonts w:ascii="Garamond" w:hAnsi="Garamond"/>
        </w:rPr>
      </w:pPr>
    </w:p>
    <w:p w:rsidR="005C1E80" w:rsidRDefault="005C1E80" w:rsidP="005C1E80">
      <w:pPr>
        <w:rPr>
          <w:rFonts w:ascii="Garamond" w:hAnsi="Garamond"/>
        </w:rPr>
      </w:pPr>
      <w:bookmarkStart w:id="28" w:name="_Hlk502919642"/>
      <w:r>
        <w:rPr>
          <w:rFonts w:ascii="Garamond" w:hAnsi="Garamond"/>
        </w:rPr>
        <w:t>Nakon vrednovanja pojedinih kategorija koji određuju spremnost sustava civilne zaštite u cjelini (preventiva i reagiranje) donosi se konačna ocjena kako je prikazano u narednoj tablici.</w:t>
      </w:r>
    </w:p>
    <w:tbl>
      <w:tblPr>
        <w:tblStyle w:val="Reetkatablice"/>
        <w:tblW w:w="0" w:type="auto"/>
        <w:jc w:val="center"/>
        <w:tblLook w:val="04A0"/>
      </w:tblPr>
      <w:tblGrid>
        <w:gridCol w:w="5586"/>
        <w:gridCol w:w="1752"/>
        <w:gridCol w:w="1950"/>
      </w:tblGrid>
      <w:tr w:rsidR="005C1E80" w:rsidTr="00F57898">
        <w:trPr>
          <w:jc w:val="center"/>
        </w:trPr>
        <w:tc>
          <w:tcPr>
            <w:tcW w:w="5586" w:type="dxa"/>
            <w:shd w:val="clear" w:color="auto" w:fill="F2F2F2" w:themeFill="background1" w:themeFillShade="F2"/>
          </w:tcPr>
          <w:bookmarkEnd w:id="28"/>
          <w:p w:rsidR="005C1E80" w:rsidRDefault="005C1E80" w:rsidP="00F57898">
            <w:r>
              <w:rPr>
                <w:i/>
                <w:iCs/>
                <w:lang w:val="hr-HR"/>
              </w:rPr>
              <w:t>Sastavnice/aktivnosti  sustava civilne zaštite</w:t>
            </w:r>
          </w:p>
        </w:tc>
        <w:tc>
          <w:tcPr>
            <w:tcW w:w="1752" w:type="dxa"/>
            <w:tcBorders>
              <w:left w:val="single" w:sz="4" w:space="0" w:color="auto"/>
              <w:righ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eastAsia="zh-CN"/>
              </w:rPr>
              <w:t>Brojčana ocjena</w:t>
            </w:r>
          </w:p>
        </w:tc>
        <w:tc>
          <w:tcPr>
            <w:tcW w:w="1950" w:type="dxa"/>
            <w:tcBorders>
              <w:left w:val="single" w:sz="4" w:space="0" w:color="auto"/>
            </w:tcBorders>
            <w:shd w:val="clear" w:color="auto" w:fill="D9D9D9" w:themeFill="background1" w:themeFillShade="D9"/>
          </w:tcPr>
          <w:p w:rsidR="005C1E80" w:rsidRDefault="005C1E80" w:rsidP="00F57898">
            <w:pPr>
              <w:jc w:val="center"/>
              <w:rPr>
                <w:i/>
                <w:iCs/>
                <w:sz w:val="24"/>
                <w:szCs w:val="24"/>
                <w:lang w:eastAsia="zh-CN"/>
              </w:rPr>
            </w:pPr>
            <w:r>
              <w:rPr>
                <w:rFonts w:asciiTheme="minorHAnsi" w:hAnsiTheme="minorHAnsi"/>
                <w:i/>
                <w:iCs/>
                <w:sz w:val="24"/>
                <w:szCs w:val="24"/>
                <w:lang w:val="hr-HR" w:eastAsia="zh-CN"/>
              </w:rPr>
              <w:t>Ocjena</w:t>
            </w:r>
          </w:p>
        </w:tc>
      </w:tr>
      <w:tr w:rsidR="005C1E80" w:rsidTr="00F57898">
        <w:trPr>
          <w:jc w:val="center"/>
        </w:trPr>
        <w:tc>
          <w:tcPr>
            <w:tcW w:w="5586" w:type="dxa"/>
          </w:tcPr>
          <w:p w:rsidR="005C1E80" w:rsidRDefault="005C1E80" w:rsidP="00F57898">
            <w:r>
              <w:rPr>
                <w:lang w:val="hr-HR"/>
              </w:rPr>
              <w:t>Područje preventive</w:t>
            </w:r>
          </w:p>
        </w:tc>
        <w:tc>
          <w:tcPr>
            <w:tcW w:w="1752" w:type="dxa"/>
            <w:tcBorders>
              <w:right w:val="single" w:sz="4" w:space="0" w:color="auto"/>
            </w:tcBorders>
            <w:shd w:val="clear" w:color="auto" w:fill="FFC000"/>
          </w:tcPr>
          <w:p w:rsidR="005C1E80" w:rsidRDefault="005C1E80" w:rsidP="00F57898">
            <w:pPr>
              <w:jc w:val="center"/>
            </w:pPr>
            <w:r>
              <w:rPr>
                <w:lang w:val="hr-HR"/>
              </w:rPr>
              <w:t>3</w:t>
            </w:r>
          </w:p>
        </w:tc>
        <w:tc>
          <w:tcPr>
            <w:tcW w:w="1950" w:type="dxa"/>
            <w:tcBorders>
              <w:left w:val="single" w:sz="4" w:space="0" w:color="auto"/>
            </w:tcBorders>
            <w:shd w:val="clear" w:color="auto" w:fill="FFC000"/>
          </w:tcPr>
          <w:p w:rsidR="005C1E80" w:rsidRDefault="005C1E80" w:rsidP="00F57898">
            <w:pPr>
              <w:jc w:val="center"/>
            </w:pPr>
            <w:r>
              <w:rPr>
                <w:lang w:val="hr-HR"/>
              </w:rPr>
              <w:t>Niska spremnost</w:t>
            </w:r>
          </w:p>
        </w:tc>
      </w:tr>
      <w:tr w:rsidR="005C1E80" w:rsidTr="00F57898">
        <w:trPr>
          <w:jc w:val="center"/>
        </w:trPr>
        <w:tc>
          <w:tcPr>
            <w:tcW w:w="5586" w:type="dxa"/>
          </w:tcPr>
          <w:p w:rsidR="005C1E80" w:rsidRDefault="005C1E80" w:rsidP="00F57898">
            <w:r>
              <w:rPr>
                <w:lang w:val="hr-HR"/>
              </w:rPr>
              <w:t>Područje reagiranja</w:t>
            </w:r>
          </w:p>
        </w:tc>
        <w:tc>
          <w:tcPr>
            <w:tcW w:w="1752" w:type="dxa"/>
            <w:tcBorders>
              <w:right w:val="single" w:sz="4" w:space="0" w:color="auto"/>
            </w:tcBorders>
            <w:shd w:val="clear" w:color="auto" w:fill="FFFF00"/>
          </w:tcPr>
          <w:p w:rsidR="005C1E80" w:rsidRDefault="005C1E80" w:rsidP="00F57898">
            <w:pPr>
              <w:jc w:val="center"/>
            </w:pPr>
            <w:r>
              <w:rPr>
                <w:lang w:val="hr-HR"/>
              </w:rPr>
              <w:t>2</w:t>
            </w:r>
          </w:p>
        </w:tc>
        <w:tc>
          <w:tcPr>
            <w:tcW w:w="1950" w:type="dxa"/>
            <w:tcBorders>
              <w:left w:val="single" w:sz="4" w:space="0" w:color="auto"/>
            </w:tcBorders>
            <w:shd w:val="clear" w:color="auto" w:fill="FFFF00"/>
          </w:tcPr>
          <w:p w:rsidR="005C1E80" w:rsidRDefault="005C1E80" w:rsidP="00F57898">
            <w:pPr>
              <w:jc w:val="center"/>
            </w:pPr>
            <w:r>
              <w:rPr>
                <w:lang w:val="hr-HR"/>
              </w:rPr>
              <w:t>Visoka spremnost</w:t>
            </w:r>
          </w:p>
        </w:tc>
      </w:tr>
      <w:tr w:rsidR="005C1E80" w:rsidTr="00F57898">
        <w:trPr>
          <w:jc w:val="center"/>
        </w:trPr>
        <w:tc>
          <w:tcPr>
            <w:tcW w:w="5586" w:type="dxa"/>
            <w:shd w:val="clear" w:color="auto" w:fill="F2F2F2" w:themeFill="background1" w:themeFillShade="F2"/>
          </w:tcPr>
          <w:p w:rsidR="005C1E80" w:rsidRDefault="005C1E80" w:rsidP="00F57898">
            <w:pPr>
              <w:rPr>
                <w:i/>
                <w:iCs/>
                <w:sz w:val="24"/>
                <w:szCs w:val="24"/>
              </w:rPr>
            </w:pPr>
            <w:r>
              <w:rPr>
                <w:i/>
                <w:iCs/>
                <w:sz w:val="24"/>
                <w:szCs w:val="24"/>
                <w:lang w:val="hr-HR"/>
              </w:rPr>
              <w:t>Zbirna ocjena spremnosti civilne zaštite</w:t>
            </w:r>
          </w:p>
        </w:tc>
        <w:tc>
          <w:tcPr>
            <w:tcW w:w="1752" w:type="dxa"/>
            <w:tcBorders>
              <w:right w:val="single" w:sz="4" w:space="0" w:color="auto"/>
            </w:tcBorders>
            <w:shd w:val="clear" w:color="auto" w:fill="FFC000"/>
          </w:tcPr>
          <w:p w:rsidR="005C1E80" w:rsidRDefault="005C1E80" w:rsidP="00F57898">
            <w:pPr>
              <w:jc w:val="center"/>
              <w:rPr>
                <w:b/>
                <w:iCs/>
                <w:sz w:val="24"/>
                <w:szCs w:val="24"/>
              </w:rPr>
            </w:pPr>
            <w:r>
              <w:rPr>
                <w:b/>
                <w:iCs/>
                <w:sz w:val="24"/>
                <w:szCs w:val="24"/>
                <w:lang w:val="hr-HR"/>
              </w:rPr>
              <w:t>3</w:t>
            </w:r>
          </w:p>
        </w:tc>
        <w:tc>
          <w:tcPr>
            <w:tcW w:w="1950" w:type="dxa"/>
            <w:tcBorders>
              <w:left w:val="single" w:sz="4" w:space="0" w:color="auto"/>
            </w:tcBorders>
            <w:shd w:val="clear" w:color="auto" w:fill="FFC000"/>
          </w:tcPr>
          <w:p w:rsidR="005C1E80" w:rsidRDefault="005C1E80" w:rsidP="00F57898">
            <w:pPr>
              <w:jc w:val="center"/>
              <w:rPr>
                <w:b/>
                <w:sz w:val="24"/>
                <w:szCs w:val="24"/>
              </w:rPr>
            </w:pPr>
            <w:r>
              <w:rPr>
                <w:b/>
                <w:sz w:val="24"/>
                <w:szCs w:val="24"/>
                <w:lang w:val="hr-HR"/>
              </w:rPr>
              <w:t>Niska spremnost</w:t>
            </w:r>
          </w:p>
        </w:tc>
      </w:tr>
    </w:tbl>
    <w:p w:rsidR="005C1E80" w:rsidRDefault="005C1E80" w:rsidP="005C1E80">
      <w:pPr>
        <w:shd w:val="clear" w:color="auto" w:fill="FFFFFF" w:themeFill="background1"/>
        <w:rPr>
          <w:rFonts w:ascii="Garamond" w:hAnsi="Garamond"/>
        </w:rPr>
      </w:pPr>
    </w:p>
    <w:p w:rsidR="005C1E80" w:rsidRDefault="005C1E80" w:rsidP="005C1E80">
      <w:pPr>
        <w:shd w:val="clear" w:color="auto" w:fill="FFFFFF" w:themeFill="background1"/>
        <w:rPr>
          <w:rFonts w:ascii="Garamond" w:hAnsi="Garamond"/>
          <w:b/>
          <w:i/>
        </w:rPr>
      </w:pPr>
      <w:r>
        <w:rPr>
          <w:rFonts w:ascii="Garamond" w:hAnsi="Garamond"/>
        </w:rPr>
        <w:t xml:space="preserve">Konačna ocjena je srednja vrijednost ocijenjenih kategorija zaokružena na najbliži cijeli broj. U skladu s navedenim konačna ocjena spremnosti Općine </w:t>
      </w:r>
      <w:r>
        <w:rPr>
          <w:rFonts w:ascii="Garamond" w:hAnsi="Garamond"/>
          <w:b/>
          <w:i/>
        </w:rPr>
        <w:t>u području spremnosti civilne zaštite u cjelini je  - 3 niska spremnost.</w:t>
      </w: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hd w:val="clear" w:color="auto" w:fill="FFFFFF" w:themeFill="background1"/>
        <w:rPr>
          <w:rFonts w:ascii="Garamond" w:hAnsi="Garamond"/>
          <w:b/>
          <w:i/>
        </w:rPr>
      </w:pPr>
    </w:p>
    <w:p w:rsidR="005C1E80" w:rsidRDefault="005C1E80" w:rsidP="005C1E80">
      <w:pPr>
        <w:spacing w:after="0" w:line="240" w:lineRule="auto"/>
        <w:jc w:val="both"/>
        <w:rPr>
          <w:rFonts w:ascii="Garamond" w:eastAsia="Times New Roman" w:hAnsi="Garamond" w:cs="Calibri"/>
          <w:sz w:val="24"/>
          <w:szCs w:val="24"/>
        </w:rPr>
      </w:pPr>
      <w:r>
        <w:rPr>
          <w:rFonts w:ascii="Garamond" w:eastAsia="Times New Roman" w:hAnsi="Garamond" w:cs="Calibri"/>
          <w:sz w:val="24"/>
          <w:szCs w:val="24"/>
        </w:rPr>
        <w:t>IZVOD IZ PRORAČUNA o visini osiguranih sredstava za organizaciju i razvoj sustava civilne zaštite u 2025. godini</w:t>
      </w:r>
    </w:p>
    <w:p w:rsidR="005C1E80" w:rsidRDefault="005C1E80" w:rsidP="005C1E80">
      <w:pPr>
        <w:spacing w:after="0" w:line="240" w:lineRule="auto"/>
        <w:jc w:val="both"/>
        <w:rPr>
          <w:rFonts w:ascii="Garamond" w:eastAsia="Times New Roman" w:hAnsi="Garamond" w:cs="Calibri"/>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828"/>
        <w:gridCol w:w="2126"/>
        <w:gridCol w:w="2126"/>
      </w:tblGrid>
      <w:tr w:rsidR="005C1E80" w:rsidTr="00F57898">
        <w:trPr>
          <w:jc w:val="center"/>
        </w:trPr>
        <w:tc>
          <w:tcPr>
            <w:tcW w:w="675" w:type="dxa"/>
            <w:tcBorders>
              <w:top w:val="single" w:sz="4" w:space="0" w:color="auto"/>
              <w:left w:val="single" w:sz="4" w:space="0" w:color="auto"/>
              <w:bottom w:val="single" w:sz="4" w:space="0" w:color="auto"/>
              <w:right w:val="single" w:sz="4" w:space="0" w:color="auto"/>
            </w:tcBorders>
            <w:shd w:val="clear" w:color="auto" w:fill="D9D9D9"/>
            <w:vAlign w:val="center"/>
          </w:tcPr>
          <w:p w:rsidR="005C1E80" w:rsidRDefault="005C1E80" w:rsidP="00F57898">
            <w:pPr>
              <w:pStyle w:val="Tijeloteksta2"/>
              <w:rPr>
                <w:rFonts w:ascii="Garamond" w:hAnsi="Garamond"/>
                <w:szCs w:val="22"/>
              </w:rPr>
            </w:pPr>
            <w:r>
              <w:rPr>
                <w:rFonts w:ascii="Garamond" w:hAnsi="Garamond"/>
                <w:szCs w:val="22"/>
              </w:rPr>
              <w:t>Red  broj</w:t>
            </w:r>
          </w:p>
        </w:tc>
        <w:tc>
          <w:tcPr>
            <w:tcW w:w="3828" w:type="dxa"/>
            <w:tcBorders>
              <w:top w:val="single" w:sz="4" w:space="0" w:color="auto"/>
              <w:left w:val="single" w:sz="4" w:space="0" w:color="auto"/>
              <w:bottom w:val="single" w:sz="4" w:space="0" w:color="auto"/>
              <w:right w:val="single" w:sz="4" w:space="0" w:color="auto"/>
            </w:tcBorders>
            <w:shd w:val="clear" w:color="auto" w:fill="D9D9D9"/>
            <w:vAlign w:val="center"/>
          </w:tcPr>
          <w:p w:rsidR="005C1E80" w:rsidRDefault="005C1E80" w:rsidP="00F57898">
            <w:pPr>
              <w:pStyle w:val="Tijeloteksta2"/>
              <w:rPr>
                <w:rFonts w:ascii="Garamond" w:hAnsi="Garamond"/>
                <w:szCs w:val="22"/>
              </w:rPr>
            </w:pPr>
            <w:r>
              <w:rPr>
                <w:rFonts w:ascii="Garamond" w:hAnsi="Garamond"/>
                <w:szCs w:val="22"/>
              </w:rPr>
              <w:t>OPIS POZICIJE</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5C1E80" w:rsidRDefault="005C1E80" w:rsidP="00F57898">
            <w:pPr>
              <w:pStyle w:val="Tijeloteksta2"/>
              <w:rPr>
                <w:rFonts w:ascii="Garamond" w:hAnsi="Garamond"/>
                <w:szCs w:val="22"/>
              </w:rPr>
            </w:pPr>
            <w:r>
              <w:rPr>
                <w:rFonts w:ascii="Garamond" w:hAnsi="Garamond"/>
                <w:szCs w:val="22"/>
              </w:rPr>
              <w:t>REALIZIRANO</w:t>
            </w:r>
          </w:p>
          <w:p w:rsidR="005C1E80" w:rsidRDefault="005C1E80" w:rsidP="00F57898">
            <w:pPr>
              <w:pStyle w:val="Tijeloteksta2"/>
              <w:rPr>
                <w:rFonts w:ascii="Garamond" w:hAnsi="Garamond"/>
                <w:szCs w:val="22"/>
              </w:rPr>
            </w:pPr>
            <w:r>
              <w:rPr>
                <w:rFonts w:ascii="Garamond" w:hAnsi="Garamond"/>
                <w:szCs w:val="22"/>
              </w:rPr>
              <w:t>u 2025. god. (eur)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rsidR="005C1E80" w:rsidRDefault="005C1E80" w:rsidP="00F57898">
            <w:pPr>
              <w:pStyle w:val="Tijeloteksta2"/>
              <w:rPr>
                <w:rFonts w:ascii="Garamond" w:hAnsi="Garamond"/>
                <w:szCs w:val="22"/>
              </w:rPr>
            </w:pPr>
            <w:r>
              <w:rPr>
                <w:rFonts w:ascii="Garamond" w:hAnsi="Garamond"/>
                <w:szCs w:val="22"/>
              </w:rPr>
              <w:t>PLANIRANO</w:t>
            </w:r>
          </w:p>
          <w:p w:rsidR="005C1E80" w:rsidRDefault="005C1E80" w:rsidP="00F57898">
            <w:pPr>
              <w:pStyle w:val="Tijeloteksta2"/>
              <w:rPr>
                <w:rFonts w:ascii="Garamond" w:hAnsi="Garamond"/>
                <w:szCs w:val="22"/>
              </w:rPr>
            </w:pPr>
            <w:r>
              <w:rPr>
                <w:rFonts w:ascii="Garamond" w:hAnsi="Garamond"/>
                <w:szCs w:val="22"/>
              </w:rPr>
              <w:t>u 2026. god. (eur)</w:t>
            </w:r>
          </w:p>
        </w:tc>
      </w:tr>
      <w:tr w:rsidR="005C1E80" w:rsidTr="00F57898">
        <w:trPr>
          <w:cantSplit/>
          <w:jc w:val="center"/>
        </w:trPr>
        <w:tc>
          <w:tcPr>
            <w:tcW w:w="675" w:type="dxa"/>
            <w:vMerge w:val="restart"/>
            <w:tcBorders>
              <w:top w:val="single" w:sz="4" w:space="0" w:color="auto"/>
              <w:left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 xml:space="preserve">1. </w:t>
            </w:r>
          </w:p>
        </w:tc>
        <w:tc>
          <w:tcPr>
            <w:tcW w:w="8080" w:type="dxa"/>
            <w:gridSpan w:val="3"/>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STOŽER CIVILNE ZAŠTITE I POSTROJBE CZ (opće namjene)</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-osiguranje uvjeta za evakuaciju, zbrinjavanje, sklanjanje i druge aktivnosti i mjere u sustavu civilne zaštite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
                <w:bCs/>
                <w:szCs w:val="22"/>
              </w:rPr>
            </w:pPr>
            <w:r>
              <w:rPr>
                <w:rFonts w:ascii="Garamond" w:hAnsi="Garamond"/>
                <w:szCs w:val="22"/>
              </w:rPr>
              <w:t>136,40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300,00</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 xml:space="preserve">-Stožer civilne zaštite </w:t>
            </w:r>
            <w:r>
              <w:rPr>
                <w:rFonts w:ascii="Garamond" w:hAnsi="Garamond" w:cs="Calibri"/>
                <w:sz w:val="24"/>
                <w:lang w:eastAsia="en-US"/>
              </w:rPr>
              <w:t>- odore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 xml:space="preserve">-Postrojba  CZ opće namjene </w:t>
            </w:r>
            <w:r>
              <w:rPr>
                <w:rFonts w:ascii="Garamond" w:hAnsi="Garamond" w:cs="Calibri"/>
                <w:sz w:val="24"/>
                <w:lang w:eastAsia="en-US"/>
              </w:rPr>
              <w:t>- odore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-Poslovi civilne zaštite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
                <w:bCs/>
                <w:szCs w:val="22"/>
              </w:rPr>
            </w:pPr>
            <w:r>
              <w:rPr>
                <w:rFonts w:ascii="Garamond" w:hAnsi="Garamond"/>
                <w:szCs w:val="22"/>
              </w:rPr>
              <w:t>175,00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1.400,00</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-Procjena rizika</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
                <w:bCs/>
                <w:szCs w:val="22"/>
              </w:rPr>
            </w:pPr>
            <w:r>
              <w:rPr>
                <w:rFonts w:ascii="Garamond" w:hAnsi="Garamond"/>
                <w:szCs w:val="22"/>
              </w:rPr>
              <w:t>1.675,00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3.000,00</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 vježba</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trHeight w:val="555"/>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-Smotriranje postrojbe opće namjene i vježba</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trHeight w:val="255"/>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 redovno tekuće ažuriranje priloga i podataka iz sadržaja dokumenata – Čl. 17 st. 3. zakona</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jc w:val="center"/>
        </w:trPr>
        <w:tc>
          <w:tcPr>
            <w:tcW w:w="675" w:type="dxa"/>
            <w:vMerge/>
            <w:tcBorders>
              <w:left w:val="single" w:sz="4" w:space="0" w:color="auto"/>
              <w:bottom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UKUPNO:</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Cs/>
                <w:szCs w:val="22"/>
              </w:rPr>
            </w:pPr>
            <w:r>
              <w:rPr>
                <w:rFonts w:ascii="Garamond" w:hAnsi="Garamond"/>
                <w:szCs w:val="22"/>
              </w:rPr>
              <w:t>1.986,40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4.700,00</w:t>
            </w:r>
          </w:p>
        </w:tc>
      </w:tr>
      <w:tr w:rsidR="005C1E80" w:rsidTr="00F57898">
        <w:trPr>
          <w:cantSplit/>
          <w:jc w:val="center"/>
        </w:trPr>
        <w:tc>
          <w:tcPr>
            <w:tcW w:w="675" w:type="dxa"/>
            <w:vMerge w:val="restart"/>
            <w:tcBorders>
              <w:top w:val="single" w:sz="4" w:space="0" w:color="auto"/>
              <w:left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 xml:space="preserve">2. </w:t>
            </w:r>
          </w:p>
        </w:tc>
        <w:tc>
          <w:tcPr>
            <w:tcW w:w="8080" w:type="dxa"/>
            <w:gridSpan w:val="3"/>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VATROGASTVO</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 xml:space="preserve">-Vatrogasna zajednica </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-Dobrovoljne vatrogasne postrojbe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
                <w:bCs/>
                <w:szCs w:val="22"/>
              </w:rPr>
            </w:pPr>
            <w:r>
              <w:rPr>
                <w:rFonts w:ascii="Garamond" w:hAnsi="Garamond"/>
                <w:szCs w:val="22"/>
              </w:rPr>
              <w:t>30.000,00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14.000,00</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-Vatrogasna zapovjedništva Općine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 xml:space="preserve">-Procjena ugroženosti i Plan zaštite od požara </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jc w:val="both"/>
              <w:rPr>
                <w:rFonts w:ascii="Garamond" w:hAnsi="Garamond" w:cs="Arial"/>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UKUPNO:</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Cs/>
                <w:szCs w:val="22"/>
              </w:rPr>
            </w:pPr>
            <w:r>
              <w:rPr>
                <w:rFonts w:ascii="Garamond" w:hAnsi="Garamond"/>
                <w:szCs w:val="22"/>
              </w:rPr>
              <w:t>30.000,00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14.000,00</w:t>
            </w:r>
          </w:p>
        </w:tc>
      </w:tr>
      <w:tr w:rsidR="005C1E80" w:rsidTr="00F57898">
        <w:trPr>
          <w:cantSplit/>
          <w:jc w:val="center"/>
        </w:trPr>
        <w:tc>
          <w:tcPr>
            <w:tcW w:w="675" w:type="dxa"/>
            <w:vMerge w:val="restart"/>
            <w:tcBorders>
              <w:top w:val="single" w:sz="4" w:space="0" w:color="auto"/>
              <w:left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lastRenderedPageBreak/>
              <w:t>3.</w:t>
            </w:r>
          </w:p>
        </w:tc>
        <w:tc>
          <w:tcPr>
            <w:tcW w:w="8080" w:type="dxa"/>
            <w:gridSpan w:val="3"/>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 xml:space="preserve">SKLONIŠTA (prostori za sklanjanje) </w:t>
            </w:r>
          </w:p>
        </w:tc>
      </w:tr>
      <w:tr w:rsidR="005C1E80" w:rsidTr="00F57898">
        <w:trPr>
          <w:cantSplit/>
          <w:jc w:val="center"/>
        </w:trPr>
        <w:tc>
          <w:tcPr>
            <w:tcW w:w="675" w:type="dxa"/>
            <w:vMerge/>
            <w:tcBorders>
              <w:left w:val="single" w:sz="4" w:space="0" w:color="auto"/>
              <w:right w:val="single" w:sz="4" w:space="0" w:color="auto"/>
            </w:tcBorders>
            <w:vAlign w:val="center"/>
          </w:tcPr>
          <w:p w:rsidR="005C1E80" w:rsidRDefault="005C1E80" w:rsidP="00F57898">
            <w:pPr>
              <w:pStyle w:val="Tijeloteksta2"/>
              <w:rPr>
                <w:rFonts w:ascii="Garamond" w:hAnsi="Garamond"/>
                <w:szCs w:val="22"/>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spacing w:after="0" w:line="240" w:lineRule="auto"/>
              <w:jc w:val="both"/>
              <w:rPr>
                <w:rFonts w:ascii="Garamond" w:hAnsi="Garamond"/>
                <w:sz w:val="24"/>
                <w:szCs w:val="24"/>
              </w:rPr>
            </w:pPr>
            <w:r>
              <w:rPr>
                <w:rFonts w:ascii="Garamond" w:hAnsi="Garamond"/>
                <w:sz w:val="24"/>
                <w:szCs w:val="24"/>
              </w:rPr>
              <w:t>-Tekuće održavanje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p>
        </w:tc>
      </w:tr>
      <w:tr w:rsidR="005C1E80" w:rsidTr="00F57898">
        <w:trPr>
          <w:cantSplit/>
          <w:jc w:val="center"/>
        </w:trPr>
        <w:tc>
          <w:tcPr>
            <w:tcW w:w="675" w:type="dxa"/>
            <w:vMerge/>
            <w:tcBorders>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spacing w:after="0" w:line="240" w:lineRule="auto"/>
              <w:jc w:val="both"/>
              <w:rPr>
                <w:rFonts w:ascii="Garamond" w:hAnsi="Garamond"/>
                <w:sz w:val="24"/>
                <w:szCs w:val="24"/>
              </w:rPr>
            </w:pPr>
            <w:r>
              <w:rPr>
                <w:rFonts w:ascii="Garamond" w:hAnsi="Garamond"/>
                <w:sz w:val="24"/>
                <w:szCs w:val="24"/>
              </w:rPr>
              <w:t>UKUPNO:</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p>
        </w:tc>
      </w:tr>
      <w:tr w:rsidR="005C1E80" w:rsidTr="00F57898">
        <w:trPr>
          <w:cantSplit/>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4.</w:t>
            </w:r>
          </w:p>
        </w:tc>
        <w:tc>
          <w:tcPr>
            <w:tcW w:w="8080" w:type="dxa"/>
            <w:gridSpan w:val="3"/>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cstheme="minorHAnsi"/>
                <w:szCs w:val="22"/>
              </w:rPr>
            </w:pPr>
            <w:r>
              <w:rPr>
                <w:rFonts w:ascii="Garamond" w:hAnsi="Garamond" w:cstheme="minorHAnsi"/>
                <w:szCs w:val="22"/>
              </w:rPr>
              <w:t xml:space="preserve">UDRUGE GRAĐANA  </w:t>
            </w:r>
          </w:p>
        </w:tc>
      </w:tr>
      <w:tr w:rsidR="005C1E80" w:rsidTr="00F57898">
        <w:trPr>
          <w:cantSplit/>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HGSS</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
                <w:bCs/>
                <w:szCs w:val="22"/>
              </w:rPr>
            </w:pPr>
            <w:r>
              <w:rPr>
                <w:rFonts w:ascii="Garamond" w:hAnsi="Garamond"/>
                <w:szCs w:val="22"/>
              </w:rPr>
              <w:t>663,61</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663,61</w:t>
            </w:r>
          </w:p>
        </w:tc>
      </w:tr>
      <w:tr w:rsidR="005C1E80" w:rsidTr="00F57898">
        <w:trPr>
          <w:cantSplit/>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LU VEPAR</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
                <w:bCs/>
                <w:szCs w:val="22"/>
              </w:rPr>
            </w:pPr>
            <w:r>
              <w:rPr>
                <w:rFonts w:ascii="Garamond" w:hAnsi="Garamond"/>
                <w:szCs w:val="22"/>
              </w:rPr>
              <w:t>1.000,00</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
                <w:bCs/>
                <w:szCs w:val="22"/>
              </w:rPr>
            </w:pPr>
            <w:r>
              <w:rPr>
                <w:rFonts w:ascii="Garamond" w:hAnsi="Garamond"/>
                <w:szCs w:val="22"/>
              </w:rPr>
              <w:t>1.000,00</w:t>
            </w:r>
          </w:p>
        </w:tc>
      </w:tr>
      <w:tr w:rsidR="005C1E80" w:rsidTr="00F57898">
        <w:trPr>
          <w:cantSplit/>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UKUPNO:</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bCs/>
                <w:szCs w:val="22"/>
              </w:rPr>
            </w:pPr>
            <w:r>
              <w:rPr>
                <w:rFonts w:ascii="Garamond" w:hAnsi="Garamond"/>
                <w:szCs w:val="22"/>
              </w:rPr>
              <w:t>1.663,61</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1.663,61</w:t>
            </w:r>
          </w:p>
        </w:tc>
      </w:tr>
      <w:tr w:rsidR="005C1E80" w:rsidTr="00F57898">
        <w:trPr>
          <w:cantSplit/>
          <w:jc w:val="center"/>
        </w:trPr>
        <w:tc>
          <w:tcPr>
            <w:tcW w:w="675" w:type="dxa"/>
            <w:vMerge w:val="restart"/>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5.</w:t>
            </w:r>
          </w:p>
        </w:tc>
        <w:tc>
          <w:tcPr>
            <w:tcW w:w="8080" w:type="dxa"/>
            <w:gridSpan w:val="3"/>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SLUŽBE I PRAVNE OSOBE (kojima je zaštita i spašavanje redovna djelatnost)</w:t>
            </w:r>
          </w:p>
        </w:tc>
      </w:tr>
      <w:tr w:rsidR="005C1E80" w:rsidTr="00F57898">
        <w:trPr>
          <w:cantSplit/>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NAVESTI KOJE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p>
        </w:tc>
      </w:tr>
      <w:tr w:rsidR="005C1E80" w:rsidTr="00F57898">
        <w:trPr>
          <w:cantSplit/>
          <w:jc w:val="center"/>
        </w:trPr>
        <w:tc>
          <w:tcPr>
            <w:tcW w:w="675" w:type="dxa"/>
            <w:vMerge/>
            <w:tcBorders>
              <w:top w:val="single" w:sz="4" w:space="0" w:color="auto"/>
              <w:left w:val="single" w:sz="4" w:space="0" w:color="auto"/>
              <w:bottom w:val="single" w:sz="4" w:space="0" w:color="auto"/>
              <w:right w:val="single" w:sz="4" w:space="0" w:color="auto"/>
            </w:tcBorders>
            <w:vAlign w:val="center"/>
          </w:tcPr>
          <w:p w:rsidR="005C1E80" w:rsidRDefault="005C1E80" w:rsidP="00F57898">
            <w:pPr>
              <w:jc w:val="both"/>
              <w:rPr>
                <w:rFonts w:ascii="Garamond" w:hAnsi="Garamond" w:cs="Arial"/>
                <w:b/>
                <w:bCs/>
              </w:rPr>
            </w:pPr>
          </w:p>
        </w:tc>
        <w:tc>
          <w:tcPr>
            <w:tcW w:w="3828"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r>
              <w:rPr>
                <w:rFonts w:ascii="Garamond" w:hAnsi="Garamond"/>
                <w:szCs w:val="22"/>
              </w:rPr>
              <w:t>UKUPNO:</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bCs/>
                <w:szCs w:val="22"/>
              </w:rPr>
            </w:pPr>
          </w:p>
        </w:tc>
      </w:tr>
      <w:tr w:rsidR="005C1E80" w:rsidTr="00F57898">
        <w:trPr>
          <w:cantSplit/>
          <w:jc w:val="center"/>
        </w:trPr>
        <w:tc>
          <w:tcPr>
            <w:tcW w:w="4503" w:type="dxa"/>
            <w:gridSpan w:val="2"/>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SVEUKUPNO</w:t>
            </w:r>
          </w:p>
          <w:p w:rsidR="005C1E80" w:rsidRDefault="005C1E80" w:rsidP="00F57898">
            <w:pPr>
              <w:pStyle w:val="Tijeloteksta2"/>
              <w:rPr>
                <w:rFonts w:ascii="Garamond" w:hAnsi="Garamond"/>
                <w:szCs w:val="22"/>
              </w:rPr>
            </w:pPr>
            <w:r>
              <w:rPr>
                <w:rFonts w:ascii="Garamond" w:hAnsi="Garamond"/>
                <w:szCs w:val="22"/>
              </w:rPr>
              <w:t>ZA SUSTAV CIVILNE ZAŠTITE</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jc w:val="center"/>
              <w:rPr>
                <w:rFonts w:ascii="Garamond" w:hAnsi="Garamond"/>
                <w:szCs w:val="22"/>
              </w:rPr>
            </w:pPr>
            <w:r>
              <w:rPr>
                <w:rFonts w:ascii="Garamond" w:hAnsi="Garamond"/>
                <w:szCs w:val="22"/>
              </w:rPr>
              <w:t>33.650,01</w:t>
            </w:r>
          </w:p>
        </w:tc>
        <w:tc>
          <w:tcPr>
            <w:tcW w:w="2126" w:type="dxa"/>
            <w:tcBorders>
              <w:top w:val="single" w:sz="4" w:space="0" w:color="auto"/>
              <w:left w:val="single" w:sz="4" w:space="0" w:color="auto"/>
              <w:bottom w:val="single" w:sz="4" w:space="0" w:color="auto"/>
              <w:right w:val="single" w:sz="4" w:space="0" w:color="auto"/>
            </w:tcBorders>
            <w:vAlign w:val="center"/>
          </w:tcPr>
          <w:p w:rsidR="005C1E80" w:rsidRDefault="005C1E80" w:rsidP="00F57898">
            <w:pPr>
              <w:pStyle w:val="Tijeloteksta2"/>
              <w:rPr>
                <w:rFonts w:ascii="Garamond" w:hAnsi="Garamond"/>
                <w:szCs w:val="22"/>
              </w:rPr>
            </w:pPr>
            <w:r>
              <w:rPr>
                <w:rFonts w:ascii="Garamond" w:hAnsi="Garamond"/>
                <w:szCs w:val="22"/>
              </w:rPr>
              <w:t>20.363,61</w:t>
            </w:r>
          </w:p>
        </w:tc>
      </w:tr>
    </w:tbl>
    <w:p w:rsidR="005C1E80" w:rsidRDefault="005C1E80" w:rsidP="005C1E80">
      <w:pPr>
        <w:keepNext/>
        <w:spacing w:after="0" w:line="240" w:lineRule="auto"/>
        <w:jc w:val="both"/>
        <w:outlineLvl w:val="0"/>
        <w:rPr>
          <w:rFonts w:ascii="Garamond" w:eastAsia="Times New Roman" w:hAnsi="Garamond" w:cs="Calibri"/>
        </w:rPr>
      </w:pPr>
    </w:p>
    <w:p w:rsidR="005C1E80" w:rsidRDefault="005C1E80" w:rsidP="005C1E80">
      <w:pPr>
        <w:keepNext/>
        <w:spacing w:after="0" w:line="240" w:lineRule="auto"/>
        <w:jc w:val="both"/>
        <w:outlineLvl w:val="0"/>
        <w:rPr>
          <w:rFonts w:ascii="Garamond" w:eastAsia="Times New Roman" w:hAnsi="Garamond" w:cs="Calibri"/>
        </w:rPr>
      </w:pPr>
      <w:r>
        <w:rPr>
          <w:rFonts w:ascii="Garamond" w:eastAsia="Times New Roman" w:hAnsi="Garamond" w:cs="Calibri"/>
        </w:rPr>
        <w:t>BRODSKO-POSAVSKA ŽUPANIJA</w:t>
      </w:r>
    </w:p>
    <w:p w:rsidR="005C1E80" w:rsidRDefault="005C1E80" w:rsidP="005C1E80">
      <w:pPr>
        <w:spacing w:after="0" w:line="240" w:lineRule="auto"/>
        <w:jc w:val="both"/>
        <w:rPr>
          <w:rFonts w:ascii="Garamond" w:eastAsia="Calibri" w:hAnsi="Garamond" w:cs="Calibri"/>
        </w:rPr>
      </w:pPr>
      <w:r>
        <w:rPr>
          <w:rFonts w:ascii="Garamond" w:eastAsia="Calibri" w:hAnsi="Garamond" w:cs="Calibri"/>
        </w:rPr>
        <w:t>OPĆINA GORNJI BOGIĆEVCI</w:t>
      </w:r>
    </w:p>
    <w:p w:rsidR="005C1E80" w:rsidRDefault="005C1E80" w:rsidP="005C1E80">
      <w:pPr>
        <w:jc w:val="both"/>
        <w:rPr>
          <w:rFonts w:ascii="Garamond" w:eastAsia="Calibri" w:hAnsi="Garamond" w:cs="Calibri"/>
        </w:rPr>
      </w:pPr>
      <w:r>
        <w:rPr>
          <w:rFonts w:ascii="Garamond" w:eastAsia="Calibri" w:hAnsi="Garamond" w:cs="Calibri"/>
        </w:rPr>
        <w:t>OPĆINSKO VIJEĆE</w:t>
      </w:r>
    </w:p>
    <w:p w:rsidR="005C1E80" w:rsidRDefault="005C1E80" w:rsidP="005C1E80">
      <w:pPr>
        <w:shd w:val="clear" w:color="auto" w:fill="FFFFFF"/>
        <w:spacing w:after="0" w:line="240" w:lineRule="auto"/>
        <w:jc w:val="both"/>
        <w:rPr>
          <w:rFonts w:ascii="Garamond" w:eastAsia="Calibri" w:hAnsi="Garamond" w:cs="Calibri"/>
          <w:spacing w:val="-5"/>
          <w:sz w:val="24"/>
          <w:szCs w:val="24"/>
        </w:rPr>
      </w:pPr>
      <w:r>
        <w:rPr>
          <w:rFonts w:ascii="Garamond" w:eastAsia="Calibri" w:hAnsi="Garamond" w:cs="Calibri"/>
          <w:spacing w:val="-5"/>
          <w:sz w:val="24"/>
          <w:szCs w:val="24"/>
        </w:rPr>
        <w:t xml:space="preserve">Klasa:240-01/25-01/01 </w:t>
      </w:r>
      <w:r>
        <w:rPr>
          <w:rFonts w:ascii="Garamond" w:eastAsia="Calibri" w:hAnsi="Garamond" w:cs="Calibri"/>
          <w:spacing w:val="-5"/>
          <w:sz w:val="24"/>
          <w:szCs w:val="24"/>
        </w:rPr>
        <w:tab/>
      </w:r>
      <w:r>
        <w:rPr>
          <w:rFonts w:ascii="Garamond" w:eastAsia="Calibri" w:hAnsi="Garamond" w:cs="Calibri"/>
          <w:spacing w:val="-5"/>
          <w:sz w:val="24"/>
          <w:szCs w:val="24"/>
        </w:rPr>
        <w:tab/>
      </w:r>
      <w:r>
        <w:rPr>
          <w:rFonts w:ascii="Garamond" w:eastAsia="Calibri" w:hAnsi="Garamond" w:cs="Calibri"/>
          <w:spacing w:val="-5"/>
          <w:sz w:val="24"/>
          <w:szCs w:val="24"/>
        </w:rPr>
        <w:tab/>
      </w:r>
      <w:r>
        <w:rPr>
          <w:rFonts w:ascii="Garamond" w:eastAsia="Calibri" w:hAnsi="Garamond" w:cs="Calibri"/>
          <w:spacing w:val="-5"/>
          <w:sz w:val="24"/>
          <w:szCs w:val="24"/>
        </w:rPr>
        <w:tab/>
        <w:t xml:space="preserve">    </w:t>
      </w:r>
    </w:p>
    <w:p w:rsidR="005C1E80" w:rsidRDefault="005C1E80" w:rsidP="005C1E80">
      <w:pPr>
        <w:shd w:val="clear" w:color="auto" w:fill="FFFFFF"/>
        <w:spacing w:after="0" w:line="240" w:lineRule="auto"/>
        <w:jc w:val="both"/>
        <w:rPr>
          <w:rFonts w:ascii="Garamond" w:eastAsia="Calibri" w:hAnsi="Garamond" w:cs="Calibri"/>
          <w:sz w:val="24"/>
          <w:szCs w:val="24"/>
        </w:rPr>
      </w:pPr>
      <w:r>
        <w:rPr>
          <w:rFonts w:ascii="Garamond" w:eastAsia="Calibri" w:hAnsi="Garamond" w:cs="Calibri"/>
          <w:spacing w:val="-5"/>
          <w:sz w:val="24"/>
          <w:szCs w:val="24"/>
        </w:rPr>
        <w:t>Urbroj: 2178-22-03-25-1</w:t>
      </w:r>
    </w:p>
    <w:p w:rsidR="005C1E80" w:rsidRDefault="005C1E80" w:rsidP="005C1E80">
      <w:pPr>
        <w:shd w:val="clear" w:color="auto" w:fill="FFFFFF"/>
        <w:tabs>
          <w:tab w:val="left" w:leader="underscore" w:pos="698"/>
        </w:tabs>
        <w:spacing w:after="0" w:line="240" w:lineRule="auto"/>
        <w:ind w:left="14"/>
        <w:jc w:val="both"/>
        <w:rPr>
          <w:rFonts w:ascii="Garamond" w:eastAsia="Calibri" w:hAnsi="Garamond" w:cs="Calibri"/>
          <w:sz w:val="24"/>
          <w:szCs w:val="24"/>
        </w:rPr>
      </w:pPr>
      <w:r>
        <w:rPr>
          <w:rFonts w:ascii="Garamond" w:eastAsia="Calibri" w:hAnsi="Garamond" w:cs="Calibri"/>
          <w:sz w:val="24"/>
          <w:szCs w:val="24"/>
        </w:rPr>
        <w:t>GORNJI BOGIĆEVCI, 22.12.</w:t>
      </w:r>
      <w:r>
        <w:rPr>
          <w:rFonts w:ascii="Garamond" w:eastAsia="Calibri" w:hAnsi="Garamond" w:cs="Calibri"/>
          <w:bCs/>
          <w:sz w:val="24"/>
          <w:szCs w:val="24"/>
        </w:rPr>
        <w:t>2025.g.</w:t>
      </w:r>
      <w:r>
        <w:rPr>
          <w:rFonts w:ascii="Garamond" w:eastAsia="Calibri" w:hAnsi="Garamond" w:cs="Calibri"/>
          <w:bCs/>
          <w:sz w:val="24"/>
          <w:szCs w:val="24"/>
        </w:rPr>
        <w:tab/>
      </w:r>
      <w:r>
        <w:rPr>
          <w:rFonts w:ascii="Garamond" w:eastAsia="Calibri" w:hAnsi="Garamond" w:cs="Calibri"/>
          <w:sz w:val="24"/>
          <w:szCs w:val="24"/>
        </w:rPr>
        <w:tab/>
      </w:r>
      <w:r>
        <w:rPr>
          <w:rFonts w:ascii="Garamond" w:eastAsia="Calibri" w:hAnsi="Garamond" w:cs="Calibri"/>
          <w:sz w:val="24"/>
          <w:szCs w:val="24"/>
        </w:rPr>
        <w:tab/>
        <w:t xml:space="preserve"> </w:t>
      </w:r>
    </w:p>
    <w:p w:rsidR="005C1E80" w:rsidRDefault="005C1E80" w:rsidP="005C1E80">
      <w:pPr>
        <w:shd w:val="clear" w:color="auto" w:fill="FFFFFF"/>
        <w:tabs>
          <w:tab w:val="left" w:leader="underscore" w:pos="698"/>
        </w:tabs>
        <w:spacing w:after="0" w:line="240" w:lineRule="auto"/>
        <w:ind w:left="14"/>
        <w:jc w:val="both"/>
        <w:rPr>
          <w:rFonts w:ascii="Garamond" w:eastAsia="Calibri" w:hAnsi="Garamond" w:cs="Calibri"/>
          <w:sz w:val="24"/>
          <w:szCs w:val="24"/>
        </w:rPr>
      </w:pPr>
      <w:r>
        <w:rPr>
          <w:rFonts w:ascii="Garamond" w:eastAsia="Calibri" w:hAnsi="Garamond" w:cs="Calibri"/>
          <w:sz w:val="24"/>
          <w:szCs w:val="24"/>
        </w:rPr>
        <w:t xml:space="preserve">                                                                                                  Predsjednik Općinskog vijeća</w:t>
      </w:r>
    </w:p>
    <w:p w:rsidR="005C1E80" w:rsidRDefault="005C1E80" w:rsidP="005C1E80">
      <w:pPr>
        <w:shd w:val="clear" w:color="auto" w:fill="FFFFFF"/>
        <w:tabs>
          <w:tab w:val="left" w:leader="underscore" w:pos="698"/>
        </w:tabs>
        <w:spacing w:after="0" w:line="240" w:lineRule="auto"/>
        <w:ind w:left="14"/>
        <w:jc w:val="both"/>
        <w:rPr>
          <w:rFonts w:ascii="Garamond" w:eastAsia="Calibri" w:hAnsi="Garamond" w:cs="Calibri"/>
          <w:sz w:val="24"/>
          <w:szCs w:val="24"/>
        </w:rPr>
      </w:pPr>
      <w:r>
        <w:rPr>
          <w:rFonts w:ascii="Garamond" w:eastAsia="Calibri" w:hAnsi="Garamond" w:cs="Calibri"/>
          <w:sz w:val="24"/>
          <w:szCs w:val="24"/>
        </w:rPr>
        <w:t xml:space="preserve">                                                                                                   </w:t>
      </w:r>
    </w:p>
    <w:p w:rsidR="005C1E80" w:rsidRDefault="005C1E80" w:rsidP="005C1E80">
      <w:pPr>
        <w:spacing w:line="360" w:lineRule="auto"/>
        <w:rPr>
          <w:rFonts w:ascii="Garamond" w:eastAsia="Calibri" w:hAnsi="Garamond" w:cs="Calibri"/>
          <w:sz w:val="24"/>
          <w:szCs w:val="24"/>
        </w:rPr>
      </w:pPr>
      <w:r>
        <w:rPr>
          <w:rFonts w:ascii="Garamond" w:eastAsia="Calibri" w:hAnsi="Garamond" w:cs="Calibri"/>
          <w:sz w:val="24"/>
          <w:szCs w:val="24"/>
        </w:rPr>
        <w:t xml:space="preserve">                                                                                                   _____________________</w:t>
      </w:r>
    </w:p>
    <w:p w:rsidR="005C1E80" w:rsidRDefault="005C1E80" w:rsidP="005C1E80">
      <w:pPr>
        <w:spacing w:line="360" w:lineRule="auto"/>
        <w:rPr>
          <w:rFonts w:ascii="Garamond" w:eastAsia="Calibri" w:hAnsi="Garamond" w:cs="Calibri"/>
          <w:sz w:val="24"/>
          <w:szCs w:val="24"/>
        </w:rPr>
      </w:pPr>
    </w:p>
    <w:p w:rsidR="005C1E80" w:rsidRDefault="005C1E80" w:rsidP="005C1E80">
      <w:pPr>
        <w:spacing w:line="360" w:lineRule="auto"/>
        <w:rPr>
          <w:rFonts w:ascii="Garamond" w:eastAsia="Calibri" w:hAnsi="Garamond" w:cs="Calibri"/>
          <w:sz w:val="24"/>
          <w:szCs w:val="24"/>
        </w:rPr>
      </w:pPr>
    </w:p>
    <w:p w:rsidR="005C1E80" w:rsidRDefault="005C1E80" w:rsidP="005C1E80">
      <w:pPr>
        <w:spacing w:line="360" w:lineRule="auto"/>
        <w:rPr>
          <w:rFonts w:ascii="Garamond" w:eastAsia="Calibri" w:hAnsi="Garamond" w:cs="Calibri"/>
          <w:sz w:val="24"/>
          <w:szCs w:val="24"/>
        </w:rPr>
      </w:pPr>
      <w:r w:rsidRPr="005C1E80">
        <w:rPr>
          <w:noProof/>
          <w:lang w:eastAsia="hr-HR"/>
        </w:rPr>
        <w:drawing>
          <wp:inline distT="0" distB="0" distL="0" distR="0">
            <wp:extent cx="5760720" cy="4199890"/>
            <wp:effectExtent l="0" t="0" r="0" b="0"/>
            <wp:docPr id="952627360"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0720" cy="4199890"/>
                    </a:xfrm>
                    <a:prstGeom prst="rect">
                      <a:avLst/>
                    </a:prstGeom>
                    <a:noFill/>
                    <a:ln>
                      <a:noFill/>
                    </a:ln>
                  </pic:spPr>
                </pic:pic>
              </a:graphicData>
            </a:graphic>
          </wp:inline>
        </w:drawing>
      </w:r>
    </w:p>
    <w:p w:rsidR="005C1E80" w:rsidRPr="005C1E80" w:rsidRDefault="005C1E80" w:rsidP="005C1E80">
      <w:pPr>
        <w:pStyle w:val="Bezproreda"/>
        <w:rPr>
          <w:rFonts w:ascii="Times New Roman" w:hAnsi="Times New Roman" w:cs="Times New Roman"/>
          <w:b/>
          <w:bCs/>
          <w:sz w:val="24"/>
          <w:szCs w:val="24"/>
        </w:rPr>
      </w:pPr>
      <w:r w:rsidRPr="005C1E80">
        <w:rPr>
          <w:rFonts w:ascii="Times New Roman" w:hAnsi="Times New Roman" w:cs="Times New Roman"/>
          <w:b/>
          <w:bCs/>
          <w:sz w:val="24"/>
          <w:szCs w:val="24"/>
        </w:rPr>
        <w:lastRenderedPageBreak/>
        <w:t>48. Godišnji Plan razvoja sustava civilne zaštite s financijskim učincima za trogodišnje razdoblje</w:t>
      </w:r>
    </w:p>
    <w:p w:rsidR="005C1E80" w:rsidRDefault="005C1E80" w:rsidP="005C1E80">
      <w:pPr>
        <w:spacing w:line="360" w:lineRule="auto"/>
        <w:rPr>
          <w:rFonts w:ascii="Garamond" w:eastAsia="Calibri" w:hAnsi="Garamond" w:cs="Calibri"/>
          <w:sz w:val="24"/>
          <w:szCs w:val="24"/>
        </w:rPr>
      </w:pP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Pr="005C1E80" w:rsidRDefault="00DD1C99" w:rsidP="005C1E80">
      <w:pPr>
        <w:spacing w:after="0" w:line="240" w:lineRule="auto"/>
        <w:rPr>
          <w:rFonts w:ascii="Garamond" w:eastAsia="Times New Roman" w:hAnsi="Garamond" w:cs="Times New Roman"/>
          <w:lang w:eastAsia="hr-HR"/>
        </w:rPr>
      </w:pPr>
      <w:r>
        <w:rPr>
          <w:rFonts w:ascii="Garamond" w:eastAsia="Times New Roman" w:hAnsi="Garamond" w:cs="Times New Roman"/>
          <w:noProof/>
          <w:lang w:eastAsia="hr-HR"/>
        </w:rPr>
        <w:pict>
          <v:group id="Grupa 2" o:spid="_x0000_s1027" style="position:absolute;margin-left:23.8pt;margin-top:21.05pt;width:195.2pt;height:799.15pt;z-index:-251656192;mso-width-percent:330;mso-height-percent:950;mso-position-horizontal-relative:page;mso-position-vertical-relative:page;mso-width-percent:330;mso-height-percent:95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">
            <v:rect id="Pravokutnik 3" o:spid="_x0000_s1028" style="position:absolute;width:1945;height:91257;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" fillcolor="#44546a"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terokut 4" o:spid="_x0000_s1029" type="#_x0000_t15" style="position:absolute;top:14668;width:21945;height:55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" adj="18883" fillcolor="#4472c4" stroked="f" strokeweight="1pt">
              <v:textbox inset=",0,14.4pt,0">
                <w:txbxContent>
                  <w:p w:rsidR="00F57898" w:rsidRPr="001922E9" w:rsidRDefault="00F57898" w:rsidP="005C1E80">
                    <w:pPr>
                      <w:pStyle w:val="Bezproreda"/>
                      <w:jc w:val="right"/>
                      <w:rPr>
                        <w:color w:val="FFFFFF"/>
                        <w:sz w:val="28"/>
                        <w:szCs w:val="28"/>
                      </w:rPr>
                    </w:pPr>
                  </w:p>
                </w:txbxContent>
              </v:textbox>
            </v:shape>
            <v:group id="Grupa 5" o:spid="_x0000_s1030"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">
              <v:group id="Grupa 6" o:spid="_x0000_s1031"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">
                <o:lock v:ext="edit" aspectratio="t"/>
                <v:shape id="Prostoručno 20" o:spid="_x0000_s1032"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" path="m,l39,152,84,304r38,113l122,440,76,306,39,180,6,53,,xe" fillcolor="#44546a" strokecolor="#44546a" strokeweight="0">
                  <v:path arrowok="t" o:connecttype="custom" o:connectlocs="0,0;98286888,383063750;211693125,766127500;307459063,1050905950;307459063,1108868750;191531875,771167813;98286888,453628125;15120938,133569075;0,0" o:connectangles="0,0,0,0,0,0,0,0,0"/>
                </v:shape>
                <v:shape id="Prostoručno 21" o:spid="_x0000_s1033"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" path="m,l8,19,37,93r30,74l116,269r-8,l60,169,30,98,1,25,,xe" fillcolor="#44546a" strokecolor="#44546a" strokeweight="0">
                  <v:path arrowok="t" o:connecttype="custom" o:connectlocs="0,0;20161250,47883819;93246575,234375599;168851263,420867380;292338125,677923619;272176875,677923619;151209375,425907699;75604688,246975602;2520950,63004774;0,0" o:connectangles="0,0,0,0,0,0,0,0,0,0"/>
                </v:shape>
                <v:shape id="Prostoručno 22" o:spid="_x0000_s1034"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" path="m,l,,1,79r2,80l12,317,23,476,39,634,58,792,83,948r24,138l135,1223r5,49l138,1262,105,1106,77,949,53,792,35,634,20,476,9,317,2,159,,79,,xe" fillcolor="#44546a" strokecolor="#44546a" strokeweight="0">
                  <v:path arrowok="t" o:connecttype="custom" o:connectlocs="0,0;0,0;2520950,199093138;7561263,400705638;30241875,798890325;57964388,1199594375;98286888,1597779063;146169063,1995963750;209173763,2147483646;269657513,2147483646;340221888,2147483646;352821875,2147483646;347781563,2147483646;264617200,2147483646;194052825,2147483646;133569075,1995963750;88206263,1597779063;50403125,1199594375;22682200,798890325;5040313,400705638;0,199093138;0,0" o:connectangles="0,0,0,0,0,0,0,0,0,0,0,0,0,0,0,0,0,0,0,0,0,0"/>
                </v:shape>
                <v:shape id="Prostoručno 23" o:spid="_x0000_s1035"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" path="m45,r,l35,66r-9,67l14,267,6,401,3,534,6,669r8,134l18,854r,-3l9,814,8,803,1,669,,534,3,401,12,267,25,132,34,66,45,xe" fillcolor="#44546a" strokecolor="#44546a" strokeweight="0">
                  <v:path arrowok="t" o:connecttype="custom" o:connectlocs="113408619,0;113408619,0;88206880,166330313;65524521,335181575;35282434,672882513;15121043,1010583450;7561315,1345763438;15121043,1685985325;35282434,2023686263;45363130,2147483646;45363130,2144653763;22682359,2051407188;20161391,2023686263;2520968,1685985325;0,1345763438;7561315,1010583450;30242087,672882513;63005141,332660625;85685912,166330313;113408619,0" o:connectangles="0,0,0,0,0,0,0,0,0,0,0,0,0,0,0,0,0,0,0,0"/>
                </v:shape>
                <v:shape id="Prostoručno 24" o:spid="_x0000_s1036"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" path="m,l10,44r11,82l34,207r19,86l75,380r25,86l120,521r21,55l152,618r2,11l140,595,115,532,93,468,67,383,47,295,28,207,12,104,,xe" fillcolor="#44546a" strokecolor="#44546a" strokeweight="0">
                  <v:path arrowok="t" o:connecttype="custom" o:connectlocs="0,0;25201563,110886931;52924075,317539847;85685313,521673399;133569075,738406945;189012513,957659855;252015625,1174393401;302418750,1313002857;355342825,1451610727;383063750,1557457342;388104063,1585179869;352821875,1499494513;289818763,1340723796;234375325,1179433716;168851263,965221121;118448138,743447260;70564375,521673399;30241875,262096381;0,0" o:connectangles="0,0,0,0,0,0,0,0,0,0,0,0,0,0,0,0,0,0,0"/>
                </v:shape>
                <v:shape id="Prostoručno 25" o:spid="_x0000_s1037"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" path="m,l33,69r-9,l12,35,,xe" fillcolor="#44546a" strokecolor="#44546a" strokeweight="0">
                  <v:path arrowok="t" o:connecttype="custom" o:connectlocs="0,0;83166744,173892369;60484327,173892369;30242164,88206665;0,0" o:connectangles="0,0,0,0,0"/>
                </v:shape>
                <v:shape id="Prostoručno 26" o:spid="_x0000_s1038"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" path="m,l9,37r,3l15,93,5,49,,xe" fillcolor="#44546a" strokecolor="#44546a" strokeweight="0">
                  <v:path arrowok="t" o:connecttype="custom" o:connectlocs="0,0;22682676,93246891;22682676,100806591;37803931,234376119;12601840,123488868;0,0" o:connectangles="0,0,0,0,0,0"/>
                </v:shape>
                <v:shape id="Prostoručno 27" o:spid="_x0000_s1039"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" path="m394,r,l356,38,319,77r-35,40l249,160r-42,58l168,276r-37,63l98,402,69,467,45,535,26,604,14,673,7,746,6,766,,749r1,-5l7,673,21,603,40,533,65,466,94,400r33,-64l164,275r40,-60l248,158r34,-42l318,76,354,37,394,xe" fillcolor="#44546a" strokecolor="#44546a" strokeweight="0">
                  <v:path arrowok="t" o:connecttype="custom" o:connectlocs="992941563,0;992941563,0;897175625,95765938;803930638,194052825;715724375,294859075;627519700,403225000;521673138,549394063;423386250,695563125;330141263,854333763;246975313,1013102813;173891575,1176913763;113407825,1348284388;65524063,1522174375;35282188,1696065950;17641888,1880036563;15120938,1930439688;0,1887597825;2520950,1874996250;17641888,1696065950;52924075,1519655013;100806250,1343244075;163810950,1174392813;236894688,1008062500;320060638,846772500;413305625,693043763;514111875,541834388;624998750,398184688;710684063,292338125;801409688,191531875;892135313,93246575;992941563,0" o:connectangles="0,0,0,0,0,0,0,0,0,0,0,0,0,0,0,0,0,0,0,0,0,0,0,0,0,0,0,0,0,0,0"/>
                </v:shape>
                <v:shape id="Prostoručno 28" o:spid="_x0000_s1040"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" path="m,l6,16r1,3l11,80r9,52l33,185r3,9l21,161,15,145,5,81,1,41,,xe" fillcolor="#44546a" strokecolor="#44546a" strokeweight="0">
                  <v:path arrowok="t" o:connecttype="custom" o:connectlocs="0,0;15120938,40322500;17641888,47883763;27722513,201612500;50403125,332660625;83165950,466229700;90725625,488910313;52924075,405745950;37803138,365423450;12601575,204133450;2520950,103327200;0,0" o:connectangles="0,0,0,0,0,0,0,0,0,0,0,0"/>
                </v:shape>
                <v:shape id="Prostoručno 29" o:spid="_x0000_s1041"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" path="m,l31,65r-8,l,xe" fillcolor="#44546a" strokecolor="#44546a" strokeweight="0">
                  <v:path arrowok="t" o:connecttype="custom" o:connectlocs="0,0;78126431,163811744;57964976,163811744;0,0" o:connectangles="0,0,0,0"/>
                </v:shape>
                <v:shape id="Prostoručno 30" o:spid="_x0000_s1042"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" path="m,l6,17,7,42,6,39,,23,,xe" fillcolor="#44546a" strokecolor="#44546a" strokeweight="0">
                  <v:path arrowok="t" o:connecttype="custom" o:connectlocs="0,0;15121618,42843450;17642681,105846563;15121618,98286888;0,57964388;0,0" o:connectangles="0,0,0,0,0,0"/>
                </v:shape>
                <v:shape id="Prostoručno 31" o:spid="_x0000_s1043"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" path="m,l6,16,21,49,33,84r12,34l44,118,13,53,11,42,,xe" fillcolor="#44546a" strokecolor="#44546a" strokeweight="0">
                  <v:path arrowok="t" o:connecttype="custom" o:connectlocs="0,0;15121043,40322500;52924445,123488450;83166532,211693125;113408619,297378438;110887651,297378438;32763054,133569075;27722707,105846563;0,0" o:connectangles="0,0,0,0,0,0,0,0,0"/>
                </v:shape>
              </v:group>
              <v:group id="Grupa 7" o:spid="_x0000_s1044"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">
                <o:lock v:ext="edit" aspectratio="t"/>
                <v:shape id="Prostoručno 8" o:spid="_x0000_s1045"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" path="m,l41,155,86,309r39,116l125,450,79,311,41,183,7,54,,xe" fillcolor="#44546a" strokecolor="#44546a" strokeweight="0">
                  <v:fill opacity="13107f"/>
                  <v:stroke opacity="13107f"/>
                  <v:path arrowok="t" o:connecttype="custom" o:connectlocs="0,0;103327460,390625013;216733984,778729075;315021119,1071067200;315021119,1134070313;199093639,783769388;103327460,461189388;17641932,136088438;0,0" o:connectangles="0,0,0,0,0,0,0,0,0"/>
                </v:shape>
                <v:shape id="Prostoručno 9" o:spid="_x0000_s1046"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" path="m,l8,20,37,96r32,74l118,275r-9,l61,174,30,100,,26,,xe" fillcolor="#44546a" strokecolor="#44546a" strokeweight="0">
                  <v:fill opacity="13107f"/>
                  <v:stroke opacity="13107f"/>
                  <v:path arrowok="t" o:connecttype="custom" o:connectlocs="0,0;20161250,50403183;93246575,241935277;173891575,428427053;297378438,693044556;274697825,693044556;153730325,438507690;75604688,252015914;0,65524138;0,0" o:connectangles="0,0,0,0,0,0,0,0,0,0"/>
                </v:shape>
                <v:shape id="Prostoručno 10" o:spid="_x0000_s1047"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" path="m,l16,72r4,49l18,112,,31,,xe" fillcolor="#44546a" strokecolor="#44546a" strokeweight="0">
                  <v:fill opacity="13107f"/>
                  <v:stroke opacity="13107f"/>
                  <v:path arrowok="t" o:connecttype="custom" o:connectlocs="0,0;40322500,181451722;50403125,304940494;45362813,282258235;0,78125841;0,0" o:connectangles="0,0,0,0,0,0"/>
                </v:shape>
                <v:shape id="Prostoručno 12" o:spid="_x0000_s1048"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" path="m,l11,46r11,83l36,211r19,90l76,389r27,87l123,533r21,55l155,632r3,11l142,608,118,544,95,478,69,391,47,302,29,212,13,107,,xe" fillcolor="#44546a" strokecolor="#44546a" strokeweight="0">
                  <v:fill opacity="13107f"/>
                  <v:stroke opacity="13107f"/>
                  <v:path arrowok="t" o:connecttype="custom" o:connectlocs="0,0;27722513,115927244;55443438,325101109;90725625,531754023;138609388,758568197;191531875,980342055;259576888,1199594963;309980013,1343244733;362902500,1481852601;390625013,1592739530;398184688,1620462056;357862188,1532255751;297378438,1370965672;239415638,1204635278;173891575,985382370;118448138,761087560;73085325,534273387;32762825,269657645;0,0" o:connectangles="0,0,0,0,0,0,0,0,0,0,0,0,0,0,0,0,0,0,0"/>
                </v:shape>
                <v:shape id="Prostoručno 13" o:spid="_x0000_s1049"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" path="m,l33,71r-9,l11,36,,xe" fillcolor="#44546a" strokecolor="#44546a" strokeweight="0">
                  <v:fill opacity="13107f"/>
                  <v:stroke opacity="13107f"/>
                  <v:path arrowok="t" o:connecttype="custom" o:connectlocs="0,0;83166744,178932681;60484327,178932681;27722777,90726027;0,0" o:connectangles="0,0,0,0,0"/>
                </v:shape>
                <v:shape id="Prostoručno 14" o:spid="_x0000_s1050"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" path="m,l8,37r,4l15,95,4,49,,xe" fillcolor="#44546a" strokecolor="#44546a" strokeweight="0">
                  <v:fill opacity="13107f"/>
                  <v:stroke opacity="13107f"/>
                  <v:path arrowok="t" o:connecttype="custom" o:connectlocs="0,0;20161673,93246884;20161673,103327543;37803931,239416431;10080837,123488859;0,0" o:connectangles="0,0,0,0,0,0"/>
                </v:shape>
                <v:shape id="Prostoručno 15" o:spid="_x0000_s1051"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" path="m402,r,1l363,39,325,79r-35,42l255,164r-44,58l171,284r-38,62l100,411,71,478,45,546,27,617,13,689,7,761r,21l,765r1,-4l7,688,21,616,40,545,66,475,95,409r35,-66l167,281r42,-61l253,163r34,-43l324,78,362,38,402,xe" fillcolor="#44546a" strokecolor="#44546a" strokeweight="0">
                  <v:fill opacity="13107f"/>
                  <v:stroke opacity="13107f"/>
                  <v:path arrowok="t" o:connecttype="custom" o:connectlocs="1013102813,0;1013102813,2520950;914817513,98286888;819051575,199093138;730845313,304939700;642640638,413305625;531753763,559474688;430947513,715724375;335181575,871974063;252015625,1035785013;178931888,1204634688;113407825,1376005313;68045013,1554937200;32762825,1736388450;17641888,1917839700;17641888,1970762188;0,1927920325;2520950,1917839700;17641888,1733867500;52924075,1552416250;100806250,1373485950;166330313,1197075013;239415638,1030744700;327620313,864414388;420866888,708164700;526713450,554434375;637600325,410786263;723285638,302418750;816530625,196572188;912296563,95765938;1013102813,0" o:connectangles="0,0,0,0,0,0,0,0,0,0,0,0,0,0,0,0,0,0,0,0,0,0,0,0,0,0,0,0,0,0,0"/>
                </v:shape>
                <v:shape id="Prostoručno 16" o:spid="_x0000_s1052"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" path="m,l6,15r1,3l12,80r9,54l33,188r4,8l22,162,15,146,5,81,1,40,,xe" fillcolor="#44546a" strokecolor="#44546a" strokeweight="0">
                  <v:fill opacity="13107f"/>
                  <v:stroke opacity="13107f"/>
                  <v:path arrowok="t" o:connecttype="custom" o:connectlocs="0,0;15121066,37803138;17642038,45362813;30242132,201612500;52924526,337700938;83166658,473789375;93247369,493950625;55443909,408265313;37803459,367942813;12601682,204133450;2520971,100806250;0,0" o:connectangles="0,0,0,0,0,0,0,0,0,0,0,0"/>
                </v:shape>
                <v:shape id="Prostoručno 17" o:spid="_x0000_s1053"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" path="m,l31,66r-7,l,xe" fillcolor="#44546a" strokecolor="#44546a" strokeweight="0">
                  <v:fill opacity="13107f"/>
                  <v:stroke opacity="13107f"/>
                  <v:path arrowok="t" o:connecttype="custom" o:connectlocs="0,0;78126431,166330313;60484365,166330313;0,0" o:connectangles="0,0,0,0"/>
                </v:shape>
                <v:shape id="Prostoručno 18" o:spid="_x0000_s1054"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" path="m,l7,17r,26l6,40,,25,,xe" fillcolor="#44546a" strokecolor="#44546a" strokeweight="0">
                  <v:fill opacity="13107f"/>
                  <v:stroke opacity="13107f"/>
                  <v:path arrowok="t" o:connecttype="custom" o:connectlocs="0,0;17642681,42843764;17642681,108368306;15121618,100806988;0,63005161;0,0" o:connectangles="0,0,0,0,0,0"/>
                </v:shape>
                <v:shape id="Prostoručno 19" o:spid="_x0000_s1055"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" path="m,l7,16,22,50,33,86r13,35l45,121,14,55,11,44,,xe" fillcolor="#44546a" strokecolor="#44546a" strokeweight="0">
                  <v:fill opacity="13107f"/>
                  <v:stroke opacity="13107f"/>
                  <v:path arrowok="t" o:connecttype="custom" o:connectlocs="0,0;17641888,40322605;55443438,126008140;83165950,216734002;115927188,304940494;113407825,304940494;35282188,138609748;27722513,110887164;0,0" o:connectangles="0,0,0,0,0,0,0,0,0"/>
                </v:shape>
              </v:group>
            </v:group>
            <w10:wrap anchorx="page" anchory="page"/>
          </v:group>
        </w:pict>
      </w:r>
      <w:r>
        <w:rPr>
          <w:rFonts w:ascii="Garamond" w:eastAsia="Times New Roman" w:hAnsi="Garamond" w:cs="Times New Roman"/>
          <w:noProof/>
          <w:lang w:eastAsia="hr-HR"/>
        </w:rPr>
        <w:pict>
          <v:shape id="Tekstni okvir 1" o:spid="_x0000_s1056" type="#_x0000_t202" style="position:absolute;margin-left:250.05pt;margin-top:147.35pt;width:267.9pt;height:345.35pt;z-index:251661312;visibility:visible;mso-width-percent:450;mso-position-horizontal-relative:page;mso-position-vertical-relative:page;mso-width-percent:45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" filled="f" stroked="f" strokeweight=".5pt">
            <v:textbox style="mso-fit-shape-to-text:t" inset="0,0,0,0">
              <w:txbxContent>
                <w:p w:rsidR="00F57898" w:rsidRPr="001922E9" w:rsidRDefault="00F57898" w:rsidP="005C1E80">
                  <w:pPr>
                    <w:pStyle w:val="Bezproreda"/>
                    <w:rPr>
                      <w:rFonts w:ascii="Calibri Light" w:hAnsi="Calibri Light"/>
                      <w:color w:val="262626"/>
                      <w:sz w:val="72"/>
                    </w:rPr>
                  </w:pPr>
                  <w:r>
                    <w:rPr>
                      <w:rFonts w:ascii="Calibri Light" w:hAnsi="Calibri Light"/>
                      <w:sz w:val="72"/>
                      <w:szCs w:val="72"/>
                    </w:rPr>
                    <w:t>Godišnji plan razvoja sustava civilne zaštite sa financijskim učincima za trogodišnje razdoblje</w:t>
                  </w:r>
                </w:p>
                <w:p w:rsidR="00F57898" w:rsidRPr="001922E9" w:rsidRDefault="00F57898" w:rsidP="005C1E80">
                  <w:pPr>
                    <w:spacing w:before="120"/>
                    <w:rPr>
                      <w:color w:val="404040"/>
                      <w:sz w:val="36"/>
                      <w:szCs w:val="36"/>
                    </w:rPr>
                  </w:pPr>
                  <w:r>
                    <w:rPr>
                      <w:sz w:val="36"/>
                      <w:szCs w:val="36"/>
                    </w:rPr>
                    <w:t>2026.g. – 2028.g.</w:t>
                  </w:r>
                </w:p>
              </w:txbxContent>
            </v:textbox>
            <w10:wrap anchorx="page" anchory="page"/>
          </v:shape>
        </w:pict>
      </w:r>
    </w:p>
    <w:p w:rsidR="005C1E80" w:rsidRPr="005C1E80" w:rsidRDefault="00DD1C99" w:rsidP="005C1E80">
      <w:pPr>
        <w:spacing w:after="200" w:line="276" w:lineRule="auto"/>
        <w:rPr>
          <w:rFonts w:ascii="Garamond" w:eastAsia="Times New Roman" w:hAnsi="Garamond" w:cs="Times New Roman"/>
          <w:lang w:eastAsia="hr-HR"/>
        </w:rPr>
      </w:pPr>
      <w:r>
        <w:rPr>
          <w:rFonts w:ascii="Garamond" w:eastAsia="Times New Roman" w:hAnsi="Garamond" w:cs="Times New Roman"/>
          <w:noProof/>
          <w:lang w:eastAsia="hr-HR"/>
        </w:rPr>
        <w:pict>
          <v:shape id="Tekstni okvir 32" o:spid="_x0000_s1057" type="#_x0000_t202" style="position:absolute;margin-left:244.05pt;margin-top:682pt;width:267.9pt;height:87.9pt;z-index:251662336;visibility:visible;mso-width-percent:450;mso-position-horizontal-relative:page;mso-position-vertical-relative:page;mso-width-percent:45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" filled="f" stroked="f" strokeweight=".5pt">
            <v:textbox style="mso-fit-shape-to-text:t" inset="0,0,0,0">
              <w:txbxContent>
                <w:p w:rsidR="00F57898" w:rsidRPr="001922E9" w:rsidRDefault="00F57898" w:rsidP="005C1E80">
                  <w:pPr>
                    <w:pStyle w:val="Bezproreda"/>
                    <w:rPr>
                      <w:color w:val="4472C4"/>
                      <w:sz w:val="72"/>
                      <w:szCs w:val="72"/>
                    </w:rPr>
                  </w:pPr>
                  <w:r w:rsidRPr="001922E9">
                    <w:rPr>
                      <w:sz w:val="72"/>
                      <w:szCs w:val="72"/>
                    </w:rPr>
                    <w:t xml:space="preserve">OPĆINA </w:t>
                  </w:r>
                  <w:r>
                    <w:rPr>
                      <w:sz w:val="72"/>
                      <w:szCs w:val="72"/>
                    </w:rPr>
                    <w:t xml:space="preserve">   GORNJI BOGIĆEVCI</w:t>
                  </w:r>
                </w:p>
              </w:txbxContent>
            </v:textbox>
            <w10:wrap anchorx="page" anchory="page"/>
          </v:shape>
        </w:pict>
      </w:r>
      <w:r w:rsidR="005C1E80" w:rsidRPr="005C1E80">
        <w:rPr>
          <w:rFonts w:ascii="Garamond" w:eastAsia="Times New Roman" w:hAnsi="Garamond" w:cs="Times New Roman"/>
          <w:lang w:eastAsia="hr-HR"/>
        </w:rPr>
        <w:br w:type="page"/>
      </w:r>
    </w:p>
    <w:tbl>
      <w:tblPr>
        <w:tblpPr w:leftFromText="187" w:rightFromText="187" w:horzAnchor="margin" w:tblpXSpec="center" w:tblpYSpec="bottom"/>
        <w:tblW w:w="5000" w:type="pct"/>
        <w:tblLook w:val="04A0"/>
      </w:tblPr>
      <w:tblGrid>
        <w:gridCol w:w="9854"/>
      </w:tblGrid>
      <w:tr w:rsidR="005C1E80" w:rsidRPr="005C1E80" w:rsidTr="00F57898">
        <w:tc>
          <w:tcPr>
            <w:tcW w:w="5000" w:type="pct"/>
          </w:tcPr>
          <w:p w:rsidR="005C1E80" w:rsidRPr="005C1E80" w:rsidRDefault="005C1E80" w:rsidP="005C1E80">
            <w:pPr>
              <w:spacing w:after="0" w:line="240" w:lineRule="auto"/>
              <w:rPr>
                <w:rFonts w:ascii="Garamond" w:eastAsia="Times New Roman" w:hAnsi="Garamond" w:cs="Times New Roman"/>
                <w:lang w:eastAsia="hr-HR"/>
              </w:rPr>
            </w:pPr>
          </w:p>
        </w:tc>
      </w:tr>
    </w:tbl>
    <w:p w:rsidR="005C1E80" w:rsidRPr="005C1E80" w:rsidRDefault="005C1E80" w:rsidP="005C1E80">
      <w:pPr>
        <w:spacing w:after="200" w:line="276" w:lineRule="auto"/>
        <w:jc w:val="both"/>
        <w:rPr>
          <w:rFonts w:ascii="Garamond" w:eastAsia="Times New Roman" w:hAnsi="Garamond" w:cs="Times New Roman"/>
          <w:sz w:val="24"/>
          <w:szCs w:val="24"/>
          <w:lang w:eastAsia="hr-HR"/>
        </w:rPr>
      </w:pPr>
      <w:r w:rsidRPr="005C1E80">
        <w:rPr>
          <w:rFonts w:ascii="Garamond" w:eastAsia="Times New Roman" w:hAnsi="Garamond" w:cs="Times New Roman"/>
          <w:sz w:val="24"/>
          <w:szCs w:val="24"/>
          <w:lang w:eastAsia="hr-HR"/>
        </w:rPr>
        <w:t xml:space="preserve">Na temelju članka 17. stavak 1. Zakona o sustavu civilne zaštite („Narodne novine“, broj 82/15, 118/18, 31/20,20/21,114/22), članka 52. Pravilnika o nositeljima, sadržaju i postupcima izrade planskih dokumenata u civilnoj zaštiti te načinu informiranja javnosti u postupku njihovog donošenja (NN66/21) i članka 39. Statuta Općine Gornji Bogićevci («Službeni vjesnik  br. 2/21) , Općinsko vijeće općine Gornji Bogićevci na 5. sjednici općinskog vijeća, održanoj 22.12.2025., donijelo je </w:t>
      </w:r>
    </w:p>
    <w:p w:rsidR="005C1E80" w:rsidRPr="005C1E80" w:rsidRDefault="005C1E80" w:rsidP="005C1E80">
      <w:pPr>
        <w:spacing w:after="0" w:line="240" w:lineRule="auto"/>
        <w:jc w:val="center"/>
        <w:rPr>
          <w:rFonts w:ascii="Garamond" w:eastAsia="Times New Roman" w:hAnsi="Garamond" w:cs="Times New Roman"/>
          <w:b/>
          <w:sz w:val="24"/>
          <w:szCs w:val="24"/>
          <w:lang w:eastAsia="hr-HR"/>
        </w:rPr>
      </w:pPr>
    </w:p>
    <w:p w:rsidR="005C1E80" w:rsidRPr="005C1E80" w:rsidRDefault="005C1E80" w:rsidP="005C1E80">
      <w:pPr>
        <w:spacing w:after="0" w:line="240" w:lineRule="auto"/>
        <w:jc w:val="center"/>
        <w:rPr>
          <w:rFonts w:ascii="Garamond" w:eastAsia="Times New Roman" w:hAnsi="Garamond" w:cs="Times New Roman"/>
          <w:b/>
          <w:sz w:val="24"/>
          <w:szCs w:val="24"/>
          <w:lang w:eastAsia="hr-HR"/>
        </w:rPr>
      </w:pPr>
      <w:r w:rsidRPr="005C1E80">
        <w:rPr>
          <w:rFonts w:ascii="Garamond" w:eastAsia="Times New Roman" w:hAnsi="Garamond" w:cs="Times New Roman"/>
          <w:b/>
          <w:sz w:val="24"/>
          <w:szCs w:val="24"/>
          <w:lang w:eastAsia="hr-HR"/>
        </w:rPr>
        <w:t xml:space="preserve">GODIŠNJI PLAN RAZVOJ SUSTAVA CIVILNE ZAŠTITE SA FINANCIJSKIM UČINCIMA ZA TROGODIŠNJE RAZDOBLJE OPĆINE GORNJI BOGIĆEVCI                       </w:t>
      </w:r>
    </w:p>
    <w:p w:rsidR="005C1E80" w:rsidRPr="005C1E80" w:rsidRDefault="005C1E80" w:rsidP="005C1E80">
      <w:pPr>
        <w:spacing w:after="0" w:line="240" w:lineRule="auto"/>
        <w:jc w:val="center"/>
        <w:rPr>
          <w:rFonts w:ascii="Garamond" w:eastAsia="Times New Roman" w:hAnsi="Garamond" w:cs="Times New Roman"/>
          <w:b/>
          <w:sz w:val="24"/>
          <w:szCs w:val="24"/>
          <w:lang w:eastAsia="hr-HR"/>
        </w:rPr>
      </w:pPr>
      <w:r w:rsidRPr="005C1E80">
        <w:rPr>
          <w:rFonts w:ascii="Garamond" w:eastAsia="Times New Roman" w:hAnsi="Garamond" w:cs="Times New Roman"/>
          <w:b/>
          <w:sz w:val="24"/>
          <w:szCs w:val="24"/>
          <w:lang w:eastAsia="hr-HR"/>
        </w:rPr>
        <w:t xml:space="preserve"> ZA 2026. – 2028.g.</w:t>
      </w:r>
    </w:p>
    <w:p w:rsidR="005C1E80" w:rsidRPr="005C1E80" w:rsidRDefault="005C1E80" w:rsidP="005C1E80">
      <w:pPr>
        <w:spacing w:after="200" w:line="276" w:lineRule="auto"/>
        <w:jc w:val="center"/>
        <w:rPr>
          <w:rFonts w:ascii="Garamond" w:eastAsia="Times New Roman" w:hAnsi="Garamond" w:cs="Times New Roman"/>
          <w:b/>
          <w:sz w:val="24"/>
          <w:szCs w:val="24"/>
          <w:lang w:eastAsia="hr-HR"/>
        </w:rPr>
      </w:pPr>
    </w:p>
    <w:p w:rsidR="005C1E80" w:rsidRPr="005C1E80" w:rsidRDefault="005C1E80" w:rsidP="005C1E80">
      <w:pPr>
        <w:keepNext/>
        <w:widowControl w:val="0"/>
        <w:shd w:val="clear" w:color="auto" w:fill="FFFFFF"/>
        <w:autoSpaceDE w:val="0"/>
        <w:autoSpaceDN w:val="0"/>
        <w:adjustRightInd w:val="0"/>
        <w:spacing w:before="310" w:after="0" w:line="240" w:lineRule="auto"/>
        <w:ind w:left="50"/>
        <w:outlineLvl w:val="1"/>
        <w:rPr>
          <w:rFonts w:ascii="Garamond" w:eastAsia="Times New Roman" w:hAnsi="Garamond" w:cs="Times New Roman"/>
          <w:b/>
          <w:sz w:val="24"/>
          <w:szCs w:val="24"/>
        </w:rPr>
      </w:pPr>
      <w:r w:rsidRPr="005C1E80">
        <w:rPr>
          <w:rFonts w:ascii="Garamond" w:eastAsia="Times New Roman" w:hAnsi="Garamond" w:cs="Times New Roman"/>
          <w:b/>
          <w:sz w:val="24"/>
          <w:szCs w:val="24"/>
        </w:rPr>
        <w:t>UVOD</w:t>
      </w:r>
    </w:p>
    <w:p w:rsidR="005C1E80" w:rsidRPr="005C1E80" w:rsidRDefault="005C1E80" w:rsidP="005C1E80">
      <w:pPr>
        <w:spacing w:after="200" w:line="276" w:lineRule="auto"/>
        <w:rPr>
          <w:rFonts w:ascii="Garamond" w:eastAsia="Times New Roman" w:hAnsi="Garamond" w:cs="Times New Roman"/>
          <w:sz w:val="24"/>
          <w:szCs w:val="24"/>
          <w:lang w:eastAsia="hr-HR"/>
        </w:rPr>
      </w:pPr>
    </w:p>
    <w:p w:rsidR="005C1E80" w:rsidRPr="005C1E80" w:rsidRDefault="005C1E80" w:rsidP="005C1E80">
      <w:pPr>
        <w:widowControl w:val="0"/>
        <w:tabs>
          <w:tab w:val="left" w:pos="2153"/>
        </w:tabs>
        <w:autoSpaceDE w:val="0"/>
        <w:autoSpaceDN w:val="0"/>
        <w:adjustRightInd w:val="0"/>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color w:val="414145"/>
          <w:sz w:val="24"/>
          <w:szCs w:val="24"/>
          <w:lang w:eastAsia="hr-HR"/>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rsidR="005C1E80" w:rsidRPr="005C1E80" w:rsidRDefault="005C1E80" w:rsidP="005C1E80">
      <w:pPr>
        <w:widowControl w:val="0"/>
        <w:tabs>
          <w:tab w:val="left" w:pos="2153"/>
        </w:tabs>
        <w:autoSpaceDE w:val="0"/>
        <w:autoSpaceDN w:val="0"/>
        <w:adjustRightInd w:val="0"/>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widowControl w:val="0"/>
        <w:tabs>
          <w:tab w:val="left" w:pos="2153"/>
        </w:tabs>
        <w:autoSpaceDE w:val="0"/>
        <w:autoSpaceDN w:val="0"/>
        <w:adjustRightInd w:val="0"/>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color w:val="414145"/>
          <w:sz w:val="24"/>
          <w:szCs w:val="24"/>
          <w:lang w:eastAsia="hr-HR"/>
        </w:rPr>
        <w:t>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na teritoriju Republike Hrvatske od posljedica prirodnih, tehničko-tehnoloških velikih nesreća i katastrofa, otklanjanja posljedica terorizma i ratnih razaranja.</w:t>
      </w:r>
    </w:p>
    <w:p w:rsidR="005C1E80" w:rsidRPr="005C1E80" w:rsidRDefault="005C1E80" w:rsidP="005C1E80">
      <w:pPr>
        <w:widowControl w:val="0"/>
        <w:tabs>
          <w:tab w:val="left" w:pos="2153"/>
        </w:tabs>
        <w:autoSpaceDE w:val="0"/>
        <w:autoSpaceDN w:val="0"/>
        <w:adjustRightInd w:val="0"/>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color w:val="414145"/>
          <w:sz w:val="24"/>
          <w:szCs w:val="24"/>
          <w:lang w:eastAsia="hr-HR"/>
        </w:rPr>
        <w:t>Jedinice lokalne i područne (regionalne) samouprave dužne su organizirati poslove iz svog samoupravnog djelokruga koji se odnose na planiranje, razvoj, učinkovito funkcioniranje i financiranje sustava civilne zaštite.</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color w:val="414145"/>
          <w:sz w:val="24"/>
          <w:szCs w:val="24"/>
          <w:lang w:eastAsia="hr-HR"/>
        </w:rPr>
        <w:t>Jedinice lokalne i područne (regionalne) samouprave dužne su jačati i nadopunjavati spremnost postojećih operativnih snaga sustava civilne zaštite na njihovom području sukladno procjeni rizika od velikih nesreća i planu djelovanja civilne zaštite, a ako postojećim operativnim snagama ne mogu odgovoriti na posljedice utvrđene procjenom rizika, dužne su osnovati dodatne postrojbe civilne zaštite.</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Times New Roman"/>
          <w:color w:val="231F20"/>
          <w:sz w:val="24"/>
          <w:szCs w:val="24"/>
          <w:shd w:val="clear" w:color="auto" w:fill="FFFFFF"/>
          <w:lang w:eastAsia="hr-HR"/>
        </w:rPr>
        <w:t>Planom razvoja sustava civilne zaštite utvrđuju se nositelji, suradnici, rokovi za realizaciju ciljeva u narednoj godini te projekcija s financijskim učincima za trogodišnje razdoblje, odnosno do zaključenja ciklusa/razdoblja za koje se Smjernice usvajaju.</w:t>
      </w:r>
    </w:p>
    <w:p w:rsidR="005C1E80" w:rsidRPr="005C1E80" w:rsidRDefault="005C1E80" w:rsidP="005C1E80">
      <w:pPr>
        <w:spacing w:after="0" w:line="240" w:lineRule="auto"/>
        <w:ind w:firstLine="708"/>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b/>
          <w:color w:val="414145"/>
          <w:sz w:val="24"/>
          <w:szCs w:val="24"/>
          <w:lang w:eastAsia="hr-HR"/>
        </w:rPr>
        <w:t>Predstavničko tijelo,</w:t>
      </w:r>
      <w:r w:rsidRPr="005C1E80">
        <w:rPr>
          <w:rFonts w:ascii="Garamond" w:eastAsia="Times New Roman" w:hAnsi="Garamond" w:cs="Arial"/>
          <w:color w:val="414145"/>
          <w:sz w:val="24"/>
          <w:szCs w:val="24"/>
          <w:lang w:eastAsia="hr-HR"/>
        </w:rPr>
        <w:t xml:space="preserve"> </w:t>
      </w:r>
      <w:r w:rsidRPr="005C1E80">
        <w:rPr>
          <w:rFonts w:ascii="Garamond" w:eastAsia="Times New Roman" w:hAnsi="Garamond" w:cs="Arial"/>
          <w:b/>
          <w:color w:val="414145"/>
          <w:sz w:val="24"/>
          <w:szCs w:val="24"/>
          <w:lang w:eastAsia="hr-HR"/>
        </w:rPr>
        <w:t>na prijedlog izvršnog tijela jedinice lokalne i područne (regionalne) samouprave, izvršava sljedeće zadaće:</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color w:val="414145"/>
          <w:sz w:val="24"/>
          <w:szCs w:val="24"/>
          <w:lang w:eastAsia="hr-HR"/>
        </w:rPr>
        <w:t xml:space="preserve">– u postupku donošenja proračuna razmatra i usvaja godišnju analizu stanja i </w:t>
      </w:r>
      <w:r w:rsidRPr="005C1E80">
        <w:rPr>
          <w:rFonts w:ascii="Garamond" w:eastAsia="Times New Roman" w:hAnsi="Garamond" w:cs="Arial"/>
          <w:i/>
          <w:color w:val="414145"/>
          <w:sz w:val="24"/>
          <w:szCs w:val="24"/>
          <w:lang w:eastAsia="hr-HR"/>
        </w:rPr>
        <w:t>godišnji plan razvoja sustava civilne zaštite s financijskim učincima za trogodišnje razdoblje</w:t>
      </w:r>
      <w:r w:rsidRPr="005C1E80">
        <w:rPr>
          <w:rFonts w:ascii="Garamond" w:eastAsia="Times New Roman" w:hAnsi="Garamond" w:cs="Arial"/>
          <w:color w:val="414145"/>
          <w:sz w:val="24"/>
          <w:szCs w:val="24"/>
          <w:lang w:eastAsia="hr-HR"/>
        </w:rPr>
        <w:t xml:space="preserve"> te smjernice za organizaciju i razvoj sustava koje se razmatraju i usvajaju svake četiri godine</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r w:rsidRPr="005C1E80">
        <w:rPr>
          <w:rFonts w:ascii="Garamond" w:eastAsia="Times New Roman" w:hAnsi="Garamond" w:cs="Arial"/>
          <w:color w:val="414145"/>
          <w:sz w:val="24"/>
          <w:szCs w:val="24"/>
          <w:lang w:eastAsia="hr-HR"/>
        </w:rPr>
        <w:t>– osigurava financijska sredstva za izvršavanje odluka o financiranju aktivnosti civilne zaštite u velikoj nesreći i katastrofi prema načelu solidarnosti.</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rPr>
          <w:rFonts w:ascii="Garamond" w:eastAsia="Times New Roman" w:hAnsi="Garamond" w:cs="Arial"/>
          <w:b/>
          <w:color w:val="414145"/>
          <w:sz w:val="24"/>
          <w:szCs w:val="24"/>
          <w:u w:val="single"/>
          <w:lang w:eastAsia="hr-HR"/>
        </w:rPr>
      </w:pPr>
      <w:r w:rsidRPr="005C1E80">
        <w:rPr>
          <w:rFonts w:ascii="Garamond" w:eastAsia="Times New Roman" w:hAnsi="Garamond" w:cs="Arial"/>
          <w:b/>
          <w:color w:val="414145"/>
          <w:sz w:val="24"/>
          <w:szCs w:val="24"/>
          <w:u w:val="single"/>
          <w:lang w:eastAsia="hr-HR"/>
        </w:rPr>
        <w:lastRenderedPageBreak/>
        <w:t>CILJEVI, MJERE I AKTIVNOSTI U SUSTAVU CIVILNE ZAŠTITE U 2026.G.</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r w:rsidRPr="005C1E80">
        <w:rPr>
          <w:rFonts w:ascii="Garamond" w:eastAsia="Times New Roman" w:hAnsi="Garamond" w:cs="Times New Roman"/>
          <w:color w:val="231F20"/>
          <w:sz w:val="24"/>
          <w:szCs w:val="24"/>
          <w:lang w:eastAsia="hr-HR"/>
        </w:rPr>
        <w:t>Plan razvoja sustava civilne zaštite predstavlja dokument za implementaciju ciljeva iz Smjernica koji se u njih prenose kako bi se konkretizirale mjere i aktivnosti te utvrdila dinamika njihovog ostvarivanja.</w:t>
      </w: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r w:rsidRPr="005C1E80">
        <w:rPr>
          <w:rFonts w:ascii="Garamond" w:eastAsia="Times New Roman" w:hAnsi="Garamond" w:cs="Times New Roman"/>
          <w:color w:val="231F20"/>
          <w:sz w:val="24"/>
          <w:szCs w:val="24"/>
          <w:lang w:eastAsia="hr-HR"/>
        </w:rPr>
        <w:t>Planom razvoja sustava civilne zaštite utvrđuju se nositelji, suradnici, rokovi za realizaciju ciljeva u narednoj godini te projekcija s financijskim učincima za trogodišnje razdoblje, odnosno do zaključenja ciklusa/razdoblja za koje se Smjernice usvajaju.</w:t>
      </w: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r w:rsidRPr="005C1E80">
        <w:rPr>
          <w:rFonts w:ascii="Garamond" w:eastAsia="Times New Roman" w:hAnsi="Garamond" w:cs="Times New Roman"/>
          <w:color w:val="231F20"/>
          <w:sz w:val="24"/>
          <w:szCs w:val="24"/>
          <w:lang w:eastAsia="hr-HR"/>
        </w:rPr>
        <w:t>Planiranje i provođenje preventivnih mjera treba se provoditi tako da se u postupak upravljanja rizicima uključe svi odgovorni sudionici sustava civilne zaštite s lokalnih razina kako bi te aktivnosti postepeno postale prioritetima najviše razine koji će se u kontinuitetu ostvarivati kroz politike upravljanja rizicima, odnosno kroz realizaciju planova razvoja sustava civilne zaštite koje je potrebno uskladiti s procjenama rizika od velikih nesreća i katastrofa i Strategijom smanjivanja rizika od katastrofa.</w:t>
      </w: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p>
    <w:p w:rsidR="005C1E80" w:rsidRPr="005C1E80" w:rsidRDefault="005C1E80" w:rsidP="005C1E80">
      <w:pPr>
        <w:shd w:val="clear" w:color="auto" w:fill="FFFFFF"/>
        <w:spacing w:after="0" w:line="240" w:lineRule="auto"/>
        <w:textAlignment w:val="baseline"/>
        <w:rPr>
          <w:rFonts w:ascii="Garamond" w:eastAsia="Times New Roman" w:hAnsi="Garamond" w:cs="Times New Roman"/>
          <w:color w:val="231F20"/>
          <w:sz w:val="24"/>
          <w:szCs w:val="24"/>
          <w:lang w:eastAsia="hr-HR"/>
        </w:rPr>
      </w:pPr>
      <w:r w:rsidRPr="005C1E80">
        <w:rPr>
          <w:rFonts w:ascii="Garamond" w:eastAsia="Times New Roman" w:hAnsi="Garamond" w:cs="Times New Roman"/>
          <w:color w:val="231F20"/>
          <w:sz w:val="24"/>
          <w:szCs w:val="24"/>
          <w:lang w:eastAsia="hr-HR"/>
        </w:rPr>
        <w:t>Plan razvoja sustava civilne zaštite redovito se revidira na temelju provedene godišnje analize stanja sustava civilne zaštite.</w:t>
      </w:r>
    </w:p>
    <w:p w:rsidR="005C1E80" w:rsidRPr="005C1E80" w:rsidRDefault="005C1E80" w:rsidP="005C1E80">
      <w:pPr>
        <w:shd w:val="clear" w:color="auto" w:fill="FFFFFF"/>
        <w:spacing w:after="48" w:line="240" w:lineRule="auto"/>
        <w:textAlignment w:val="baseline"/>
        <w:rPr>
          <w:rFonts w:ascii="Garamond" w:eastAsia="Times New Roman" w:hAnsi="Garamond" w:cs="Times New Roman"/>
          <w:color w:val="231F20"/>
          <w:sz w:val="24"/>
          <w:szCs w:val="24"/>
          <w:lang w:eastAsia="hr-HR"/>
        </w:rPr>
      </w:pPr>
    </w:p>
    <w:p w:rsidR="005C1E80" w:rsidRPr="005C1E80" w:rsidRDefault="005C1E80" w:rsidP="005C1E80">
      <w:pPr>
        <w:shd w:val="clear" w:color="auto" w:fill="FFFFFF"/>
        <w:spacing w:after="48" w:line="240" w:lineRule="auto"/>
        <w:textAlignment w:val="baseline"/>
        <w:rPr>
          <w:rFonts w:ascii="Garamond" w:eastAsia="Times New Roman" w:hAnsi="Garamond" w:cs="Times New Roman"/>
          <w:color w:val="231F20"/>
          <w:sz w:val="24"/>
          <w:szCs w:val="24"/>
          <w:lang w:eastAsia="hr-HR"/>
        </w:rPr>
      </w:pPr>
      <w:r w:rsidRPr="005C1E80">
        <w:rPr>
          <w:rFonts w:ascii="Garamond" w:eastAsia="Times New Roman" w:hAnsi="Garamond" w:cs="Times New Roman"/>
          <w:color w:val="231F20"/>
          <w:sz w:val="24"/>
          <w:szCs w:val="24"/>
          <w:lang w:eastAsia="hr-HR"/>
        </w:rPr>
        <w:t>Kako bi stanje sustava civilne zaštite podigli na veću razinu, potrebno je poduzeti slijedeće:</w:t>
      </w:r>
    </w:p>
    <w:p w:rsidR="005C1E80" w:rsidRPr="005C1E80" w:rsidRDefault="005C1E80" w:rsidP="005C1E80">
      <w:pPr>
        <w:shd w:val="clear" w:color="auto" w:fill="FFFFFF"/>
        <w:spacing w:after="48" w:line="240" w:lineRule="auto"/>
        <w:textAlignment w:val="baseline"/>
        <w:rPr>
          <w:rFonts w:ascii="Garamond" w:eastAsia="Times New Roman" w:hAnsi="Garamond" w:cs="Times New Roman"/>
          <w:color w:val="231F20"/>
          <w:sz w:val="24"/>
          <w:szCs w:val="24"/>
          <w:lang w:eastAsia="hr-HR"/>
        </w:rPr>
      </w:pPr>
    </w:p>
    <w:p w:rsidR="005C1E80" w:rsidRPr="005C1E80" w:rsidRDefault="005C1E80" w:rsidP="005C1E80">
      <w:pPr>
        <w:keepNext/>
        <w:spacing w:after="0" w:line="240" w:lineRule="auto"/>
        <w:outlineLvl w:val="3"/>
        <w:rPr>
          <w:rFonts w:ascii="Garamond" w:eastAsia="Times New Roman" w:hAnsi="Garamond" w:cs="Arial"/>
          <w:b/>
          <w:bCs/>
          <w:i/>
          <w:sz w:val="24"/>
          <w:szCs w:val="24"/>
        </w:rPr>
      </w:pPr>
      <w:r w:rsidRPr="005C1E80">
        <w:rPr>
          <w:rFonts w:ascii="Garamond" w:eastAsia="Times New Roman" w:hAnsi="Garamond" w:cs="Arial"/>
          <w:b/>
          <w:bCs/>
          <w:i/>
          <w:sz w:val="24"/>
          <w:szCs w:val="24"/>
        </w:rPr>
        <w:t>1</w:t>
      </w:r>
      <w:r w:rsidRPr="005C1E80">
        <w:rPr>
          <w:rFonts w:ascii="Garamond" w:eastAsia="Times New Roman" w:hAnsi="Garamond" w:cs="Arial"/>
          <w:bCs/>
          <w:sz w:val="24"/>
          <w:szCs w:val="24"/>
        </w:rPr>
        <w:t xml:space="preserve">. </w:t>
      </w:r>
      <w:r w:rsidRPr="005C1E80">
        <w:rPr>
          <w:rFonts w:ascii="Garamond" w:eastAsia="Times New Roman" w:hAnsi="Garamond" w:cs="Arial"/>
          <w:b/>
          <w:bCs/>
          <w:i/>
          <w:sz w:val="24"/>
          <w:szCs w:val="24"/>
        </w:rPr>
        <w:t>Uskladiti Plan djelovanja sustava civilne zaštite za Općinu Gornji Bogićevci</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općinski načelnik</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IN konzalting d.o.o., Stožer CZ,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lipanj 2026.g.</w:t>
      </w:r>
    </w:p>
    <w:p w:rsidR="005C1E80" w:rsidRPr="005C1E80" w:rsidRDefault="005C1E80" w:rsidP="005C1E80">
      <w:pPr>
        <w:spacing w:after="0" w:line="240" w:lineRule="auto"/>
        <w:rPr>
          <w:rFonts w:ascii="Garamond" w:eastAsia="Times New Roman" w:hAnsi="Garamond" w:cs="Times New Roman"/>
          <w:bCs/>
          <w:i/>
          <w:sz w:val="24"/>
          <w:szCs w:val="24"/>
          <w:lang w:eastAsia="hr-HR"/>
        </w:rPr>
      </w:pPr>
      <w:r w:rsidRPr="005C1E80">
        <w:rPr>
          <w:rFonts w:ascii="Garamond" w:eastAsia="Times New Roman" w:hAnsi="Garamond" w:cs="Times New Roman"/>
          <w:sz w:val="24"/>
          <w:szCs w:val="24"/>
          <w:lang w:eastAsia="hr-HR"/>
        </w:rPr>
        <w:t xml:space="preserve">Zakonska osnova: </w:t>
      </w:r>
      <w:r w:rsidRPr="005C1E80">
        <w:rPr>
          <w:rFonts w:ascii="Garamond" w:eastAsia="Times New Roman" w:hAnsi="Garamond" w:cs="Times New Roman"/>
          <w:bCs/>
          <w:i/>
          <w:sz w:val="24"/>
          <w:szCs w:val="24"/>
          <w:lang w:eastAsia="hr-HR"/>
        </w:rPr>
        <w:t>Pravilnik o nositeljima, sadržaju i postupcima izrade planskih dokumenata u civilnoj zaštiti te načinu informiranja javnosti u postupku njihovog donošenja (NN 66/21)</w:t>
      </w:r>
    </w:p>
    <w:p w:rsidR="005C1E80" w:rsidRPr="005C1E80" w:rsidRDefault="005C1E80" w:rsidP="005C1E80">
      <w:pPr>
        <w:shd w:val="clear" w:color="auto" w:fill="FFFFFF"/>
        <w:spacing w:after="48" w:line="240" w:lineRule="auto"/>
        <w:textAlignment w:val="baseline"/>
        <w:rPr>
          <w:rFonts w:ascii="Garamond" w:eastAsia="Times New Roman" w:hAnsi="Garamond" w:cs="Times New Roman"/>
          <w:color w:val="231F20"/>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bookmarkStart w:id="29" w:name="_Hlk25132405"/>
      <w:r w:rsidRPr="005C1E80">
        <w:rPr>
          <w:rFonts w:ascii="Garamond" w:eastAsia="Times New Roman" w:hAnsi="Garamond" w:cs="Times New Roman"/>
          <w:b/>
          <w:i/>
          <w:sz w:val="24"/>
          <w:szCs w:val="24"/>
          <w:lang w:eastAsia="hr-HR"/>
        </w:rPr>
        <w:t xml:space="preserve">2. Ažurirati plan djelovanja u području prirodnih nepogoda za 2027. godinu </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općinski načelnik</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IN konzalting d.o.o., Stožer CZ,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studeni 2026.g.</w:t>
      </w:r>
    </w:p>
    <w:p w:rsidR="005C1E80" w:rsidRPr="005C1E80" w:rsidRDefault="005C1E80" w:rsidP="005C1E80">
      <w:pPr>
        <w:spacing w:after="0" w:line="240" w:lineRule="auto"/>
        <w:rPr>
          <w:rFonts w:ascii="Garamond" w:eastAsia="Times New Roman" w:hAnsi="Garamond" w:cs="Times New Roman"/>
          <w:bCs/>
          <w:i/>
          <w:sz w:val="24"/>
          <w:szCs w:val="24"/>
          <w:lang w:eastAsia="hr-HR"/>
        </w:rPr>
      </w:pPr>
      <w:r w:rsidRPr="005C1E80">
        <w:rPr>
          <w:rFonts w:ascii="Garamond" w:eastAsia="Times New Roman" w:hAnsi="Garamond" w:cs="Times New Roman"/>
          <w:b/>
          <w:bCs/>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Zakon o ublažavanju i uklanjanju posljedica prirodnih nepogoda NN (16/19)</w:t>
      </w:r>
    </w:p>
    <w:p w:rsidR="005C1E80" w:rsidRPr="005C1E80" w:rsidRDefault="005C1E80" w:rsidP="005C1E80">
      <w:pPr>
        <w:spacing w:after="0" w:line="240" w:lineRule="auto"/>
        <w:rPr>
          <w:rFonts w:ascii="Garamond" w:eastAsia="Times New Roman" w:hAnsi="Garamond" w:cs="Times New Roman"/>
          <w:bCs/>
          <w:i/>
          <w:sz w:val="23"/>
          <w:szCs w:val="23"/>
          <w:lang w:eastAsia="hr-HR"/>
        </w:rPr>
      </w:pPr>
      <w:r w:rsidRPr="005C1E80">
        <w:rPr>
          <w:rFonts w:ascii="Garamond" w:eastAsia="Times New Roman" w:hAnsi="Garamond" w:cs="Times New Roman"/>
          <w:bCs/>
          <w:i/>
          <w:sz w:val="23"/>
          <w:szCs w:val="23"/>
          <w:lang w:eastAsia="hr-HR"/>
        </w:rPr>
        <w:t xml:space="preserve">                                Pravilnik o registru šteta od prirodnih nepogoda NN 65/19</w:t>
      </w:r>
    </w:p>
    <w:p w:rsidR="005C1E80" w:rsidRPr="005C1E80" w:rsidRDefault="005C1E80" w:rsidP="005C1E80">
      <w:pPr>
        <w:spacing w:after="0" w:line="240" w:lineRule="auto"/>
        <w:rPr>
          <w:rFonts w:ascii="Garamond" w:eastAsia="Times New Roman" w:hAnsi="Garamond" w:cs="Times New Roman"/>
          <w:bCs/>
          <w:i/>
          <w:sz w:val="23"/>
          <w:szCs w:val="23"/>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3. Izraditi Plan vježbi za 2027. god</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općinski načelnik</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IN konzalting d.o.o., Stožer CZ,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prosinac 2026.g.</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bCs/>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vrstama i načinu provođenja vježbi operativnih snaga sustava civilne zaštite (NN 49/16)</w:t>
      </w:r>
    </w:p>
    <w:p w:rsidR="005C1E80" w:rsidRPr="005C1E80" w:rsidRDefault="005C1E80" w:rsidP="005C1E80">
      <w:pPr>
        <w:spacing w:after="0" w:line="240" w:lineRule="auto"/>
        <w:rPr>
          <w:rFonts w:ascii="Garamond" w:eastAsia="Times New Roman" w:hAnsi="Garamond" w:cs="Times New Roman"/>
          <w:b/>
          <w:i/>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p>
    <w:p w:rsidR="005C1E80" w:rsidRPr="005C1E80" w:rsidRDefault="005C1E80" w:rsidP="005C1E80">
      <w:pPr>
        <w:spacing w:after="0" w:line="240" w:lineRule="auto"/>
        <w:rPr>
          <w:rFonts w:ascii="Garamond" w:eastAsia="Times New Roman" w:hAnsi="Garamond" w:cs="Times New Roman"/>
          <w:b/>
          <w:bCs/>
          <w:i/>
          <w:iCs/>
          <w:sz w:val="24"/>
          <w:szCs w:val="24"/>
          <w:lang w:eastAsia="hr-HR"/>
        </w:rPr>
      </w:pPr>
      <w:r w:rsidRPr="005C1E80">
        <w:rPr>
          <w:rFonts w:ascii="Garamond" w:eastAsia="Times New Roman" w:hAnsi="Garamond" w:cs="Times New Roman"/>
          <w:b/>
          <w:bCs/>
          <w:i/>
          <w:iCs/>
          <w:sz w:val="24"/>
          <w:szCs w:val="24"/>
          <w:lang w:eastAsia="hr-HR"/>
        </w:rPr>
        <w:t>4. Planirati, organizirati i provesti terensko pokaznu vježbu operativnih snaga sustava civilne zaštite općine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 CZ</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IN konzalting d.o.o., Stručna služba općinsko vijeća i načelnika</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siječanj-ožujak 2026.g.</w:t>
      </w:r>
    </w:p>
    <w:p w:rsidR="005C1E80" w:rsidRPr="005C1E80" w:rsidRDefault="005C1E80" w:rsidP="005C1E80">
      <w:pPr>
        <w:spacing w:after="0" w:line="240" w:lineRule="auto"/>
        <w:rPr>
          <w:rFonts w:ascii="Garamond" w:eastAsia="Times New Roman" w:hAnsi="Garamond" w:cs="Times New Roman"/>
          <w:bCs/>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vrstama i načinu provođenja vježbi operativnih snaga sustava civilne zaštite (NN 49/16)</w:t>
      </w:r>
    </w:p>
    <w:bookmarkEnd w:id="29"/>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5. Ažurirati Plansku dokumentaciju u sustavu civilne zaštite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načelnik stožera CZ</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Jedinstveni upravni odjel, IN konzalting d.o.o.</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kontinuirano 2026.g.</w:t>
      </w:r>
    </w:p>
    <w:p w:rsidR="005C1E80" w:rsidRPr="005C1E80" w:rsidRDefault="005C1E80" w:rsidP="005C1E80">
      <w:pPr>
        <w:spacing w:after="0" w:line="240" w:lineRule="auto"/>
        <w:rPr>
          <w:rFonts w:ascii="Garamond" w:eastAsia="Times New Roman" w:hAnsi="Garamond" w:cs="Times New Roman"/>
          <w:bCs/>
          <w:i/>
          <w:sz w:val="24"/>
          <w:szCs w:val="24"/>
          <w:lang w:eastAsia="hr-HR"/>
        </w:rPr>
      </w:pPr>
      <w:r w:rsidRPr="005C1E80">
        <w:rPr>
          <w:rFonts w:ascii="Garamond" w:eastAsia="Times New Roman" w:hAnsi="Garamond" w:cs="Times New Roman"/>
          <w:sz w:val="24"/>
          <w:szCs w:val="24"/>
          <w:lang w:eastAsia="hr-HR"/>
        </w:rPr>
        <w:t xml:space="preserve">Zakonska osnova: </w:t>
      </w:r>
      <w:r w:rsidRPr="005C1E80">
        <w:rPr>
          <w:rFonts w:ascii="Garamond" w:eastAsia="Times New Roman" w:hAnsi="Garamond" w:cs="Times New Roman"/>
          <w:bCs/>
          <w:i/>
          <w:sz w:val="24"/>
          <w:szCs w:val="24"/>
          <w:lang w:eastAsia="hr-HR"/>
        </w:rPr>
        <w:t>Pravilnik o nositeljima, sadržaju i postupcima izrade planskih dokumenata u civilnoj zaštiti te načinu informiranja javnosti u postupku njihovog donošenja (NN 66/21)</w:t>
      </w:r>
    </w:p>
    <w:p w:rsidR="005C1E80" w:rsidRPr="005C1E80" w:rsidRDefault="005C1E80" w:rsidP="005C1E80">
      <w:pPr>
        <w:spacing w:after="0" w:line="240" w:lineRule="auto"/>
        <w:rPr>
          <w:rFonts w:ascii="Garamond" w:eastAsia="Times New Roman" w:hAnsi="Garamond" w:cs="Times New Roman"/>
          <w:bCs/>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6. Izvršiti postupak popunjavanja postrojbe civilne zaštite opće namjene.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
          <w:sz w:val="24"/>
          <w:szCs w:val="24"/>
          <w:lang w:eastAsia="hr-HR"/>
        </w:rPr>
        <w:t>:</w:t>
      </w:r>
      <w:r w:rsidRPr="005C1E80">
        <w:rPr>
          <w:rFonts w:ascii="Garamond" w:eastAsia="Times New Roman" w:hAnsi="Garamond" w:cs="Times New Roman"/>
          <w:sz w:val="24"/>
          <w:szCs w:val="24"/>
          <w:lang w:eastAsia="hr-HR"/>
        </w:rPr>
        <w:t xml:space="preserve"> Jedinstveni upravni odjel, IN konzalting d.o.o.</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ožujak 2026.g.</w:t>
      </w:r>
    </w:p>
    <w:p w:rsidR="005C1E80" w:rsidRPr="005C1E80" w:rsidRDefault="005C1E80" w:rsidP="005C1E80">
      <w:pPr>
        <w:spacing w:after="0" w:line="240" w:lineRule="auto"/>
        <w:rPr>
          <w:rFonts w:ascii="Garamond" w:eastAsia="Times New Roman" w:hAnsi="Garamond" w:cs="Times New Roman"/>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mobilizaciji, uvjetima i načinu rada operativnih snaga sustava civilne zaštite (NN 69/16)</w:t>
      </w:r>
    </w:p>
    <w:p w:rsidR="005C1E80" w:rsidRPr="005C1E80" w:rsidRDefault="005C1E80" w:rsidP="005C1E80">
      <w:pPr>
        <w:spacing w:after="0" w:line="240" w:lineRule="auto"/>
        <w:rPr>
          <w:rFonts w:ascii="Garamond" w:eastAsia="Times New Roman" w:hAnsi="Garamond" w:cs="Times New Roman"/>
          <w:bCs/>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7. Izvršiti postupak raspoređivanja obveznika civilne zaštite na dužnosti povjerenika i zamjenika povjerenika civilne zaštite općine.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
          <w:sz w:val="24"/>
          <w:szCs w:val="24"/>
          <w:lang w:eastAsia="hr-HR"/>
        </w:rPr>
        <w:t>:</w:t>
      </w:r>
      <w:r w:rsidRPr="005C1E80">
        <w:rPr>
          <w:rFonts w:ascii="Garamond" w:eastAsia="Times New Roman" w:hAnsi="Garamond" w:cs="Times New Roman"/>
          <w:sz w:val="24"/>
          <w:szCs w:val="24"/>
          <w:lang w:eastAsia="hr-HR"/>
        </w:rPr>
        <w:t xml:space="preserve"> Jedinstveni upravni odjel, IN konzalting d.o.o.</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srpanj 2026.g.</w:t>
      </w:r>
    </w:p>
    <w:p w:rsidR="005C1E80" w:rsidRPr="005C1E80" w:rsidRDefault="005C1E80" w:rsidP="005C1E80">
      <w:pPr>
        <w:spacing w:after="0" w:line="240" w:lineRule="auto"/>
        <w:rPr>
          <w:rFonts w:ascii="Garamond" w:eastAsia="Times New Roman" w:hAnsi="Garamond" w:cs="Times New Roman"/>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mobilizaciji, uvjetima i načinu rada operativnih snaga sustava civilne zaštite (NN 69/16)</w:t>
      </w:r>
    </w:p>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8. Izvršiti edukaciju članova postrojbe civilne zaštite opće namjene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IN konzalting d.o.o.</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srpanj 2026.g.</w:t>
      </w:r>
    </w:p>
    <w:p w:rsidR="005C1E80" w:rsidRPr="005C1E80" w:rsidRDefault="005C1E80" w:rsidP="005C1E80">
      <w:pPr>
        <w:spacing w:after="0" w:line="240" w:lineRule="auto"/>
        <w:rPr>
          <w:rFonts w:ascii="Garamond" w:eastAsia="Times New Roman" w:hAnsi="Garamond" w:cs="Times New Roman"/>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mobilizaciji, uvjetima i načinu rada operativnih snaga sustava civilne zaštite (NN 69/16)</w:t>
      </w:r>
    </w:p>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9. Izvršiti edukaciju povjerenika i zamjenika povjerenika civilne zaštite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 xml:space="preserve">Suradnici: </w:t>
      </w:r>
      <w:r w:rsidRPr="005C1E80">
        <w:rPr>
          <w:rFonts w:ascii="Garamond" w:eastAsia="Times New Roman" w:hAnsi="Garamond" w:cs="Times New Roman"/>
          <w:bCs/>
          <w:sz w:val="24"/>
          <w:szCs w:val="24"/>
          <w:lang w:eastAsia="hr-HR"/>
        </w:rPr>
        <w:t>Služba civilne zaštite Slavonski Brod</w:t>
      </w:r>
      <w:r w:rsidRPr="005C1E80">
        <w:rPr>
          <w:rFonts w:ascii="Garamond" w:eastAsia="Times New Roman" w:hAnsi="Garamond" w:cs="Times New Roman"/>
          <w:sz w:val="24"/>
          <w:szCs w:val="24"/>
          <w:lang w:eastAsia="hr-HR"/>
        </w:rPr>
        <w:t>, IN konzalting d.o.o.</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srpanj 2026.g.</w:t>
      </w:r>
    </w:p>
    <w:p w:rsidR="005C1E80" w:rsidRPr="005C1E80" w:rsidRDefault="005C1E80" w:rsidP="005C1E80">
      <w:pPr>
        <w:spacing w:after="0" w:line="240" w:lineRule="auto"/>
        <w:rPr>
          <w:rFonts w:ascii="Garamond" w:eastAsia="Times New Roman" w:hAnsi="Garamond" w:cs="Times New Roman"/>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mobilizaciji, uvjetima i načinu rada operativnih snaga sustava civilne zaštite (NN 69/16)</w:t>
      </w:r>
    </w:p>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pacing w:after="0" w:line="240" w:lineRule="auto"/>
        <w:rPr>
          <w:rFonts w:ascii="Garamond" w:eastAsia="Times New Roman" w:hAnsi="Garamond" w:cs="Times New Roman"/>
          <w:b/>
          <w:i/>
          <w:sz w:val="24"/>
          <w:szCs w:val="24"/>
          <w:lang w:eastAsia="hr-HR"/>
        </w:rPr>
      </w:pPr>
      <w:r w:rsidRPr="005C1E80">
        <w:rPr>
          <w:rFonts w:ascii="Garamond" w:eastAsia="Times New Roman" w:hAnsi="Garamond" w:cs="Times New Roman"/>
          <w:b/>
          <w:i/>
          <w:sz w:val="24"/>
          <w:szCs w:val="24"/>
          <w:lang w:eastAsia="hr-HR"/>
        </w:rPr>
        <w:t>10. Izvršiti nabavku osobne zaštitne opreme za članove stožera CZ, članove postrojbe opće namjene, povjerenike i zamjenike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općinski načelnik </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Jedinstveni upravni odjel, načelnik stožera CZ</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ožujak 2026.g.</w:t>
      </w:r>
    </w:p>
    <w:p w:rsidR="005C1E80" w:rsidRPr="005C1E80" w:rsidRDefault="005C1E80" w:rsidP="005C1E80">
      <w:pPr>
        <w:spacing w:after="0" w:line="240" w:lineRule="auto"/>
        <w:rPr>
          <w:rFonts w:ascii="Garamond" w:eastAsia="Times New Roman" w:hAnsi="Garamond" w:cs="Times New Roman"/>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mobilizaciji, uvjetima i načinu rada operativnih snaga sustava civilne zaštite (NN 69/16)</w:t>
      </w:r>
    </w:p>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pacing w:after="0" w:line="240" w:lineRule="auto"/>
        <w:rPr>
          <w:rFonts w:ascii="Garamond" w:eastAsia="Times New Roman" w:hAnsi="Garamond" w:cs="Times New Roman"/>
          <w:b/>
          <w:sz w:val="24"/>
          <w:szCs w:val="24"/>
          <w:lang w:eastAsia="hr-HR"/>
        </w:rPr>
      </w:pPr>
      <w:r w:rsidRPr="005C1E80">
        <w:rPr>
          <w:rFonts w:ascii="Garamond" w:eastAsia="Times New Roman" w:hAnsi="Garamond" w:cs="Times New Roman"/>
          <w:b/>
          <w:sz w:val="24"/>
          <w:szCs w:val="24"/>
          <w:lang w:eastAsia="hr-HR"/>
        </w:rPr>
        <w:t>11. Ugovoriti police osiguranja od posljedica nesretnog slučaja za članove stožera CZ, članove postrojbe opće namjene, povjerenike i zamjenike</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općinski načelnik </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Jedinstveni upravni odjel, načelnik stožera CZ</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siječanj 2026.g.</w:t>
      </w:r>
    </w:p>
    <w:p w:rsidR="005C1E80" w:rsidRPr="005C1E80" w:rsidRDefault="005C1E80" w:rsidP="005C1E80">
      <w:pPr>
        <w:spacing w:after="0" w:line="240" w:lineRule="auto"/>
        <w:rPr>
          <w:rFonts w:ascii="Garamond" w:eastAsia="Times New Roman" w:hAnsi="Garamond" w:cs="Times New Roman"/>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Times New Roman"/>
          <w:bCs/>
          <w:i/>
          <w:sz w:val="24"/>
          <w:szCs w:val="24"/>
          <w:lang w:eastAsia="hr-HR"/>
        </w:rPr>
        <w:t>Pravilnik o mobilizaciji, uvjetima i načinu rada operativnih snaga sustava civilne zaštite (NN 69/16)</w:t>
      </w:r>
    </w:p>
    <w:p w:rsidR="005C1E80" w:rsidRPr="005C1E80" w:rsidRDefault="005C1E80" w:rsidP="005C1E80">
      <w:pPr>
        <w:spacing w:after="0" w:line="240" w:lineRule="auto"/>
        <w:jc w:val="both"/>
        <w:rPr>
          <w:rFonts w:ascii="Garamond" w:eastAsia="Times New Roman" w:hAnsi="Garamond" w:cs="Arial"/>
          <w:color w:val="414145"/>
          <w:sz w:val="24"/>
          <w:szCs w:val="24"/>
          <w:lang w:eastAsia="hr-HR"/>
        </w:rPr>
      </w:pPr>
    </w:p>
    <w:p w:rsidR="005C1E80" w:rsidRPr="005C1E80" w:rsidRDefault="005C1E80" w:rsidP="005C1E80">
      <w:pPr>
        <w:spacing w:after="0" w:line="240" w:lineRule="auto"/>
        <w:jc w:val="both"/>
        <w:rPr>
          <w:rFonts w:ascii="Garamond" w:eastAsia="Times New Roman" w:hAnsi="Garamond" w:cs="Arial"/>
          <w:b/>
          <w:iCs/>
          <w:color w:val="000000"/>
          <w:sz w:val="24"/>
          <w:szCs w:val="24"/>
          <w:lang w:eastAsia="hr-HR"/>
        </w:rPr>
      </w:pPr>
      <w:r w:rsidRPr="005C1E80">
        <w:rPr>
          <w:rFonts w:ascii="Garamond" w:eastAsia="Times New Roman" w:hAnsi="Garamond" w:cs="Arial"/>
          <w:b/>
          <w:iCs/>
          <w:color w:val="000000"/>
          <w:sz w:val="24"/>
          <w:szCs w:val="24"/>
          <w:lang w:eastAsia="hr-HR"/>
        </w:rPr>
        <w:t>12. Ustrojiti i voditi jedinstvenu evidenciju pripadnika operativnih snaga sustava civilne zaštite, te informacijskih baza podataka o operativnim snagama.</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 </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IN konzalting d.o.o.,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 xml:space="preserve">Rok: </w:t>
      </w:r>
      <w:r w:rsidRPr="005C1E80">
        <w:rPr>
          <w:rFonts w:ascii="Garamond" w:eastAsia="Times New Roman" w:hAnsi="Garamond" w:cs="Times New Roman"/>
          <w:sz w:val="24"/>
          <w:szCs w:val="24"/>
          <w:lang w:eastAsia="hr-HR"/>
        </w:rPr>
        <w:t>kontinuirano 2026.g.</w:t>
      </w:r>
    </w:p>
    <w:p w:rsidR="005C1E80" w:rsidRPr="005C1E80" w:rsidRDefault="005C1E80" w:rsidP="005C1E80">
      <w:pPr>
        <w:spacing w:after="0" w:line="240" w:lineRule="auto"/>
        <w:rPr>
          <w:rFonts w:ascii="Garamond" w:eastAsia="Times New Roman" w:hAnsi="Garamond" w:cs="Calibri"/>
          <w:bCs/>
          <w:i/>
          <w:sz w:val="24"/>
          <w:szCs w:val="24"/>
          <w:lang w:eastAsia="hr-HR"/>
        </w:rPr>
      </w:pPr>
      <w:r w:rsidRPr="005C1E80">
        <w:rPr>
          <w:rFonts w:ascii="Garamond" w:eastAsia="Times New Roman" w:hAnsi="Garamond" w:cs="Times New Roman"/>
          <w:b/>
          <w:sz w:val="24"/>
          <w:szCs w:val="24"/>
          <w:lang w:eastAsia="hr-HR"/>
        </w:rPr>
        <w:t>Zakonska osnova:</w:t>
      </w:r>
      <w:r w:rsidRPr="005C1E80">
        <w:rPr>
          <w:rFonts w:ascii="Garamond" w:eastAsia="Times New Roman" w:hAnsi="Garamond" w:cs="Times New Roman"/>
          <w:sz w:val="24"/>
          <w:szCs w:val="24"/>
          <w:lang w:eastAsia="hr-HR"/>
        </w:rPr>
        <w:t xml:space="preserve"> </w:t>
      </w:r>
      <w:r w:rsidRPr="005C1E80">
        <w:rPr>
          <w:rFonts w:ascii="Garamond" w:eastAsia="Times New Roman" w:hAnsi="Garamond" w:cs="Calibri"/>
          <w:bCs/>
          <w:i/>
          <w:sz w:val="24"/>
          <w:szCs w:val="24"/>
          <w:lang w:eastAsia="hr-HR"/>
        </w:rPr>
        <w:t>Pravilnik o vođenju evidencija pripadnika operativnih snaga sustava civilne zaštite (NN 75/16), Pravilnik o vođenju jedinstvene evidencije i informacijskih baza podataka o operativnim snagama, materijalnim sredstvima i opremi operativnih snaga sustava civilne zaštite (NN 99/16)</w:t>
      </w:r>
    </w:p>
    <w:p w:rsidR="005C1E80" w:rsidRPr="005C1E80" w:rsidRDefault="005C1E80" w:rsidP="005C1E80">
      <w:pPr>
        <w:spacing w:after="0" w:line="240" w:lineRule="auto"/>
        <w:rPr>
          <w:rFonts w:ascii="Garamond" w:eastAsia="Times New Roman" w:hAnsi="Garamond" w:cs="Calibri"/>
          <w:bCs/>
          <w:i/>
          <w:sz w:val="24"/>
          <w:szCs w:val="24"/>
          <w:lang w:eastAsia="hr-HR"/>
        </w:rPr>
      </w:pPr>
    </w:p>
    <w:p w:rsidR="005C1E80" w:rsidRPr="005C1E80" w:rsidRDefault="005C1E80" w:rsidP="005C1E80">
      <w:pPr>
        <w:spacing w:after="0" w:line="240" w:lineRule="auto"/>
        <w:jc w:val="both"/>
        <w:rPr>
          <w:rFonts w:ascii="Garamond" w:eastAsia="Times New Roman" w:hAnsi="Garamond" w:cs="Calibri"/>
          <w:b/>
          <w:bCs/>
          <w:sz w:val="24"/>
          <w:szCs w:val="24"/>
          <w:lang w:eastAsia="hr-HR"/>
        </w:rPr>
      </w:pPr>
      <w:r w:rsidRPr="005C1E80">
        <w:rPr>
          <w:rFonts w:ascii="Garamond" w:eastAsia="Times New Roman" w:hAnsi="Garamond" w:cs="Calibri"/>
          <w:b/>
          <w:bCs/>
          <w:sz w:val="24"/>
          <w:szCs w:val="24"/>
          <w:lang w:eastAsia="hr-HR"/>
        </w:rPr>
        <w:t xml:space="preserve">13. </w:t>
      </w:r>
      <w:r w:rsidRPr="005C1E80">
        <w:rPr>
          <w:rFonts w:ascii="Garamond" w:eastAsia="Times New Roman" w:hAnsi="Garamond" w:cs="Times New Roman"/>
          <w:b/>
          <w:sz w:val="24"/>
          <w:szCs w:val="24"/>
          <w:lang w:eastAsia="hr-HR"/>
        </w:rPr>
        <w:t>Uspostaviti komunikacija s građanima, pravnim osobama, udrugama građana, HGSS, Crvenih križem, Vatrogasnim zajednicama, DVD, Službom civilne zaštite oko pravovremenog izvještavanja o nadolazećim opasnostima, te poduzimanju mjera u otklanjanju posljedica velikih nesreća i katastrofa.</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Nositelj:</w:t>
      </w:r>
      <w:r w:rsidRPr="005C1E80">
        <w:rPr>
          <w:rFonts w:ascii="Garamond" w:eastAsia="Times New Roman" w:hAnsi="Garamond" w:cs="Times New Roman"/>
          <w:sz w:val="24"/>
          <w:szCs w:val="24"/>
          <w:lang w:eastAsia="hr-HR"/>
        </w:rPr>
        <w:t xml:space="preserve"> načelnik stožera </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Suradnici:</w:t>
      </w:r>
      <w:r w:rsidRPr="005C1E80">
        <w:rPr>
          <w:rFonts w:ascii="Garamond" w:eastAsia="Times New Roman" w:hAnsi="Garamond" w:cs="Times New Roman"/>
          <w:sz w:val="24"/>
          <w:szCs w:val="24"/>
          <w:lang w:eastAsia="hr-HR"/>
        </w:rPr>
        <w:t xml:space="preserve"> Jedinstveni upravni odjel</w:t>
      </w:r>
    </w:p>
    <w:p w:rsidR="005C1E80" w:rsidRPr="005C1E80" w:rsidRDefault="005C1E80" w:rsidP="005C1E80">
      <w:pPr>
        <w:spacing w:after="0" w:line="240" w:lineRule="auto"/>
        <w:rPr>
          <w:rFonts w:ascii="Garamond" w:eastAsia="Times New Roman" w:hAnsi="Garamond" w:cs="Times New Roman"/>
          <w:sz w:val="24"/>
          <w:szCs w:val="24"/>
          <w:lang w:eastAsia="hr-HR"/>
        </w:rPr>
      </w:pPr>
      <w:r w:rsidRPr="005C1E80">
        <w:rPr>
          <w:rFonts w:ascii="Garamond" w:eastAsia="Times New Roman" w:hAnsi="Garamond" w:cs="Times New Roman"/>
          <w:b/>
          <w:sz w:val="24"/>
          <w:szCs w:val="24"/>
          <w:lang w:eastAsia="hr-HR"/>
        </w:rPr>
        <w:t>Rok:</w:t>
      </w:r>
      <w:r w:rsidRPr="005C1E80">
        <w:rPr>
          <w:rFonts w:ascii="Garamond" w:eastAsia="Times New Roman" w:hAnsi="Garamond" w:cs="Times New Roman"/>
          <w:sz w:val="24"/>
          <w:szCs w:val="24"/>
          <w:lang w:eastAsia="hr-HR"/>
        </w:rPr>
        <w:t xml:space="preserve"> kontinuirano 2026.g.</w:t>
      </w:r>
    </w:p>
    <w:p w:rsidR="005C1E80" w:rsidRPr="005C1E80" w:rsidRDefault="005C1E80" w:rsidP="005C1E80">
      <w:pPr>
        <w:keepNext/>
        <w:spacing w:after="0" w:line="240" w:lineRule="auto"/>
        <w:outlineLvl w:val="3"/>
        <w:rPr>
          <w:rFonts w:ascii="Garamond" w:eastAsia="Times New Roman" w:hAnsi="Garamond" w:cs="Arial"/>
          <w:bCs/>
          <w:color w:val="414145"/>
          <w:sz w:val="24"/>
          <w:szCs w:val="24"/>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0" w:line="240" w:lineRule="auto"/>
        <w:jc w:val="both"/>
        <w:rPr>
          <w:rFonts w:ascii="Garamond" w:eastAsia="Times New Roman" w:hAnsi="Garamond" w:cs="Times New Roman"/>
          <w:b/>
          <w:sz w:val="24"/>
          <w:szCs w:val="24"/>
          <w:lang w:eastAsia="hr-HR"/>
        </w:rPr>
      </w:pPr>
    </w:p>
    <w:p w:rsidR="005C1E80" w:rsidRPr="005C1E80" w:rsidRDefault="005C1E80" w:rsidP="005C1E80">
      <w:pPr>
        <w:spacing w:after="200" w:line="276" w:lineRule="auto"/>
        <w:rPr>
          <w:rFonts w:ascii="Garamond" w:eastAsia="Times New Roman" w:hAnsi="Garamond" w:cs="Times New Roman"/>
          <w:lang w:eastAsia="hr-HR"/>
        </w:rPr>
      </w:pPr>
      <w:r w:rsidRPr="005C1E80">
        <w:rPr>
          <w:rFonts w:ascii="Garamond" w:eastAsia="Times New Roman" w:hAnsi="Garamond" w:cs="Times New Roman"/>
          <w:sz w:val="28"/>
          <w:szCs w:val="28"/>
          <w:lang w:eastAsia="hr-HR"/>
        </w:rPr>
        <w:t>PREGLED FINANCIJSKIH UČINAKA SUSTAVA CIVILNE ZAŠTITE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42"/>
        <w:gridCol w:w="3631"/>
        <w:gridCol w:w="1843"/>
        <w:gridCol w:w="1843"/>
        <w:gridCol w:w="1918"/>
      </w:tblGrid>
      <w:tr w:rsidR="005C1E80" w:rsidRPr="005C1E80" w:rsidTr="00F57898">
        <w:trPr>
          <w:trHeight w:val="20"/>
          <w:jc w:val="center"/>
        </w:trPr>
        <w:tc>
          <w:tcPr>
            <w:tcW w:w="842" w:type="dxa"/>
            <w:shd w:val="clear" w:color="auto" w:fill="D9D9D9"/>
            <w:vAlign w:val="center"/>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Red  broj</w:t>
            </w:r>
          </w:p>
        </w:tc>
        <w:tc>
          <w:tcPr>
            <w:tcW w:w="3631" w:type="dxa"/>
            <w:shd w:val="clear" w:color="auto" w:fill="D9D9D9"/>
            <w:vAlign w:val="center"/>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OPIS POZICIJE</w:t>
            </w:r>
          </w:p>
        </w:tc>
        <w:tc>
          <w:tcPr>
            <w:tcW w:w="1843" w:type="dxa"/>
            <w:shd w:val="clear" w:color="auto" w:fill="D9D9D9"/>
            <w:vAlign w:val="center"/>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2026.g.</w:t>
            </w:r>
          </w:p>
        </w:tc>
        <w:tc>
          <w:tcPr>
            <w:tcW w:w="1843" w:type="dxa"/>
            <w:shd w:val="clear" w:color="auto" w:fill="D9D9D9"/>
            <w:vAlign w:val="center"/>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2027.g.</w:t>
            </w:r>
          </w:p>
        </w:tc>
        <w:tc>
          <w:tcPr>
            <w:tcW w:w="1918" w:type="dxa"/>
            <w:shd w:val="clear" w:color="auto" w:fill="D9D9D9"/>
            <w:vAlign w:val="center"/>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2028.g.</w:t>
            </w:r>
          </w:p>
        </w:tc>
      </w:tr>
      <w:tr w:rsidR="005C1E80" w:rsidRPr="005C1E80" w:rsidTr="00F57898">
        <w:trPr>
          <w:cantSplit/>
          <w:trHeight w:val="20"/>
          <w:jc w:val="center"/>
        </w:trPr>
        <w:tc>
          <w:tcPr>
            <w:tcW w:w="842" w:type="dxa"/>
            <w:vMerge w:val="restart"/>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1.</w:t>
            </w:r>
          </w:p>
        </w:tc>
        <w:tc>
          <w:tcPr>
            <w:tcW w:w="9235" w:type="dxa"/>
            <w:gridSpan w:val="4"/>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STOŽER CIVILNE ZAŠTITE I POSTROJBE CIVILNE ZAŠTITE</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b/>
                <w:bCs/>
                <w:lang w:eastAsia="hr-HR"/>
              </w:rPr>
            </w:pPr>
            <w:r w:rsidRPr="005C1E80">
              <w:rPr>
                <w:rFonts w:ascii="Calibri" w:eastAsia="Times New Roman" w:hAnsi="Calibri" w:cs="Calibri"/>
                <w:lang w:eastAsia="hr-HR"/>
              </w:rPr>
              <w:t xml:space="preserve">Osiguranje uvjeta za evakuaciju, zbrinjavanje i sklanjanje stanovništva </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700,00</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700,00</w:t>
            </w: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700,00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b/>
                <w:bCs/>
                <w:lang w:eastAsia="hr-HR"/>
              </w:rPr>
            </w:pPr>
            <w:r w:rsidRPr="005C1E80">
              <w:rPr>
                <w:rFonts w:ascii="Calibri" w:eastAsia="Times New Roman" w:hAnsi="Calibri" w:cs="Calibri"/>
                <w:lang w:eastAsia="hr-HR"/>
              </w:rPr>
              <w:t>Stožer civilne zaštite– odore, veza, edukacija</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b/>
                <w:bCs/>
                <w:lang w:eastAsia="hr-HR"/>
              </w:rPr>
            </w:pPr>
            <w:r w:rsidRPr="005C1E80">
              <w:rPr>
                <w:rFonts w:ascii="Calibri" w:eastAsia="Times New Roman" w:hAnsi="Calibri" w:cs="Calibri"/>
                <w:lang w:eastAsia="hr-HR"/>
              </w:rPr>
              <w:t xml:space="preserve">Postrojbe civilne zaštite – odora, edukacija </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lang w:eastAsia="hr-HR"/>
              </w:rPr>
            </w:pPr>
            <w:r w:rsidRPr="005C1E80">
              <w:rPr>
                <w:rFonts w:ascii="Calibri" w:eastAsia="Times New Roman" w:hAnsi="Calibri" w:cs="Calibri"/>
                <w:lang w:eastAsia="hr-HR"/>
              </w:rPr>
              <w:t xml:space="preserve">Procjena rizika od velikih nesreća, </w:t>
            </w:r>
          </w:p>
          <w:p w:rsidR="005C1E80" w:rsidRPr="005C1E80" w:rsidRDefault="005C1E80" w:rsidP="005C1E80">
            <w:pPr>
              <w:spacing w:after="0" w:line="240" w:lineRule="auto"/>
              <w:jc w:val="center"/>
              <w:rPr>
                <w:rFonts w:ascii="Calibri" w:eastAsia="Times New Roman" w:hAnsi="Calibri" w:cs="Calibri"/>
                <w:b/>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1500,00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lang w:eastAsia="hr-HR"/>
              </w:rPr>
            </w:pPr>
            <w:r w:rsidRPr="005C1E80">
              <w:rPr>
                <w:rFonts w:ascii="Calibri" w:eastAsia="Times New Roman" w:hAnsi="Calibri" w:cs="Calibri"/>
                <w:lang w:eastAsia="hr-HR"/>
              </w:rPr>
              <w:t>Plan djelovanja sustava CZ</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1600,00</w:t>
            </w: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b/>
                <w:bCs/>
                <w:lang w:eastAsia="hr-HR"/>
              </w:rPr>
            </w:pPr>
            <w:r w:rsidRPr="005C1E80">
              <w:rPr>
                <w:rFonts w:ascii="Calibri" w:eastAsia="Times New Roman" w:hAnsi="Calibri" w:cs="Calibri"/>
                <w:lang w:eastAsia="hr-HR"/>
              </w:rPr>
              <w:t>Vježba operativnih snaga zaštite i spašavanja</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lang w:eastAsia="hr-HR"/>
              </w:rPr>
            </w:pPr>
            <w:r w:rsidRPr="005C1E80">
              <w:rPr>
                <w:rFonts w:ascii="Calibri" w:eastAsia="Times New Roman" w:hAnsi="Calibri" w:cs="Calibri"/>
                <w:lang w:eastAsia="hr-HR"/>
              </w:rPr>
              <w:t>Povjerenici civilne zaštite, voditelji objekata za smještaj</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b/>
                <w:bCs/>
                <w:lang w:eastAsia="hr-HR"/>
              </w:rPr>
            </w:pPr>
            <w:r w:rsidRPr="005C1E80">
              <w:rPr>
                <w:rFonts w:ascii="Calibri" w:eastAsia="Times New Roman" w:hAnsi="Calibri" w:cs="Calibri"/>
                <w:lang w:eastAsia="hr-HR"/>
              </w:rPr>
              <w:t>Materijalna i tehnička oprema operativnih snaga</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b/>
                <w:bCs/>
                <w:lang w:eastAsia="hr-HR"/>
              </w:rPr>
            </w:pPr>
            <w:r w:rsidRPr="005C1E80">
              <w:rPr>
                <w:rFonts w:ascii="Calibri" w:eastAsia="Times New Roman" w:hAnsi="Calibri" w:cs="Calibri"/>
                <w:lang w:eastAsia="hr-HR"/>
              </w:rPr>
              <w:t xml:space="preserve">Redovno tekuće ažuriranje priloga i podataka iz sadržaja dokumenata </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1800,00</w:t>
            </w: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Calibri" w:eastAsia="Times New Roman" w:hAnsi="Calibri" w:cs="Times New Roman"/>
                <w:lang w:eastAsia="hr-HR"/>
              </w:rPr>
              <w:t>1800,00</w:t>
            </w: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1800,00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Premije osiguranja za operativne snage</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120,00</w:t>
            </w: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Calibri" w:eastAsia="Times New Roman" w:hAnsi="Calibri" w:cs="Times New Roman"/>
                <w:lang w:eastAsia="hr-HR"/>
              </w:rPr>
              <w:t>120,00</w:t>
            </w: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120,00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Calibri" w:eastAsia="Times New Roman" w:hAnsi="Calibri" w:cs="Calibri"/>
                <w:lang w:eastAsia="hr-HR"/>
              </w:rPr>
              <w:t>Plan djelovanja u području prirodnih nepogoda</w:t>
            </w:r>
          </w:p>
        </w:tc>
        <w:tc>
          <w:tcPr>
            <w:tcW w:w="1843"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250,00</w:t>
            </w: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Calibri" w:eastAsia="Times New Roman" w:hAnsi="Calibri" w:cs="Times New Roman"/>
                <w:lang w:eastAsia="hr-HR"/>
              </w:rPr>
              <w:t>250,00</w:t>
            </w:r>
          </w:p>
        </w:tc>
        <w:tc>
          <w:tcPr>
            <w:tcW w:w="1918" w:type="dxa"/>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Calibri" w:eastAsia="Times New Roman" w:hAnsi="Calibri" w:cs="Times New Roman"/>
                <w:lang w:eastAsia="hr-HR"/>
              </w:rPr>
              <w:t>250,00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Calibri" w:eastAsia="Times New Roman" w:hAnsi="Calibri" w:cs="Calibri"/>
                <w:lang w:eastAsia="hr-HR"/>
              </w:rPr>
              <w:t>Procjena ugroženosti od požara, Plan zaštite od požara</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Cs/>
                <w:lang w:eastAsia="hr-HR"/>
              </w:rPr>
            </w:pPr>
            <w:r w:rsidRPr="005C1E80">
              <w:rPr>
                <w:rFonts w:ascii="Garamond" w:eastAsia="Times New Roman" w:hAnsi="Garamond" w:cs="Calibri"/>
                <w:bCs/>
                <w:lang w:eastAsia="hr-HR"/>
              </w:rPr>
              <w:t>1.000,00</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Calibri" w:eastAsia="Times New Roman" w:hAnsi="Calibri" w:cs="Calibri"/>
                <w:lang w:eastAsia="hr-HR"/>
              </w:rPr>
            </w:pPr>
            <w:r w:rsidRPr="005C1E80">
              <w:rPr>
                <w:rFonts w:ascii="Calibri" w:eastAsia="Times New Roman" w:hAnsi="Calibri" w:cs="Calibri"/>
                <w:lang w:eastAsia="hr-HR"/>
              </w:rPr>
              <w:t>Strategija upravljanja rizicima u poslovanju institucija javnog sektora (proračun)</w:t>
            </w:r>
          </w:p>
        </w:tc>
        <w:tc>
          <w:tcPr>
            <w:tcW w:w="1843" w:type="dxa"/>
            <w:vAlign w:val="center"/>
          </w:tcPr>
          <w:p w:rsidR="005C1E80" w:rsidRPr="005C1E80" w:rsidRDefault="005C1E80" w:rsidP="005C1E80">
            <w:pPr>
              <w:spacing w:after="0" w:line="240" w:lineRule="auto"/>
              <w:rPr>
                <w:rFonts w:ascii="Garamond" w:eastAsia="Times New Roman" w:hAnsi="Garamond" w:cs="Calibri"/>
                <w:bCs/>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UKUPNO:</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5.470,00</w:t>
            </w:r>
          </w:p>
        </w:tc>
        <w:tc>
          <w:tcPr>
            <w:tcW w:w="1843" w:type="dxa"/>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2.870,00</w:t>
            </w: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4.370,00</w:t>
            </w:r>
          </w:p>
        </w:tc>
      </w:tr>
      <w:tr w:rsidR="005C1E80" w:rsidRPr="005C1E80" w:rsidTr="00F57898">
        <w:trPr>
          <w:cantSplit/>
          <w:trHeight w:val="70"/>
          <w:jc w:val="center"/>
        </w:trPr>
        <w:tc>
          <w:tcPr>
            <w:tcW w:w="842" w:type="dxa"/>
            <w:vMerge w:val="restart"/>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2.</w:t>
            </w:r>
          </w:p>
        </w:tc>
        <w:tc>
          <w:tcPr>
            <w:tcW w:w="9235" w:type="dxa"/>
            <w:gridSpan w:val="4"/>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VATROGASTVO</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lang w:eastAsia="hr-HR"/>
              </w:rPr>
              <w:t>Vatrogasna zajednica</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14.000,00</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18.000,00</w:t>
            </w: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18.000,00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lang w:eastAsia="hr-HR"/>
              </w:rPr>
              <w:t>Dobrovoljne vatrogasne postrojbe</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lang w:eastAsia="hr-HR"/>
              </w:rPr>
              <w:t>Vatrogasna zapovjedništva</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lang w:eastAsia="hr-HR"/>
              </w:rPr>
              <w:t>Procjena ugroženosti i Plan zaštite od požara</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1000,00</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1.000,00</w:t>
            </w: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1.000,00</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UKUPNO:</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15.000,00</w:t>
            </w:r>
          </w:p>
        </w:tc>
        <w:tc>
          <w:tcPr>
            <w:tcW w:w="1843" w:type="dxa"/>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19.000,00</w:t>
            </w: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19.000,00</w:t>
            </w:r>
          </w:p>
        </w:tc>
      </w:tr>
      <w:tr w:rsidR="005C1E80" w:rsidRPr="005C1E80" w:rsidTr="00F57898">
        <w:trPr>
          <w:cantSplit/>
          <w:trHeight w:val="20"/>
          <w:jc w:val="center"/>
        </w:trPr>
        <w:tc>
          <w:tcPr>
            <w:tcW w:w="842" w:type="dxa"/>
            <w:vMerge w:val="restart"/>
            <w:vAlign w:val="center"/>
          </w:tcPr>
          <w:p w:rsidR="005C1E80" w:rsidRPr="005C1E80" w:rsidRDefault="005C1E80" w:rsidP="005C1E80">
            <w:pPr>
              <w:spacing w:after="0" w:line="240" w:lineRule="auto"/>
              <w:jc w:val="center"/>
              <w:rPr>
                <w:rFonts w:ascii="Garamond" w:eastAsia="Times New Roman" w:hAnsi="Garamond" w:cs="Times New Roman"/>
                <w:lang w:eastAsia="hr-HR"/>
              </w:rPr>
            </w:pPr>
            <w:r w:rsidRPr="005C1E80">
              <w:rPr>
                <w:rFonts w:ascii="Garamond" w:eastAsia="Times New Roman" w:hAnsi="Garamond" w:cs="Times New Roman"/>
                <w:lang w:eastAsia="hr-HR"/>
              </w:rPr>
              <w:t>3.</w:t>
            </w:r>
          </w:p>
        </w:tc>
        <w:tc>
          <w:tcPr>
            <w:tcW w:w="9235" w:type="dxa"/>
            <w:gridSpan w:val="4"/>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HGSS STANICA SLAVONSKI BROD</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 xml:space="preserve">Redovne donacije </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663,61</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663,61</w:t>
            </w: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663,61</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Opremanje</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UKUPNO:</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663,61</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663,61</w:t>
            </w:r>
          </w:p>
        </w:tc>
        <w:tc>
          <w:tcPr>
            <w:tcW w:w="1918" w:type="dxa"/>
            <w:vAlign w:val="center"/>
          </w:tcPr>
          <w:p w:rsidR="005C1E80" w:rsidRPr="005C1E80" w:rsidRDefault="005C1E80" w:rsidP="005C1E80">
            <w:pPr>
              <w:spacing w:after="0" w:line="240" w:lineRule="auto"/>
              <w:jc w:val="center"/>
              <w:rPr>
                <w:rFonts w:ascii="Garamond" w:eastAsia="Times New Roman" w:hAnsi="Garamond" w:cs="Calibri"/>
                <w:b/>
                <w:bCs/>
                <w:lang w:eastAsia="hr-HR"/>
              </w:rPr>
            </w:pPr>
            <w:r w:rsidRPr="005C1E80">
              <w:rPr>
                <w:rFonts w:ascii="Garamond" w:eastAsia="Times New Roman" w:hAnsi="Garamond" w:cs="Calibri"/>
                <w:b/>
                <w:bCs/>
                <w:lang w:eastAsia="hr-HR"/>
              </w:rPr>
              <w:t>663,61</w:t>
            </w:r>
          </w:p>
        </w:tc>
      </w:tr>
      <w:tr w:rsidR="005C1E80" w:rsidRPr="005C1E80" w:rsidTr="00F57898">
        <w:trPr>
          <w:cantSplit/>
          <w:trHeight w:val="20"/>
          <w:jc w:val="center"/>
        </w:trPr>
        <w:tc>
          <w:tcPr>
            <w:tcW w:w="842" w:type="dxa"/>
            <w:vMerge w:val="restart"/>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4.</w:t>
            </w:r>
          </w:p>
        </w:tc>
        <w:tc>
          <w:tcPr>
            <w:tcW w:w="9235" w:type="dxa"/>
            <w:gridSpan w:val="4"/>
            <w:vAlign w:val="center"/>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SKLONIŠTA (prostori za sklanjanje)</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Times New Roman"/>
                <w:sz w:val="24"/>
                <w:szCs w:val="24"/>
                <w:lang w:eastAsia="hr-HR"/>
              </w:rPr>
            </w:pPr>
            <w:r w:rsidRPr="005C1E80">
              <w:rPr>
                <w:rFonts w:ascii="Garamond" w:eastAsia="Times New Roman" w:hAnsi="Garamond" w:cs="Times New Roman"/>
                <w:sz w:val="24"/>
                <w:szCs w:val="24"/>
                <w:lang w:eastAsia="hr-HR"/>
              </w:rPr>
              <w:t>Tekuće održavanje</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Times New Roman"/>
                <w:sz w:val="24"/>
                <w:szCs w:val="24"/>
                <w:lang w:eastAsia="hr-HR"/>
              </w:rPr>
            </w:pPr>
            <w:r w:rsidRPr="005C1E80">
              <w:rPr>
                <w:rFonts w:ascii="Garamond" w:eastAsia="Times New Roman" w:hAnsi="Garamond" w:cs="Times New Roman"/>
                <w:sz w:val="24"/>
                <w:szCs w:val="24"/>
                <w:lang w:eastAsia="hr-HR"/>
              </w:rPr>
              <w:t>UKUPNO:</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r w:rsidR="005C1E80" w:rsidRPr="005C1E80" w:rsidTr="00F57898">
        <w:trPr>
          <w:cantSplit/>
          <w:trHeight w:val="20"/>
          <w:jc w:val="center"/>
        </w:trPr>
        <w:tc>
          <w:tcPr>
            <w:tcW w:w="842" w:type="dxa"/>
            <w:vMerge w:val="restart"/>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5.</w:t>
            </w:r>
          </w:p>
        </w:tc>
        <w:tc>
          <w:tcPr>
            <w:tcW w:w="9235" w:type="dxa"/>
            <w:gridSpan w:val="4"/>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UDRUGE GRAĐANA</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NAVESTI KOJE</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UKUPNO:</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r w:rsidR="005C1E80" w:rsidRPr="005C1E80" w:rsidTr="00F57898">
        <w:trPr>
          <w:cantSplit/>
          <w:trHeight w:val="20"/>
          <w:jc w:val="center"/>
        </w:trPr>
        <w:tc>
          <w:tcPr>
            <w:tcW w:w="842" w:type="dxa"/>
            <w:vMerge w:val="restart"/>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6.</w:t>
            </w:r>
          </w:p>
        </w:tc>
        <w:tc>
          <w:tcPr>
            <w:tcW w:w="9235" w:type="dxa"/>
            <w:gridSpan w:val="4"/>
          </w:tcPr>
          <w:p w:rsidR="005C1E80" w:rsidRPr="005C1E80" w:rsidRDefault="005C1E80" w:rsidP="005C1E80">
            <w:pPr>
              <w:spacing w:after="0" w:line="240" w:lineRule="auto"/>
              <w:jc w:val="center"/>
              <w:rPr>
                <w:rFonts w:ascii="Garamond" w:eastAsia="Times New Roman" w:hAnsi="Garamond" w:cs="Calibri"/>
                <w:b/>
                <w:lang w:eastAsia="hr-HR"/>
              </w:rPr>
            </w:pPr>
            <w:r w:rsidRPr="005C1E80">
              <w:rPr>
                <w:rFonts w:ascii="Garamond" w:eastAsia="Times New Roman" w:hAnsi="Garamond" w:cs="Calibri"/>
                <w:b/>
                <w:lang w:eastAsia="hr-HR"/>
              </w:rPr>
              <w:t>SLUŽBE I PRAVNE OSOBE (kojima je zaštita i spašavanje redovna djelatnost)</w:t>
            </w: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NAVESTI KOJE</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r w:rsidR="005C1E80" w:rsidRPr="005C1E80" w:rsidTr="00F57898">
        <w:trPr>
          <w:cantSplit/>
          <w:trHeight w:val="20"/>
          <w:jc w:val="center"/>
        </w:trPr>
        <w:tc>
          <w:tcPr>
            <w:tcW w:w="842" w:type="dxa"/>
            <w:vMerge/>
            <w:vAlign w:val="center"/>
          </w:tcPr>
          <w:p w:rsidR="005C1E80" w:rsidRPr="005C1E80" w:rsidRDefault="005C1E80" w:rsidP="005C1E80">
            <w:pPr>
              <w:spacing w:after="0" w:line="240" w:lineRule="auto"/>
              <w:jc w:val="center"/>
              <w:rPr>
                <w:rFonts w:ascii="Garamond" w:eastAsia="Times New Roman" w:hAnsi="Garamond" w:cs="Times New Roman"/>
                <w:b/>
                <w:bCs/>
                <w:lang w:eastAsia="hr-HR"/>
              </w:rPr>
            </w:pPr>
          </w:p>
        </w:tc>
        <w:tc>
          <w:tcPr>
            <w:tcW w:w="3631" w:type="dxa"/>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UKUPNO:</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r w:rsidR="005C1E80" w:rsidRPr="005C1E80" w:rsidTr="00F57898">
        <w:trPr>
          <w:cantSplit/>
          <w:trHeight w:val="20"/>
          <w:jc w:val="center"/>
        </w:trPr>
        <w:tc>
          <w:tcPr>
            <w:tcW w:w="4473" w:type="dxa"/>
            <w:gridSpan w:val="2"/>
            <w:vAlign w:val="center"/>
          </w:tcPr>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SVEUKUPNO</w:t>
            </w:r>
          </w:p>
          <w:p w:rsidR="005C1E80" w:rsidRPr="005C1E80" w:rsidRDefault="005C1E80" w:rsidP="005C1E80">
            <w:pPr>
              <w:spacing w:after="0" w:line="240" w:lineRule="auto"/>
              <w:jc w:val="center"/>
              <w:rPr>
                <w:rFonts w:ascii="Garamond" w:eastAsia="Times New Roman" w:hAnsi="Garamond" w:cs="Calibri"/>
                <w:lang w:eastAsia="hr-HR"/>
              </w:rPr>
            </w:pPr>
            <w:r w:rsidRPr="005C1E80">
              <w:rPr>
                <w:rFonts w:ascii="Garamond" w:eastAsia="Times New Roman" w:hAnsi="Garamond" w:cs="Calibri"/>
                <w:lang w:eastAsia="hr-HR"/>
              </w:rPr>
              <w:t>ZA SUSTAV CIVILNE ZAŠTITE</w:t>
            </w: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843"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c>
          <w:tcPr>
            <w:tcW w:w="1918" w:type="dxa"/>
            <w:vAlign w:val="center"/>
          </w:tcPr>
          <w:p w:rsidR="005C1E80" w:rsidRPr="005C1E80" w:rsidRDefault="005C1E80" w:rsidP="005C1E80">
            <w:pPr>
              <w:spacing w:after="0" w:line="240" w:lineRule="auto"/>
              <w:jc w:val="center"/>
              <w:rPr>
                <w:rFonts w:ascii="Garamond" w:eastAsia="Times New Roman" w:hAnsi="Garamond" w:cs="Calibri"/>
                <w:lang w:eastAsia="hr-HR"/>
              </w:rPr>
            </w:pPr>
          </w:p>
        </w:tc>
      </w:tr>
    </w:tbl>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pacing w:after="0" w:line="240" w:lineRule="auto"/>
        <w:rPr>
          <w:rFonts w:ascii="Garamond" w:eastAsia="Times New Roman" w:hAnsi="Garamond" w:cs="Times New Roman"/>
          <w:sz w:val="24"/>
          <w:szCs w:val="24"/>
          <w:lang w:eastAsia="hr-HR"/>
        </w:rPr>
      </w:pPr>
    </w:p>
    <w:p w:rsidR="005C1E80" w:rsidRPr="005C1E80" w:rsidRDefault="005C1E80" w:rsidP="005C1E80">
      <w:pPr>
        <w:shd w:val="clear" w:color="auto" w:fill="FFFFFF"/>
        <w:spacing w:after="0" w:line="240" w:lineRule="auto"/>
        <w:jc w:val="both"/>
        <w:rPr>
          <w:rFonts w:ascii="Garamond" w:eastAsia="Calibri" w:hAnsi="Garamond" w:cs="Calibri"/>
          <w:spacing w:val="-5"/>
          <w:sz w:val="24"/>
          <w:szCs w:val="24"/>
        </w:rPr>
      </w:pPr>
      <w:r w:rsidRPr="005C1E80">
        <w:rPr>
          <w:rFonts w:ascii="Garamond" w:eastAsia="Calibri" w:hAnsi="Garamond" w:cs="Calibri"/>
          <w:spacing w:val="-5"/>
          <w:sz w:val="24"/>
          <w:szCs w:val="24"/>
        </w:rPr>
        <w:t xml:space="preserve">Klasa:240-01/25-01/01 </w:t>
      </w:r>
      <w:r w:rsidRPr="005C1E80">
        <w:rPr>
          <w:rFonts w:ascii="Garamond" w:eastAsia="Calibri" w:hAnsi="Garamond" w:cs="Calibri"/>
          <w:spacing w:val="-5"/>
          <w:sz w:val="24"/>
          <w:szCs w:val="24"/>
        </w:rPr>
        <w:tab/>
      </w:r>
      <w:r w:rsidRPr="005C1E80">
        <w:rPr>
          <w:rFonts w:ascii="Garamond" w:eastAsia="Calibri" w:hAnsi="Garamond" w:cs="Calibri"/>
          <w:spacing w:val="-5"/>
          <w:sz w:val="24"/>
          <w:szCs w:val="24"/>
        </w:rPr>
        <w:tab/>
      </w:r>
      <w:r w:rsidRPr="005C1E80">
        <w:rPr>
          <w:rFonts w:ascii="Garamond" w:eastAsia="Calibri" w:hAnsi="Garamond" w:cs="Calibri"/>
          <w:spacing w:val="-5"/>
          <w:sz w:val="24"/>
          <w:szCs w:val="24"/>
        </w:rPr>
        <w:tab/>
      </w:r>
      <w:r w:rsidRPr="005C1E80">
        <w:rPr>
          <w:rFonts w:ascii="Garamond" w:eastAsia="Calibri" w:hAnsi="Garamond" w:cs="Calibri"/>
          <w:spacing w:val="-5"/>
          <w:sz w:val="24"/>
          <w:szCs w:val="24"/>
        </w:rPr>
        <w:tab/>
        <w:t xml:space="preserve">    </w:t>
      </w:r>
    </w:p>
    <w:p w:rsidR="005C1E80" w:rsidRPr="005C1E80" w:rsidRDefault="005C1E80" w:rsidP="005C1E80">
      <w:pPr>
        <w:shd w:val="clear" w:color="auto" w:fill="FFFFFF"/>
        <w:spacing w:after="0" w:line="240" w:lineRule="auto"/>
        <w:jc w:val="both"/>
        <w:rPr>
          <w:rFonts w:ascii="Garamond" w:eastAsia="Calibri" w:hAnsi="Garamond" w:cs="Calibri"/>
          <w:sz w:val="24"/>
          <w:szCs w:val="24"/>
        </w:rPr>
      </w:pPr>
      <w:r w:rsidRPr="005C1E80">
        <w:rPr>
          <w:rFonts w:ascii="Garamond" w:eastAsia="Calibri" w:hAnsi="Garamond" w:cs="Calibri"/>
          <w:spacing w:val="-5"/>
          <w:sz w:val="24"/>
          <w:szCs w:val="24"/>
        </w:rPr>
        <w:t>Urbroj: 2178-22-03-25-2</w:t>
      </w:r>
    </w:p>
    <w:p w:rsidR="005C1E80" w:rsidRPr="005C1E80" w:rsidRDefault="005C1E80" w:rsidP="005C1E80">
      <w:pPr>
        <w:shd w:val="clear" w:color="auto" w:fill="FFFFFF"/>
        <w:spacing w:after="0" w:line="240" w:lineRule="auto"/>
        <w:jc w:val="both"/>
        <w:rPr>
          <w:rFonts w:ascii="Garamond" w:eastAsia="Calibri" w:hAnsi="Garamond" w:cs="Calibri"/>
          <w:sz w:val="24"/>
          <w:szCs w:val="24"/>
        </w:rPr>
      </w:pPr>
      <w:r w:rsidRPr="005C1E80">
        <w:rPr>
          <w:rFonts w:ascii="Garamond" w:eastAsia="Calibri" w:hAnsi="Garamond" w:cs="Calibri"/>
          <w:sz w:val="24"/>
          <w:szCs w:val="24"/>
        </w:rPr>
        <w:lastRenderedPageBreak/>
        <w:t>GORNJI BOGIĆEVCI, 22.12.</w:t>
      </w:r>
      <w:r w:rsidRPr="005C1E80">
        <w:rPr>
          <w:rFonts w:ascii="Garamond" w:eastAsia="Calibri" w:hAnsi="Garamond" w:cs="Calibri"/>
          <w:bCs/>
          <w:sz w:val="24"/>
          <w:szCs w:val="24"/>
        </w:rPr>
        <w:t>2025.g</w:t>
      </w:r>
    </w:p>
    <w:p w:rsidR="005C1E80" w:rsidRPr="005C1E80" w:rsidRDefault="005C1E80" w:rsidP="005C1E80">
      <w:pPr>
        <w:spacing w:after="200" w:line="276" w:lineRule="auto"/>
        <w:jc w:val="right"/>
        <w:rPr>
          <w:rFonts w:ascii="Garamond" w:eastAsia="Times New Roman" w:hAnsi="Garamond" w:cs="Times New Roman"/>
          <w:sz w:val="24"/>
          <w:szCs w:val="24"/>
          <w:lang w:eastAsia="hr-HR"/>
        </w:rPr>
      </w:pPr>
      <w:r w:rsidRPr="005C1E80">
        <w:rPr>
          <w:rFonts w:ascii="Garamond" w:eastAsia="Times New Roman" w:hAnsi="Garamond" w:cs="Times New Roman"/>
          <w:sz w:val="24"/>
          <w:szCs w:val="24"/>
          <w:lang w:eastAsia="hr-HR"/>
        </w:rPr>
        <w:t>Predsjednik općinskog vijeća</w:t>
      </w:r>
    </w:p>
    <w:p w:rsidR="005C1E80" w:rsidRPr="005C1E80" w:rsidRDefault="005C1E80" w:rsidP="005C1E80">
      <w:pPr>
        <w:spacing w:after="200" w:line="276" w:lineRule="auto"/>
        <w:jc w:val="right"/>
        <w:rPr>
          <w:rFonts w:ascii="Garamond" w:eastAsia="Times New Roman" w:hAnsi="Garamond" w:cs="Times New Roman"/>
          <w:sz w:val="24"/>
          <w:szCs w:val="24"/>
          <w:lang w:eastAsia="hr-HR"/>
        </w:rPr>
      </w:pPr>
      <w:r w:rsidRPr="005C1E80">
        <w:rPr>
          <w:rFonts w:ascii="Garamond" w:eastAsia="Times New Roman" w:hAnsi="Garamond" w:cs="Times New Roman"/>
          <w:sz w:val="24"/>
          <w:szCs w:val="24"/>
          <w:lang w:eastAsia="hr-HR"/>
        </w:rPr>
        <w:t>_________________________</w:t>
      </w:r>
    </w:p>
    <w:p w:rsidR="005C1E80" w:rsidRDefault="005C1E80" w:rsidP="005C1E80">
      <w:pPr>
        <w:spacing w:after="200" w:line="276" w:lineRule="auto"/>
        <w:rPr>
          <w:rFonts w:ascii="Garamond" w:eastAsia="Times New Roman" w:hAnsi="Garamond" w:cs="Times New Roman"/>
          <w:b/>
          <w:i/>
          <w:lang w:eastAsia="hr-HR"/>
        </w:rPr>
      </w:pPr>
    </w:p>
    <w:p w:rsidR="005C1E80" w:rsidRDefault="005C1E80" w:rsidP="005C1E80">
      <w:pPr>
        <w:spacing w:after="200" w:line="276" w:lineRule="auto"/>
        <w:rPr>
          <w:rFonts w:ascii="Garamond" w:eastAsia="Times New Roman" w:hAnsi="Garamond" w:cs="Times New Roman"/>
          <w:b/>
          <w:i/>
          <w:lang w:eastAsia="hr-HR"/>
        </w:rPr>
      </w:pPr>
    </w:p>
    <w:p w:rsidR="005C1E80" w:rsidRPr="005C1E80" w:rsidRDefault="005C1E80" w:rsidP="005C1E80">
      <w:pPr>
        <w:spacing w:after="200" w:line="276" w:lineRule="auto"/>
        <w:rPr>
          <w:rFonts w:ascii="Garamond" w:eastAsia="Times New Roman" w:hAnsi="Garamond" w:cs="Times New Roman"/>
          <w:b/>
          <w:i/>
          <w:lang w:eastAsia="hr-HR"/>
        </w:rPr>
      </w:pPr>
    </w:p>
    <w:p w:rsidR="005C1E80" w:rsidRDefault="005C1E80" w:rsidP="005C1E80">
      <w:pPr>
        <w:pStyle w:val="Bezproreda"/>
        <w:rPr>
          <w:rFonts w:ascii="Times New Roman" w:hAnsi="Times New Roman" w:cs="Times New Roman"/>
          <w:sz w:val="24"/>
          <w:szCs w:val="24"/>
        </w:rPr>
      </w:pPr>
    </w:p>
    <w:p w:rsidR="005C1E80" w:rsidRDefault="005C1E80" w:rsidP="005C1E80">
      <w:pPr>
        <w:pStyle w:val="Bezproreda"/>
        <w:rPr>
          <w:rFonts w:ascii="Times New Roman" w:hAnsi="Times New Roman" w:cs="Times New Roman"/>
          <w:sz w:val="24"/>
          <w:szCs w:val="24"/>
        </w:rPr>
      </w:pPr>
    </w:p>
    <w:p w:rsidR="005C1E80" w:rsidRPr="005C1E80" w:rsidRDefault="005C1E80" w:rsidP="005C1E80">
      <w:pPr>
        <w:pStyle w:val="Bezproreda"/>
        <w:rPr>
          <w:rFonts w:ascii="Times New Roman" w:hAnsi="Times New Roman" w:cs="Times New Roman"/>
          <w:b/>
          <w:bCs/>
          <w:sz w:val="24"/>
          <w:szCs w:val="24"/>
        </w:rPr>
      </w:pPr>
      <w:r w:rsidRPr="005C1E80">
        <w:rPr>
          <w:rFonts w:ascii="Times New Roman" w:hAnsi="Times New Roman" w:cs="Times New Roman"/>
          <w:b/>
          <w:bCs/>
          <w:sz w:val="24"/>
          <w:szCs w:val="24"/>
        </w:rPr>
        <w:t>49. Smjernice za organizaciju i razvoj sustava civilne zaštite od  2026.- 2029.g</w:t>
      </w:r>
    </w:p>
    <w:p w:rsidR="005C1E80" w:rsidRPr="005C1E80" w:rsidRDefault="005C1E80" w:rsidP="005C1E80">
      <w:pPr>
        <w:spacing w:after="200" w:line="276" w:lineRule="auto"/>
        <w:rPr>
          <w:rFonts w:ascii="Garamond" w:eastAsia="Times New Roman" w:hAnsi="Garamond" w:cs="Times New Roman"/>
          <w:b/>
          <w:i/>
          <w:lang w:eastAsia="hr-HR"/>
        </w:rPr>
      </w:pPr>
    </w:p>
    <w:p w:rsidR="005C1E80" w:rsidRPr="005C1E80" w:rsidRDefault="005C1E80" w:rsidP="005C1E80">
      <w:pPr>
        <w:spacing w:after="200" w:line="276" w:lineRule="auto"/>
        <w:rPr>
          <w:rFonts w:ascii="Garamond" w:eastAsia="Times New Roman" w:hAnsi="Garamond" w:cs="Times New Roman"/>
          <w:b/>
          <w:i/>
          <w:lang w:eastAsia="hr-HR"/>
        </w:rPr>
      </w:pPr>
    </w:p>
    <w:p w:rsidR="005C1E80" w:rsidRDefault="005C1E80" w:rsidP="005C1E80">
      <w:pPr>
        <w:jc w:val="both"/>
        <w:rPr>
          <w:rFonts w:cs="Calibri"/>
          <w:sz w:val="24"/>
          <w:szCs w:val="24"/>
        </w:rPr>
      </w:pPr>
      <w:r>
        <w:rPr>
          <w:rFonts w:cs="Calibri"/>
          <w:sz w:val="24"/>
          <w:szCs w:val="24"/>
        </w:rPr>
        <w:t>Na temelju članka 17. stavak 1. podstavak 1. Zakona o sustavu civilne zaštite („Narodne novine“, broj 82/15, 118/18, 31/20, 20/21, 114/22), članka 49. Pravilnika o nositeljima, sadržaju i postupcima izrade planskih dokumenata u civilnoj zaštiti te načinu informiranja javnosti o postupku njihovog donošenja (NN 66/21)  i članka 39. Statuta Općine Gornji Bogićevci («Službeni vjesnik  br. 2/21), Općinsko vijeće Općine Gornji Bogićevci na  5. sjednici općinskog vijeća, održanoj 22.12.2025., donijelo je</w:t>
      </w:r>
    </w:p>
    <w:p w:rsidR="005C1E80" w:rsidRDefault="005C1E80" w:rsidP="005C1E80">
      <w:pPr>
        <w:rPr>
          <w:rFonts w:cs="Calibri"/>
          <w:sz w:val="24"/>
          <w:szCs w:val="24"/>
        </w:rPr>
      </w:pPr>
    </w:p>
    <w:p w:rsidR="005C1E80" w:rsidRDefault="005C1E80" w:rsidP="005C1E80">
      <w:pPr>
        <w:pStyle w:val="Bezproreda"/>
        <w:jc w:val="center"/>
        <w:rPr>
          <w:rFonts w:cs="Calibri"/>
          <w:b/>
          <w:sz w:val="24"/>
          <w:szCs w:val="24"/>
        </w:rPr>
      </w:pPr>
      <w:r>
        <w:rPr>
          <w:rFonts w:cs="Calibri"/>
          <w:b/>
          <w:sz w:val="24"/>
          <w:szCs w:val="24"/>
        </w:rPr>
        <w:t xml:space="preserve">SMJERNICE ZA ORGANIZACIJU I RAZVOJ SUSTAVA CIVILNE ZAŠTITE OPĆINE GORNJI BOGIĆEVCI ZA ČETVEROGODIŠNJE RAZDOBLJE </w:t>
      </w:r>
    </w:p>
    <w:p w:rsidR="005C1E80" w:rsidRDefault="005C1E80" w:rsidP="005C1E80">
      <w:pPr>
        <w:jc w:val="center"/>
        <w:rPr>
          <w:rFonts w:cs="Calibri"/>
          <w:b/>
          <w:sz w:val="24"/>
          <w:szCs w:val="24"/>
        </w:rPr>
      </w:pPr>
    </w:p>
    <w:p w:rsidR="005C1E80" w:rsidRDefault="005C1E80" w:rsidP="005C1E80">
      <w:pPr>
        <w:rPr>
          <w:rFonts w:cstheme="minorHAnsi"/>
          <w:b/>
          <w:bCs/>
          <w:sz w:val="28"/>
          <w:szCs w:val="28"/>
        </w:rPr>
      </w:pPr>
      <w:r>
        <w:rPr>
          <w:rFonts w:cstheme="minorHAnsi"/>
          <w:b/>
          <w:bCs/>
          <w:sz w:val="28"/>
          <w:szCs w:val="28"/>
        </w:rPr>
        <w:t>Uvod</w:t>
      </w:r>
    </w:p>
    <w:p w:rsidR="005C1E80" w:rsidRDefault="005C1E80" w:rsidP="005C1E80">
      <w:pPr>
        <w:spacing w:after="0" w:line="240" w:lineRule="auto"/>
        <w:jc w:val="both"/>
        <w:rPr>
          <w:rFonts w:cs="Calibri"/>
          <w:sz w:val="24"/>
          <w:szCs w:val="24"/>
        </w:rPr>
      </w:pPr>
      <w:bookmarkStart w:id="30" w:name="_Hlk500138013"/>
    </w:p>
    <w:p w:rsidR="005C1E80" w:rsidRDefault="005C1E80" w:rsidP="005C1E80">
      <w:pPr>
        <w:spacing w:after="0" w:line="240" w:lineRule="auto"/>
        <w:jc w:val="both"/>
        <w:rPr>
          <w:rFonts w:cs="Calibri"/>
          <w:sz w:val="24"/>
          <w:szCs w:val="24"/>
        </w:rPr>
      </w:pPr>
      <w:r>
        <w:rPr>
          <w:rFonts w:cs="Calibri"/>
          <w:sz w:val="24"/>
          <w:szCs w:val="24"/>
        </w:rPr>
        <w:t>Smjernicama se utvrđuju prioriteti lokalne vlasti na području civilne zaštite,</w:t>
      </w:r>
      <w:r>
        <w:rPr>
          <w:rFonts w:cs="Calibri"/>
        </w:rPr>
        <w:t xml:space="preserve"> </w:t>
      </w:r>
      <w:r>
        <w:rPr>
          <w:rFonts w:cs="Calibri"/>
          <w:sz w:val="24"/>
          <w:szCs w:val="24"/>
        </w:rPr>
        <w:t xml:space="preserve">definiraju se pojedinačni ciljevi i sveukupni cilj, konkretni koraci, potrebne mjere poradi kojih se ti koraci utvrđuju prioritetnim u sustavu civilne zaštite u razdoblju za koje se donose i to na svim područjima sustava civilne zaštite. </w:t>
      </w:r>
    </w:p>
    <w:p w:rsidR="005C1E80" w:rsidRDefault="005C1E80" w:rsidP="005C1E80">
      <w:pPr>
        <w:spacing w:after="0" w:line="240" w:lineRule="auto"/>
        <w:jc w:val="both"/>
        <w:rPr>
          <w:rFonts w:cs="Calibri"/>
          <w:sz w:val="24"/>
          <w:szCs w:val="24"/>
        </w:rPr>
      </w:pPr>
    </w:p>
    <w:p w:rsidR="005C1E80" w:rsidRDefault="005C1E80" w:rsidP="005C1E80">
      <w:pPr>
        <w:spacing w:after="0" w:line="240" w:lineRule="auto"/>
        <w:jc w:val="both"/>
        <w:rPr>
          <w:rFonts w:cs="Calibri"/>
          <w:sz w:val="24"/>
          <w:szCs w:val="24"/>
        </w:rPr>
      </w:pPr>
      <w:r>
        <w:rPr>
          <w:rFonts w:cs="Calibri"/>
          <w:sz w:val="24"/>
          <w:szCs w:val="24"/>
        </w:rPr>
        <w:t>Smjernicama se ostvaruju sljedeći ciljevi:</w:t>
      </w:r>
    </w:p>
    <w:p w:rsidR="005C1E80" w:rsidRDefault="005C1E80" w:rsidP="00A66748">
      <w:pPr>
        <w:pStyle w:val="box467970"/>
        <w:numPr>
          <w:ilvl w:val="0"/>
          <w:numId w:val="65"/>
        </w:numPr>
        <w:shd w:val="clear" w:color="auto" w:fill="FFFFFF"/>
        <w:spacing w:before="0" w:beforeAutospacing="0" w:after="48" w:afterAutospacing="0"/>
        <w:jc w:val="both"/>
        <w:textAlignment w:val="baseline"/>
        <w:rPr>
          <w:rFonts w:ascii="Calibri" w:hAnsi="Calibri" w:cs="Calibri"/>
          <w:color w:val="231F20"/>
        </w:rPr>
      </w:pPr>
      <w:r>
        <w:rPr>
          <w:rFonts w:ascii="Calibri" w:hAnsi="Calibri" w:cs="Calibri"/>
          <w:color w:val="231F20"/>
        </w:rPr>
        <w:t>na temelju procjena rizika utvrđuju prioritetne preventivne mjere, dinamika i način njihovog provođenja kao i javne politike upravljanja rizicima, odnosno smanjivanja ranjivosti kategorija društvenih vrijednosti koje su na području primjene izložene štetnim utjecajima prijetnji s nositeljima njihovog provođenja,</w:t>
      </w:r>
    </w:p>
    <w:p w:rsidR="005C1E80" w:rsidRDefault="005C1E80" w:rsidP="00A66748">
      <w:pPr>
        <w:pStyle w:val="box467970"/>
        <w:numPr>
          <w:ilvl w:val="0"/>
          <w:numId w:val="65"/>
        </w:numPr>
        <w:shd w:val="clear" w:color="auto" w:fill="FFFFFF"/>
        <w:spacing w:before="0" w:beforeAutospacing="0" w:after="48" w:afterAutospacing="0"/>
        <w:jc w:val="both"/>
        <w:textAlignment w:val="baseline"/>
        <w:rPr>
          <w:rFonts w:ascii="Calibri" w:hAnsi="Calibri" w:cs="Calibri"/>
          <w:color w:val="231F20"/>
        </w:rPr>
      </w:pPr>
      <w:r>
        <w:rPr>
          <w:rFonts w:ascii="Calibri" w:hAnsi="Calibri" w:cs="Calibri"/>
          <w:color w:val="231F20"/>
        </w:rPr>
        <w:t>na temelju utvrđenih slabosti postojećih kapaciteta sustava civilne zaštite utvrđuje način uspostavljanja kapaciteta za primanje kao i za postupanje po informacijama ranog upozoravanja i razvijaju rješenja na jačanju svijesti za postupanje u velikim nesrećama,</w:t>
      </w:r>
    </w:p>
    <w:p w:rsidR="005C1E80" w:rsidRDefault="005C1E80" w:rsidP="00A66748">
      <w:pPr>
        <w:pStyle w:val="box467970"/>
        <w:numPr>
          <w:ilvl w:val="0"/>
          <w:numId w:val="65"/>
        </w:numPr>
        <w:shd w:val="clear" w:color="auto" w:fill="FFFFFF"/>
        <w:spacing w:before="0" w:beforeAutospacing="0" w:after="48" w:afterAutospacing="0"/>
        <w:jc w:val="both"/>
        <w:textAlignment w:val="baseline"/>
        <w:rPr>
          <w:rFonts w:ascii="Calibri" w:hAnsi="Calibri" w:cs="Calibri"/>
          <w:color w:val="231F20"/>
        </w:rPr>
      </w:pPr>
      <w:r>
        <w:rPr>
          <w:rFonts w:ascii="Calibri" w:hAnsi="Calibri" w:cs="Calibri"/>
          <w:color w:val="231F20"/>
        </w:rPr>
        <w:t>jačanje kompetencija operativnih snaga civilne zaštite u postupanju prema ranjivim skupinama u slučaju velike nesreće i katastrofe (edukacije, vježbe, opremanje),</w:t>
      </w:r>
    </w:p>
    <w:p w:rsidR="005C1E80" w:rsidRDefault="005C1E80" w:rsidP="00A66748">
      <w:pPr>
        <w:pStyle w:val="box467970"/>
        <w:numPr>
          <w:ilvl w:val="0"/>
          <w:numId w:val="65"/>
        </w:numPr>
        <w:shd w:val="clear" w:color="auto" w:fill="FFFFFF"/>
        <w:spacing w:before="0" w:beforeAutospacing="0" w:after="48" w:afterAutospacing="0"/>
        <w:jc w:val="both"/>
        <w:textAlignment w:val="baseline"/>
        <w:rPr>
          <w:rFonts w:ascii="Calibri" w:hAnsi="Calibri" w:cs="Calibri"/>
          <w:color w:val="231F20"/>
        </w:rPr>
      </w:pPr>
      <w:r>
        <w:rPr>
          <w:rFonts w:ascii="Calibri" w:hAnsi="Calibri" w:cs="Calibri"/>
          <w:color w:val="231F20"/>
        </w:rPr>
        <w:lastRenderedPageBreak/>
        <w:t>usmjerava razvoj kapaciteta operativnih snaga sustava civilne zaštite, odnosno operativnih kapaciteta od značaja za reagiranje u velikim nesrećama,</w:t>
      </w:r>
    </w:p>
    <w:p w:rsidR="005C1E80" w:rsidRDefault="005C1E80" w:rsidP="00A66748">
      <w:pPr>
        <w:pStyle w:val="box467970"/>
        <w:numPr>
          <w:ilvl w:val="0"/>
          <w:numId w:val="65"/>
        </w:numPr>
        <w:shd w:val="clear" w:color="auto" w:fill="FFFFFF"/>
        <w:spacing w:before="0" w:beforeAutospacing="0" w:after="48" w:afterAutospacing="0"/>
        <w:jc w:val="both"/>
        <w:textAlignment w:val="baseline"/>
        <w:rPr>
          <w:rFonts w:ascii="Calibri" w:hAnsi="Calibri" w:cs="Calibri"/>
          <w:color w:val="231F20"/>
        </w:rPr>
      </w:pPr>
      <w:r>
        <w:rPr>
          <w:rFonts w:ascii="Calibri" w:hAnsi="Calibri" w:cs="Calibri"/>
          <w:color w:val="231F20"/>
        </w:rPr>
        <w:t>poboljšavaju postupci planiranja i koordiniranja uporabe kapaciteta u velikoj nesreći,</w:t>
      </w:r>
    </w:p>
    <w:p w:rsidR="005C1E80" w:rsidRDefault="005C1E80" w:rsidP="00A66748">
      <w:pPr>
        <w:pStyle w:val="box467970"/>
        <w:numPr>
          <w:ilvl w:val="0"/>
          <w:numId w:val="65"/>
        </w:numPr>
        <w:shd w:val="clear" w:color="auto" w:fill="FFFFFF"/>
        <w:spacing w:before="0" w:beforeAutospacing="0" w:after="48" w:afterAutospacing="0"/>
        <w:jc w:val="both"/>
        <w:textAlignment w:val="baseline"/>
        <w:rPr>
          <w:rFonts w:ascii="Calibri" w:hAnsi="Calibri" w:cs="Calibri"/>
          <w:color w:val="231F20"/>
        </w:rPr>
      </w:pPr>
      <w:r>
        <w:rPr>
          <w:rFonts w:ascii="Calibri" w:hAnsi="Calibri" w:cs="Calibri"/>
          <w:color w:val="231F20"/>
        </w:rPr>
        <w:t>planira osiguravanje financijskih sredstava potrebnih za ostvarivanje prioritetnih razvojnih ciljeva sustava civilne zaštite u razdoblju od četiri godine.</w:t>
      </w: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p w:rsidR="005C1E80" w:rsidRDefault="005C1E80" w:rsidP="005C1E80">
      <w:pPr>
        <w:spacing w:after="0" w:line="240" w:lineRule="auto"/>
        <w:ind w:left="720"/>
        <w:jc w:val="both"/>
        <w:rPr>
          <w:rFonts w:cs="Calibri"/>
          <w:sz w:val="24"/>
          <w:szCs w:val="24"/>
        </w:rPr>
      </w:pPr>
    </w:p>
    <w:bookmarkEnd w:id="30"/>
    <w:p w:rsidR="005C1E80" w:rsidRDefault="005C1E80" w:rsidP="005C1E80">
      <w:pPr>
        <w:pStyle w:val="Razina1"/>
        <w:spacing w:before="120" w:after="120"/>
      </w:pPr>
      <w:r>
        <w:t xml:space="preserve">Dijelovi Procjene rizika, važni za izradu smjernica </w:t>
      </w: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Razina2"/>
        <w:spacing w:before="120" w:after="120" w:line="276" w:lineRule="auto"/>
        <w:ind w:left="709" w:hanging="709"/>
      </w:pPr>
      <w:bookmarkStart w:id="31" w:name="_Hlk16498930"/>
      <w:r>
        <w:t xml:space="preserve"> Odabir jednostavnih prioritetnih prijetnji</w:t>
      </w:r>
    </w:p>
    <w:tbl>
      <w:tblPr>
        <w:tblStyle w:val="Reetkatablice33"/>
        <w:tblW w:w="9039" w:type="dxa"/>
        <w:tblLayout w:type="fixed"/>
        <w:tblLook w:val="04A0"/>
      </w:tblPr>
      <w:tblGrid>
        <w:gridCol w:w="561"/>
        <w:gridCol w:w="2949"/>
        <w:gridCol w:w="5529"/>
      </w:tblGrid>
      <w:tr w:rsidR="005C1E80" w:rsidTr="00F57898">
        <w:trPr>
          <w:trHeight w:val="293"/>
        </w:trPr>
        <w:tc>
          <w:tcPr>
            <w:tcW w:w="3510" w:type="dxa"/>
            <w:gridSpan w:val="2"/>
            <w:vMerge w:val="restart"/>
            <w:tcBorders>
              <w:top w:val="single" w:sz="4" w:space="0" w:color="auto"/>
              <w:left w:val="single" w:sz="4" w:space="0" w:color="auto"/>
              <w:bottom w:val="single" w:sz="4" w:space="0" w:color="auto"/>
              <w:right w:val="single" w:sz="4" w:space="0" w:color="auto"/>
            </w:tcBorders>
            <w:shd w:val="clear" w:color="auto" w:fill="F2F2F2"/>
          </w:tcPr>
          <w:p w:rsidR="005C1E80" w:rsidRDefault="005C1E80" w:rsidP="00F57898">
            <w:pPr>
              <w:rPr>
                <w:i/>
                <w:sz w:val="24"/>
                <w:szCs w:val="24"/>
                <w:lang w:eastAsia="en-US"/>
              </w:rPr>
            </w:pPr>
          </w:p>
          <w:p w:rsidR="005C1E80" w:rsidRDefault="005C1E80" w:rsidP="00F57898">
            <w:pPr>
              <w:rPr>
                <w:i/>
                <w:sz w:val="24"/>
                <w:szCs w:val="24"/>
                <w:lang w:eastAsia="en-US"/>
              </w:rPr>
            </w:pPr>
          </w:p>
          <w:p w:rsidR="005C1E80" w:rsidRDefault="005C1E80" w:rsidP="00F57898">
            <w:pPr>
              <w:rPr>
                <w:i/>
                <w:iCs/>
                <w:sz w:val="24"/>
                <w:szCs w:val="24"/>
                <w:lang w:eastAsia="en-US"/>
              </w:rPr>
            </w:pPr>
            <w:r>
              <w:rPr>
                <w:i/>
                <w:iCs/>
                <w:sz w:val="24"/>
                <w:szCs w:val="24"/>
                <w:lang w:eastAsia="en-US"/>
              </w:rPr>
              <w:t>Jednostavne prioritetne prijetnje</w:t>
            </w:r>
          </w:p>
        </w:tc>
        <w:tc>
          <w:tcPr>
            <w:tcW w:w="5529" w:type="dxa"/>
            <w:vMerge w:val="restart"/>
            <w:tcBorders>
              <w:top w:val="single" w:sz="4" w:space="0" w:color="auto"/>
              <w:left w:val="single" w:sz="4" w:space="0" w:color="auto"/>
              <w:bottom w:val="single" w:sz="4" w:space="0" w:color="auto"/>
              <w:right w:val="single" w:sz="4" w:space="0" w:color="auto"/>
            </w:tcBorders>
            <w:shd w:val="clear" w:color="auto" w:fill="F2F2F2"/>
          </w:tcPr>
          <w:tbl>
            <w:tblPr>
              <w:tblStyle w:val="Reetkatablice33"/>
              <w:tblpPr w:leftFromText="180" w:rightFromText="180" w:vertAnchor="text" w:horzAnchor="margin" w:tblpXSpec="right" w:tblpY="118"/>
              <w:tblOverlap w:val="never"/>
              <w:tblW w:w="1967" w:type="dxa"/>
              <w:tblLayout w:type="fixed"/>
              <w:tblLook w:val="04A0"/>
            </w:tblPr>
            <w:tblGrid>
              <w:gridCol w:w="1967"/>
            </w:tblGrid>
            <w:tr w:rsidR="005C1E80" w:rsidTr="00F57898">
              <w:trPr>
                <w:trHeight w:val="141"/>
              </w:trPr>
              <w:tc>
                <w:tcPr>
                  <w:tcW w:w="1967" w:type="dxa"/>
                  <w:tcBorders>
                    <w:top w:val="single" w:sz="4" w:space="0" w:color="auto"/>
                    <w:left w:val="single" w:sz="4" w:space="0" w:color="auto"/>
                    <w:bottom w:val="single" w:sz="4" w:space="0" w:color="auto"/>
                    <w:right w:val="single" w:sz="4" w:space="0" w:color="auto"/>
                  </w:tcBorders>
                  <w:shd w:val="clear" w:color="auto" w:fill="B6DDE8"/>
                </w:tcPr>
                <w:p w:rsidR="005C1E80" w:rsidRDefault="005C1E80" w:rsidP="00F57898">
                  <w:pPr>
                    <w:autoSpaceDE w:val="0"/>
                    <w:autoSpaceDN w:val="0"/>
                    <w:adjustRightInd w:val="0"/>
                    <w:jc w:val="center"/>
                    <w:rPr>
                      <w:b/>
                      <w:bCs/>
                      <w:i/>
                      <w:iCs/>
                      <w:color w:val="000000"/>
                      <w:sz w:val="18"/>
                      <w:szCs w:val="18"/>
                      <w:lang w:eastAsia="en-US"/>
                    </w:rPr>
                  </w:pPr>
                  <w:r>
                    <w:rPr>
                      <w:b/>
                      <w:bCs/>
                      <w:i/>
                      <w:iCs/>
                      <w:color w:val="000000"/>
                      <w:sz w:val="18"/>
                      <w:szCs w:val="18"/>
                      <w:lang w:eastAsia="zh-CN"/>
                    </w:rPr>
                    <w:t>RH</w:t>
                  </w:r>
                </w:p>
              </w:tc>
            </w:tr>
            <w:tr w:rsidR="005C1E80" w:rsidTr="00F57898">
              <w:trPr>
                <w:trHeight w:val="159"/>
              </w:trPr>
              <w:tc>
                <w:tcPr>
                  <w:tcW w:w="1967" w:type="dxa"/>
                  <w:tcBorders>
                    <w:top w:val="single" w:sz="4" w:space="0" w:color="auto"/>
                    <w:left w:val="single" w:sz="4" w:space="0" w:color="auto"/>
                    <w:bottom w:val="single" w:sz="4" w:space="0" w:color="auto"/>
                    <w:right w:val="single" w:sz="4" w:space="0" w:color="auto"/>
                  </w:tcBorders>
                  <w:shd w:val="clear" w:color="auto" w:fill="D6E3BC"/>
                </w:tcPr>
                <w:p w:rsidR="005C1E80" w:rsidRDefault="005C1E80" w:rsidP="00F57898">
                  <w:pPr>
                    <w:autoSpaceDE w:val="0"/>
                    <w:autoSpaceDN w:val="0"/>
                    <w:adjustRightInd w:val="0"/>
                    <w:jc w:val="center"/>
                    <w:rPr>
                      <w:b/>
                      <w:bCs/>
                      <w:i/>
                      <w:iCs/>
                      <w:color w:val="000000"/>
                      <w:sz w:val="18"/>
                      <w:szCs w:val="18"/>
                      <w:lang w:eastAsia="zh-CN"/>
                    </w:rPr>
                  </w:pPr>
                  <w:r>
                    <w:rPr>
                      <w:b/>
                      <w:bCs/>
                      <w:i/>
                      <w:iCs/>
                      <w:color w:val="000000"/>
                      <w:sz w:val="18"/>
                      <w:szCs w:val="18"/>
                      <w:lang w:eastAsia="zh-CN"/>
                    </w:rPr>
                    <w:t>PSŽ</w:t>
                  </w:r>
                  <w:r>
                    <w:rPr>
                      <w:b/>
                      <w:bCs/>
                      <w:i/>
                      <w:iCs/>
                      <w:color w:val="000000"/>
                      <w:sz w:val="18"/>
                      <w:szCs w:val="18"/>
                      <w:vertAlign w:val="superscript"/>
                      <w:lang w:eastAsia="zh-CN"/>
                    </w:rPr>
                    <w:footnoteReference w:id="1"/>
                  </w:r>
                </w:p>
              </w:tc>
            </w:tr>
            <w:tr w:rsidR="005C1E80" w:rsidTr="00F57898">
              <w:trPr>
                <w:trHeight w:val="149"/>
              </w:trPr>
              <w:tc>
                <w:tcPr>
                  <w:tcW w:w="1967"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jc w:val="center"/>
                    <w:rPr>
                      <w:b/>
                      <w:bCs/>
                      <w:i/>
                      <w:iCs/>
                      <w:color w:val="000000"/>
                      <w:sz w:val="18"/>
                      <w:szCs w:val="18"/>
                      <w:lang w:eastAsia="zh-CN"/>
                    </w:rPr>
                  </w:pPr>
                  <w:r>
                    <w:rPr>
                      <w:b/>
                      <w:bCs/>
                      <w:i/>
                      <w:iCs/>
                      <w:color w:val="000000"/>
                      <w:sz w:val="18"/>
                      <w:szCs w:val="18"/>
                      <w:lang w:eastAsia="zh-CN"/>
                    </w:rPr>
                    <w:t>JLS</w:t>
                  </w:r>
                </w:p>
              </w:tc>
            </w:tr>
          </w:tbl>
          <w:p w:rsidR="005C1E80" w:rsidRDefault="005C1E80" w:rsidP="00F57898">
            <w:pPr>
              <w:rPr>
                <w:i/>
                <w:iCs/>
                <w:sz w:val="24"/>
                <w:szCs w:val="24"/>
                <w:lang w:eastAsia="en-US"/>
              </w:rPr>
            </w:pPr>
            <w:r>
              <w:rPr>
                <w:i/>
                <w:iCs/>
                <w:sz w:val="24"/>
                <w:szCs w:val="24"/>
                <w:lang w:eastAsia="en-US"/>
              </w:rPr>
              <w:t xml:space="preserve">Razina na kojoj je </w:t>
            </w:r>
          </w:p>
          <w:p w:rsidR="005C1E80" w:rsidRDefault="005C1E80" w:rsidP="00F57898">
            <w:pPr>
              <w:rPr>
                <w:lang w:eastAsia="en-US"/>
              </w:rPr>
            </w:pPr>
            <w:r>
              <w:rPr>
                <w:i/>
                <w:iCs/>
                <w:sz w:val="24"/>
                <w:szCs w:val="24"/>
                <w:lang w:eastAsia="en-US"/>
              </w:rPr>
              <w:t>utvrđena prijetnja</w:t>
            </w:r>
          </w:p>
        </w:tc>
      </w:tr>
      <w:tr w:rsidR="005C1E80" w:rsidTr="00F57898">
        <w:trPr>
          <w:trHeight w:val="476"/>
        </w:trPr>
        <w:tc>
          <w:tcPr>
            <w:tcW w:w="3510"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rPr>
                <w:b/>
                <w:bCs/>
                <w:i/>
                <w:color w:val="000000"/>
                <w:sz w:val="24"/>
                <w:szCs w:val="24"/>
                <w:lang w:eastAsia="en-US"/>
              </w:rPr>
            </w:pPr>
          </w:p>
        </w:tc>
        <w:tc>
          <w:tcPr>
            <w:tcW w:w="5529"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rPr>
                <w:b/>
                <w:bCs/>
                <w:i/>
                <w:color w:val="000000"/>
                <w:sz w:val="24"/>
                <w:szCs w:val="24"/>
                <w:lang w:eastAsia="en-US"/>
              </w:rPr>
            </w:pPr>
          </w:p>
        </w:tc>
      </w:tr>
      <w:tr w:rsidR="005C1E80" w:rsidTr="00F57898">
        <w:trPr>
          <w:trHeight w:val="476"/>
        </w:trPr>
        <w:tc>
          <w:tcPr>
            <w:tcW w:w="3510"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rPr>
                <w:b/>
                <w:bCs/>
                <w:i/>
                <w:color w:val="000000"/>
                <w:sz w:val="24"/>
                <w:szCs w:val="24"/>
                <w:lang w:eastAsia="en-US"/>
              </w:rPr>
            </w:pPr>
          </w:p>
        </w:tc>
        <w:tc>
          <w:tcPr>
            <w:tcW w:w="5529"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rPr>
                <w:b/>
                <w:bCs/>
                <w:i/>
                <w:color w:val="000000"/>
                <w:sz w:val="24"/>
                <w:szCs w:val="24"/>
                <w:lang w:eastAsia="en-US"/>
              </w:rPr>
            </w:pPr>
          </w:p>
        </w:tc>
      </w:tr>
      <w:tr w:rsidR="005C1E80" w:rsidTr="00F57898">
        <w:trPr>
          <w:trHeight w:val="476"/>
        </w:trPr>
        <w:tc>
          <w:tcPr>
            <w:tcW w:w="3510" w:type="dxa"/>
            <w:gridSpan w:val="2"/>
            <w:vMerge/>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rPr>
                <w:b/>
                <w:bCs/>
                <w:i/>
                <w:color w:val="000000"/>
                <w:sz w:val="24"/>
                <w:szCs w:val="24"/>
                <w:lang w:eastAsia="en-US"/>
              </w:rPr>
            </w:pPr>
          </w:p>
        </w:tc>
        <w:tc>
          <w:tcPr>
            <w:tcW w:w="5529" w:type="dxa"/>
            <w:vMerge/>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rPr>
                <w:b/>
                <w:bCs/>
                <w:i/>
                <w:color w:val="000000"/>
                <w:sz w:val="24"/>
                <w:szCs w:val="24"/>
                <w:lang w:eastAsia="en-US"/>
              </w:rPr>
            </w:pPr>
          </w:p>
        </w:tc>
      </w:tr>
      <w:tr w:rsidR="005C1E80" w:rsidTr="00F57898">
        <w:trPr>
          <w:trHeight w:val="381"/>
        </w:trPr>
        <w:tc>
          <w:tcPr>
            <w:tcW w:w="561" w:type="dxa"/>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jc w:val="center"/>
              <w:rPr>
                <w:i/>
                <w:iCs/>
                <w:color w:val="000000"/>
                <w:sz w:val="24"/>
                <w:szCs w:val="24"/>
                <w:lang w:eastAsia="en-US"/>
              </w:rPr>
            </w:pPr>
            <w:r>
              <w:rPr>
                <w:i/>
                <w:iCs/>
                <w:color w:val="000000"/>
                <w:sz w:val="24"/>
                <w:szCs w:val="24"/>
                <w:lang w:eastAsia="en-US"/>
              </w:rPr>
              <w:t>r.b.</w:t>
            </w:r>
          </w:p>
        </w:tc>
        <w:tc>
          <w:tcPr>
            <w:tcW w:w="2949" w:type="dxa"/>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jc w:val="center"/>
              <w:rPr>
                <w:i/>
                <w:iCs/>
                <w:color w:val="000000"/>
                <w:sz w:val="24"/>
                <w:szCs w:val="24"/>
                <w:lang w:eastAsia="en-US"/>
              </w:rPr>
            </w:pPr>
            <w:r>
              <w:rPr>
                <w:i/>
                <w:iCs/>
                <w:color w:val="000000"/>
                <w:sz w:val="24"/>
                <w:szCs w:val="24"/>
                <w:lang w:eastAsia="en-US"/>
              </w:rPr>
              <w:t>Prijetnja</w:t>
            </w:r>
          </w:p>
        </w:tc>
        <w:tc>
          <w:tcPr>
            <w:tcW w:w="5529" w:type="dxa"/>
            <w:tcBorders>
              <w:top w:val="single" w:sz="4" w:space="0" w:color="auto"/>
              <w:left w:val="single" w:sz="4" w:space="0" w:color="auto"/>
              <w:bottom w:val="single" w:sz="4" w:space="0" w:color="auto"/>
              <w:right w:val="single" w:sz="4" w:space="0" w:color="auto"/>
            </w:tcBorders>
            <w:shd w:val="clear" w:color="auto" w:fill="F2F2F2"/>
            <w:vAlign w:val="center"/>
          </w:tcPr>
          <w:p w:rsidR="005C1E80" w:rsidRDefault="005C1E80" w:rsidP="00F57898">
            <w:pPr>
              <w:jc w:val="center"/>
              <w:rPr>
                <w:i/>
                <w:iCs/>
                <w:color w:val="000000"/>
                <w:sz w:val="24"/>
                <w:szCs w:val="24"/>
                <w:lang w:eastAsia="en-US"/>
              </w:rPr>
            </w:pPr>
            <w:r>
              <w:rPr>
                <w:i/>
                <w:iCs/>
                <w:color w:val="000000"/>
                <w:sz w:val="24"/>
                <w:szCs w:val="24"/>
                <w:lang w:eastAsia="en-US"/>
              </w:rPr>
              <w:t>Prostor ugroze</w:t>
            </w:r>
          </w:p>
        </w:tc>
      </w:tr>
      <w:tr w:rsidR="005C1E80" w:rsidTr="00F57898">
        <w:trPr>
          <w:trHeight w:val="70"/>
        </w:trPr>
        <w:tc>
          <w:tcPr>
            <w:tcW w:w="561" w:type="dxa"/>
            <w:tcBorders>
              <w:top w:val="single" w:sz="4" w:space="0" w:color="auto"/>
              <w:left w:val="single" w:sz="4" w:space="0" w:color="auto"/>
              <w:bottom w:val="single" w:sz="4" w:space="0" w:color="auto"/>
              <w:right w:val="single" w:sz="4" w:space="0" w:color="auto"/>
            </w:tcBorders>
            <w:shd w:val="clear" w:color="auto" w:fill="B8CCE4"/>
            <w:vAlign w:val="center"/>
          </w:tcPr>
          <w:p w:rsidR="005C1E80" w:rsidRDefault="005C1E80" w:rsidP="00F57898">
            <w:pPr>
              <w:rPr>
                <w:color w:val="000000"/>
                <w:lang w:eastAsia="en-US"/>
              </w:rPr>
            </w:pPr>
            <w:r>
              <w:rPr>
                <w:color w:val="000000"/>
                <w:lang w:eastAsia="en-US"/>
              </w:rPr>
              <w:t>1</w:t>
            </w:r>
          </w:p>
        </w:tc>
        <w:tc>
          <w:tcPr>
            <w:tcW w:w="2949"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Ekstremne temperature – toplinski val</w:t>
            </w:r>
          </w:p>
        </w:tc>
        <w:tc>
          <w:tcPr>
            <w:tcW w:w="5529" w:type="dxa"/>
            <w:tcBorders>
              <w:top w:val="single" w:sz="4" w:space="0" w:color="auto"/>
              <w:left w:val="single" w:sz="4" w:space="0" w:color="auto"/>
              <w:bottom w:val="single" w:sz="4" w:space="0" w:color="auto"/>
              <w:right w:val="single" w:sz="4" w:space="0" w:color="auto"/>
            </w:tcBorders>
            <w:shd w:val="clear" w:color="auto" w:fill="BDD6EE"/>
          </w:tcPr>
          <w:p w:rsidR="005C1E80" w:rsidRDefault="005C1E80" w:rsidP="00F57898">
            <w:pPr>
              <w:autoSpaceDE w:val="0"/>
              <w:autoSpaceDN w:val="0"/>
              <w:adjustRightInd w:val="0"/>
              <w:rPr>
                <w:color w:val="000000"/>
                <w:lang w:eastAsia="en-US"/>
              </w:rPr>
            </w:pPr>
            <w:r>
              <w:rPr>
                <w:color w:val="000000"/>
                <w:lang w:eastAsia="en-US"/>
              </w:rPr>
              <w:t>Područje cijele Općine</w:t>
            </w:r>
          </w:p>
        </w:tc>
      </w:tr>
      <w:tr w:rsidR="005C1E80" w:rsidTr="00F57898">
        <w:trPr>
          <w:trHeight w:val="78"/>
        </w:trPr>
        <w:tc>
          <w:tcPr>
            <w:tcW w:w="561"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2</w:t>
            </w:r>
          </w:p>
        </w:tc>
        <w:tc>
          <w:tcPr>
            <w:tcW w:w="2949"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Poplave – izlijevanje kopnenih vodnih tijela</w:t>
            </w:r>
          </w:p>
        </w:tc>
        <w:tc>
          <w:tcPr>
            <w:tcW w:w="5529" w:type="dxa"/>
            <w:tcBorders>
              <w:top w:val="single" w:sz="4" w:space="0" w:color="auto"/>
              <w:left w:val="single" w:sz="4" w:space="0" w:color="auto"/>
              <w:bottom w:val="single" w:sz="4" w:space="0" w:color="auto"/>
              <w:right w:val="single" w:sz="4" w:space="0" w:color="auto"/>
            </w:tcBorders>
            <w:shd w:val="clear" w:color="auto" w:fill="BDD6EE"/>
          </w:tcPr>
          <w:p w:rsidR="005C1E80" w:rsidRDefault="005C1E80" w:rsidP="00F57898">
            <w:pPr>
              <w:autoSpaceDE w:val="0"/>
              <w:autoSpaceDN w:val="0"/>
              <w:adjustRightInd w:val="0"/>
              <w:rPr>
                <w:color w:val="000000"/>
                <w:lang w:eastAsia="en-US"/>
              </w:rPr>
            </w:pPr>
            <w:r>
              <w:rPr>
                <w:color w:val="000000"/>
                <w:lang w:eastAsia="en-US"/>
              </w:rPr>
              <w:t>Gornji Bogićevci, Kosovac, Ratkovac</w:t>
            </w:r>
          </w:p>
        </w:tc>
      </w:tr>
      <w:tr w:rsidR="005C1E80" w:rsidTr="00F57898">
        <w:trPr>
          <w:trHeight w:val="112"/>
        </w:trPr>
        <w:tc>
          <w:tcPr>
            <w:tcW w:w="561"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3</w:t>
            </w:r>
          </w:p>
        </w:tc>
        <w:tc>
          <w:tcPr>
            <w:tcW w:w="2949"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Epidemije i pandemije</w:t>
            </w:r>
          </w:p>
        </w:tc>
        <w:tc>
          <w:tcPr>
            <w:tcW w:w="5529" w:type="dxa"/>
            <w:tcBorders>
              <w:top w:val="single" w:sz="4" w:space="0" w:color="auto"/>
              <w:left w:val="single" w:sz="4" w:space="0" w:color="auto"/>
              <w:bottom w:val="single" w:sz="4" w:space="0" w:color="auto"/>
              <w:right w:val="single" w:sz="4" w:space="0" w:color="auto"/>
            </w:tcBorders>
            <w:shd w:val="clear" w:color="auto" w:fill="BDD6EE"/>
          </w:tcPr>
          <w:p w:rsidR="005C1E80" w:rsidRDefault="005C1E80" w:rsidP="00F57898">
            <w:pPr>
              <w:autoSpaceDE w:val="0"/>
              <w:autoSpaceDN w:val="0"/>
              <w:adjustRightInd w:val="0"/>
              <w:rPr>
                <w:color w:val="000000"/>
                <w:lang w:eastAsia="en-US"/>
              </w:rPr>
            </w:pPr>
            <w:r>
              <w:rPr>
                <w:color w:val="000000"/>
                <w:lang w:eastAsia="en-US"/>
              </w:rPr>
              <w:t>Područje cijele Općine</w:t>
            </w:r>
          </w:p>
        </w:tc>
      </w:tr>
      <w:tr w:rsidR="005C1E80" w:rsidTr="00F57898">
        <w:trPr>
          <w:trHeight w:val="70"/>
        </w:trPr>
        <w:tc>
          <w:tcPr>
            <w:tcW w:w="561"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4</w:t>
            </w:r>
          </w:p>
        </w:tc>
        <w:tc>
          <w:tcPr>
            <w:tcW w:w="2949" w:type="dxa"/>
            <w:tcBorders>
              <w:top w:val="single" w:sz="4" w:space="0" w:color="auto"/>
              <w:left w:val="single" w:sz="4" w:space="0" w:color="auto"/>
              <w:bottom w:val="single" w:sz="4" w:space="0" w:color="auto"/>
              <w:right w:val="single" w:sz="4" w:space="0" w:color="auto"/>
            </w:tcBorders>
            <w:shd w:val="clear" w:color="auto" w:fill="B8CCE4"/>
          </w:tcPr>
          <w:p w:rsidR="005C1E80" w:rsidRDefault="005C1E80" w:rsidP="00F57898">
            <w:pPr>
              <w:autoSpaceDE w:val="0"/>
              <w:autoSpaceDN w:val="0"/>
              <w:adjustRightInd w:val="0"/>
              <w:rPr>
                <w:color w:val="000000"/>
                <w:lang w:eastAsia="en-US"/>
              </w:rPr>
            </w:pPr>
            <w:r>
              <w:rPr>
                <w:color w:val="000000"/>
                <w:lang w:eastAsia="en-US"/>
              </w:rPr>
              <w:t>Potres</w:t>
            </w:r>
          </w:p>
        </w:tc>
        <w:tc>
          <w:tcPr>
            <w:tcW w:w="5529" w:type="dxa"/>
            <w:tcBorders>
              <w:top w:val="single" w:sz="4" w:space="0" w:color="auto"/>
              <w:left w:val="single" w:sz="4" w:space="0" w:color="auto"/>
              <w:bottom w:val="single" w:sz="4" w:space="0" w:color="auto"/>
              <w:right w:val="single" w:sz="4" w:space="0" w:color="auto"/>
            </w:tcBorders>
            <w:shd w:val="clear" w:color="auto" w:fill="BDD6EE"/>
          </w:tcPr>
          <w:p w:rsidR="005C1E80" w:rsidRDefault="005C1E80" w:rsidP="00F57898">
            <w:pPr>
              <w:autoSpaceDE w:val="0"/>
              <w:autoSpaceDN w:val="0"/>
              <w:adjustRightInd w:val="0"/>
              <w:rPr>
                <w:color w:val="000000"/>
                <w:lang w:eastAsia="en-US"/>
              </w:rPr>
            </w:pPr>
            <w:r>
              <w:rPr>
                <w:color w:val="000000"/>
                <w:lang w:eastAsia="en-US"/>
              </w:rPr>
              <w:t>Područje cijele Općine</w:t>
            </w:r>
          </w:p>
        </w:tc>
      </w:tr>
      <w:tr w:rsidR="005C1E80" w:rsidTr="00F57898">
        <w:trPr>
          <w:trHeight w:val="274"/>
        </w:trPr>
        <w:tc>
          <w:tcPr>
            <w:tcW w:w="561"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5</w:t>
            </w:r>
          </w:p>
        </w:tc>
        <w:tc>
          <w:tcPr>
            <w:tcW w:w="2949"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Suša</w:t>
            </w:r>
          </w:p>
        </w:tc>
        <w:tc>
          <w:tcPr>
            <w:tcW w:w="5529"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Područje cijele Općine</w:t>
            </w:r>
          </w:p>
        </w:tc>
      </w:tr>
      <w:tr w:rsidR="005C1E80" w:rsidTr="00F57898">
        <w:trPr>
          <w:trHeight w:val="274"/>
        </w:trPr>
        <w:tc>
          <w:tcPr>
            <w:tcW w:w="561"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6</w:t>
            </w:r>
          </w:p>
        </w:tc>
        <w:tc>
          <w:tcPr>
            <w:tcW w:w="2949"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 xml:space="preserve">Ekstremne vremenske temeperature - Mraz </w:t>
            </w:r>
          </w:p>
        </w:tc>
        <w:tc>
          <w:tcPr>
            <w:tcW w:w="5529"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Područje cijele Općine</w:t>
            </w:r>
          </w:p>
        </w:tc>
      </w:tr>
      <w:tr w:rsidR="005C1E80" w:rsidTr="00F57898">
        <w:trPr>
          <w:trHeight w:val="70"/>
        </w:trPr>
        <w:tc>
          <w:tcPr>
            <w:tcW w:w="561" w:type="dxa"/>
            <w:tcBorders>
              <w:top w:val="single" w:sz="4" w:space="0" w:color="auto"/>
              <w:left w:val="single" w:sz="4" w:space="0" w:color="auto"/>
              <w:bottom w:val="single" w:sz="4" w:space="0" w:color="auto"/>
              <w:right w:val="single" w:sz="4" w:space="0" w:color="auto"/>
            </w:tcBorders>
            <w:shd w:val="clear" w:color="auto" w:fill="FDE9D9"/>
            <w:vAlign w:val="center"/>
          </w:tcPr>
          <w:p w:rsidR="005C1E80" w:rsidRDefault="005C1E80" w:rsidP="00F57898">
            <w:pPr>
              <w:rPr>
                <w:color w:val="000000"/>
                <w:lang w:eastAsia="en-US"/>
              </w:rPr>
            </w:pPr>
            <w:r>
              <w:rPr>
                <w:color w:val="000000"/>
                <w:lang w:eastAsia="en-US"/>
              </w:rPr>
              <w:t>7</w:t>
            </w:r>
          </w:p>
        </w:tc>
        <w:tc>
          <w:tcPr>
            <w:tcW w:w="2949"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Ekstremne vremenske temperature – olujno nevrijeme s tučom</w:t>
            </w:r>
          </w:p>
        </w:tc>
        <w:tc>
          <w:tcPr>
            <w:tcW w:w="5529" w:type="dxa"/>
            <w:tcBorders>
              <w:top w:val="single" w:sz="4" w:space="0" w:color="auto"/>
              <w:left w:val="single" w:sz="4" w:space="0" w:color="auto"/>
              <w:bottom w:val="single" w:sz="4" w:space="0" w:color="auto"/>
              <w:right w:val="single" w:sz="4" w:space="0" w:color="auto"/>
            </w:tcBorders>
            <w:shd w:val="clear" w:color="auto" w:fill="FDE9D9"/>
          </w:tcPr>
          <w:p w:rsidR="005C1E80" w:rsidRDefault="005C1E80" w:rsidP="00F57898">
            <w:pPr>
              <w:autoSpaceDE w:val="0"/>
              <w:autoSpaceDN w:val="0"/>
              <w:adjustRightInd w:val="0"/>
              <w:rPr>
                <w:color w:val="000000"/>
                <w:lang w:eastAsia="en-US"/>
              </w:rPr>
            </w:pPr>
            <w:r>
              <w:rPr>
                <w:color w:val="000000"/>
                <w:lang w:eastAsia="en-US"/>
              </w:rPr>
              <w:t>Područje cijele Općine</w:t>
            </w:r>
          </w:p>
        </w:tc>
      </w:tr>
      <w:tr w:rsidR="005C1E80" w:rsidTr="00F57898">
        <w:trPr>
          <w:trHeight w:val="254"/>
        </w:trPr>
        <w:tc>
          <w:tcPr>
            <w:tcW w:w="56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8</w:t>
            </w:r>
          </w:p>
        </w:tc>
        <w:tc>
          <w:tcPr>
            <w:tcW w:w="29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Tehničko tehnološke nesreće s opasnim tvarima – industrijske nesreće</w:t>
            </w:r>
          </w:p>
        </w:tc>
        <w:tc>
          <w:tcPr>
            <w:tcW w:w="552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Naselje Dubovac</w:t>
            </w:r>
          </w:p>
        </w:tc>
      </w:tr>
      <w:tr w:rsidR="005C1E80" w:rsidTr="00F57898">
        <w:trPr>
          <w:trHeight w:val="70"/>
        </w:trPr>
        <w:tc>
          <w:tcPr>
            <w:tcW w:w="56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9</w:t>
            </w:r>
          </w:p>
        </w:tc>
        <w:tc>
          <w:tcPr>
            <w:tcW w:w="29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Tehničko – tehnološke nesreće u prometu – nesreće u cestovnom prometu</w:t>
            </w:r>
          </w:p>
        </w:tc>
        <w:tc>
          <w:tcPr>
            <w:tcW w:w="552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Naselje Dubovac</w:t>
            </w:r>
          </w:p>
        </w:tc>
      </w:tr>
      <w:tr w:rsidR="005C1E80" w:rsidTr="00F57898">
        <w:trPr>
          <w:trHeight w:val="70"/>
        </w:trPr>
        <w:tc>
          <w:tcPr>
            <w:tcW w:w="561"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10</w:t>
            </w:r>
          </w:p>
        </w:tc>
        <w:tc>
          <w:tcPr>
            <w:tcW w:w="294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Tehničko – tehnološke nesreće u prometu – nesreće u željezničkom prometu</w:t>
            </w:r>
          </w:p>
        </w:tc>
        <w:tc>
          <w:tcPr>
            <w:tcW w:w="552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rsidR="005C1E80" w:rsidRDefault="005C1E80" w:rsidP="00F57898">
            <w:pPr>
              <w:autoSpaceDE w:val="0"/>
              <w:autoSpaceDN w:val="0"/>
              <w:adjustRightInd w:val="0"/>
              <w:rPr>
                <w:color w:val="000000"/>
                <w:lang w:eastAsia="en-US"/>
              </w:rPr>
            </w:pPr>
            <w:r>
              <w:rPr>
                <w:color w:val="000000"/>
                <w:lang w:eastAsia="en-US"/>
              </w:rPr>
              <w:t>Naselja Dubovac i Kosovac</w:t>
            </w:r>
          </w:p>
        </w:tc>
      </w:tr>
    </w:tbl>
    <w:p w:rsidR="005C1E80" w:rsidRDefault="005C1E80" w:rsidP="005C1E80">
      <w:pPr>
        <w:rPr>
          <w:lang w:eastAsia="zh-CN"/>
        </w:rPr>
      </w:pPr>
    </w:p>
    <w:p w:rsidR="005C1E80" w:rsidRDefault="005C1E80" w:rsidP="005C1E80">
      <w:pPr>
        <w:rPr>
          <w:lang w:eastAsia="zh-CN"/>
        </w:rPr>
      </w:pPr>
    </w:p>
    <w:bookmarkEnd w:id="31"/>
    <w:p w:rsidR="005C1E80" w:rsidRDefault="005C1E80" w:rsidP="005C1E80">
      <w:pPr>
        <w:rPr>
          <w:rFonts w:cs="Calibri"/>
        </w:rPr>
      </w:pPr>
    </w:p>
    <w:p w:rsidR="005C1E80" w:rsidRDefault="005C1E80" w:rsidP="005C1E80">
      <w:pPr>
        <w:rPr>
          <w:rFonts w:cs="Calibri"/>
        </w:rPr>
      </w:pPr>
    </w:p>
    <w:p w:rsidR="005C1E80" w:rsidRDefault="005C1E80" w:rsidP="005C1E80">
      <w:pPr>
        <w:rPr>
          <w:rFonts w:cs="Calibri"/>
        </w:rPr>
      </w:pPr>
    </w:p>
    <w:p w:rsidR="005C1E80" w:rsidRDefault="005C1E80" w:rsidP="005C1E80">
      <w:pPr>
        <w:rPr>
          <w:rFonts w:cs="Calibri"/>
        </w:rPr>
      </w:pPr>
    </w:p>
    <w:p w:rsidR="005C1E80" w:rsidRDefault="005C1E80" w:rsidP="005C1E80">
      <w:pPr>
        <w:rPr>
          <w:rFonts w:cs="Calibri"/>
        </w:rPr>
      </w:pPr>
    </w:p>
    <w:p w:rsidR="005C1E80" w:rsidRDefault="005C1E80" w:rsidP="005C1E80">
      <w:pPr>
        <w:rPr>
          <w:rFonts w:cs="Calibri"/>
        </w:rPr>
      </w:pPr>
    </w:p>
    <w:p w:rsidR="005C1E80" w:rsidRDefault="005C1E80" w:rsidP="005C1E80">
      <w:pPr>
        <w:rPr>
          <w:rFonts w:cs="Calibri"/>
        </w:rPr>
      </w:pPr>
    </w:p>
    <w:p w:rsidR="005C1E80" w:rsidRDefault="005C1E80" w:rsidP="005C1E80">
      <w:pPr>
        <w:pStyle w:val="Razina2"/>
        <w:spacing w:before="120" w:after="120" w:line="276" w:lineRule="auto"/>
        <w:ind w:left="709" w:hanging="709"/>
      </w:pPr>
      <w:bookmarkStart w:id="32" w:name="_Toc21679973"/>
      <w:r>
        <w:t>Matrica rizika s uspoređenim rizicima</w:t>
      </w:r>
      <w:bookmarkEnd w:id="32"/>
    </w:p>
    <w:p w:rsidR="005C1E80" w:rsidRDefault="005C1E80" w:rsidP="005C1E80">
      <w:pPr>
        <w:pStyle w:val="box454509"/>
        <w:shd w:val="clear" w:color="auto" w:fill="FFFFFF"/>
        <w:spacing w:before="0" w:beforeAutospacing="0" w:after="48" w:afterAutospacing="0"/>
        <w:ind w:left="770"/>
        <w:textAlignment w:val="baseline"/>
        <w:rPr>
          <w:rFonts w:ascii="Calibri" w:hAnsi="Calibri" w:cs="Calibri"/>
        </w:rPr>
      </w:pPr>
    </w:p>
    <w:tbl>
      <w:tblPr>
        <w:tblW w:w="998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42"/>
        <w:gridCol w:w="426"/>
        <w:gridCol w:w="637"/>
        <w:gridCol w:w="1615"/>
        <w:gridCol w:w="1433"/>
        <w:gridCol w:w="1701"/>
        <w:gridCol w:w="1559"/>
        <w:gridCol w:w="1475"/>
      </w:tblGrid>
      <w:tr w:rsidR="005C1E80" w:rsidTr="00F57898">
        <w:trPr>
          <w:trHeight w:val="1107"/>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bookmarkStart w:id="33" w:name="_Hlk535833824"/>
            <w:r>
              <w:rPr>
                <w:sz w:val="18"/>
                <w:szCs w:val="18"/>
              </w:rPr>
              <w:t>Katastrofalne </w:t>
            </w:r>
          </w:p>
        </w:tc>
        <w:tc>
          <w:tcPr>
            <w:tcW w:w="426" w:type="dxa"/>
            <w:vMerge w:val="restart"/>
            <w:tcBorders>
              <w:top w:val="single" w:sz="6" w:space="0" w:color="auto"/>
              <w:left w:val="single" w:sz="6" w:space="0" w:color="auto"/>
              <w:bottom w:val="nil"/>
              <w:right w:val="single" w:sz="6" w:space="0" w:color="auto"/>
            </w:tcBorders>
            <w:shd w:val="clear" w:color="auto" w:fill="BFBFBF" w:themeFill="background1" w:themeFillShade="BF"/>
            <w:textDirection w:val="btLr"/>
            <w:vAlign w:val="center"/>
          </w:tcPr>
          <w:p w:rsidR="005C1E80" w:rsidRDefault="005C1E80" w:rsidP="00F57898">
            <w:pPr>
              <w:spacing w:beforeAutospacing="1" w:afterAutospacing="1"/>
              <w:ind w:left="105" w:right="105"/>
              <w:jc w:val="center"/>
              <w:textAlignment w:val="baseline"/>
              <w:rPr>
                <w:rFonts w:ascii="Times New Roman" w:hAnsi="Times New Roman"/>
              </w:rPr>
            </w:pPr>
            <w:r>
              <w:rPr>
                <w:i/>
                <w:iCs/>
              </w:rPr>
              <w:t>Posljedice</w:t>
            </w:r>
            <w:r>
              <w:t> </w:t>
            </w: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5</w:t>
            </w:r>
          </w:p>
        </w:tc>
        <w:tc>
          <w:tcPr>
            <w:tcW w:w="1615"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701"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559"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475"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sz w:val="28"/>
                <w:szCs w:val="28"/>
              </w:rPr>
              <w:t> </w:t>
            </w:r>
          </w:p>
        </w:tc>
      </w:tr>
      <w:tr w:rsidR="005C1E80" w:rsidTr="00F57898">
        <w:trPr>
          <w:trHeight w:val="1123"/>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sz w:val="18"/>
                <w:szCs w:val="18"/>
              </w:rPr>
              <w:t>Značajne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4</w:t>
            </w:r>
          </w:p>
        </w:tc>
        <w:tc>
          <w:tcPr>
            <w:tcW w:w="1615"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b/>
                <w:sz w:val="16"/>
                <w:szCs w:val="16"/>
              </w:rPr>
            </w:pPr>
          </w:p>
          <w:p w:rsidR="005C1E80" w:rsidRDefault="005C1E80" w:rsidP="00F57898">
            <w:pPr>
              <w:spacing w:beforeAutospacing="1" w:afterAutospacing="1"/>
              <w:textAlignment w:val="baseline"/>
              <w:rPr>
                <w:rFonts w:ascii="Times New Roman" w:hAnsi="Times New Roman"/>
              </w:rPr>
            </w:pPr>
          </w:p>
        </w:tc>
        <w:tc>
          <w:tcPr>
            <w:tcW w:w="1433"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rsidR="005C1E80" w:rsidRDefault="005C1E80" w:rsidP="00F57898">
            <w:pPr>
              <w:spacing w:beforeAutospacing="1" w:afterAutospacing="1"/>
              <w:textAlignment w:val="baseline"/>
            </w:pPr>
          </w:p>
        </w:tc>
        <w:tc>
          <w:tcPr>
            <w:tcW w:w="1559" w:type="dxa"/>
            <w:tcBorders>
              <w:top w:val="single" w:sz="6" w:space="0" w:color="auto"/>
              <w:left w:val="single" w:sz="6" w:space="0" w:color="auto"/>
              <w:bottom w:val="single" w:sz="6" w:space="0" w:color="auto"/>
              <w:right w:val="single" w:sz="6" w:space="0" w:color="auto"/>
            </w:tcBorders>
            <w:shd w:val="clear" w:color="auto" w:fill="FF0000"/>
            <w:vAlign w:val="center"/>
          </w:tcPr>
          <w:p w:rsidR="005C1E80" w:rsidRDefault="005C1E80" w:rsidP="00F57898">
            <w:pPr>
              <w:spacing w:beforeAutospacing="1" w:afterAutospacing="1"/>
              <w:textAlignment w:val="baseline"/>
              <w:rPr>
                <w:rFonts w:ascii="Times New Roman" w:hAnsi="Times New Roman"/>
              </w:rPr>
            </w:pPr>
          </w:p>
        </w:tc>
        <w:tc>
          <w:tcPr>
            <w:tcW w:w="1475"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p>
        </w:tc>
      </w:tr>
      <w:tr w:rsidR="005C1E80" w:rsidTr="00F57898">
        <w:trPr>
          <w:trHeight w:val="1239"/>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sz w:val="18"/>
                <w:szCs w:val="18"/>
              </w:rPr>
              <w:t>Umjerene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3</w:t>
            </w:r>
          </w:p>
        </w:tc>
        <w:tc>
          <w:tcPr>
            <w:tcW w:w="1615"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b/>
                <w:sz w:val="16"/>
                <w:szCs w:val="16"/>
              </w:rPr>
            </w:pPr>
            <w:r>
              <w:rPr>
                <w:b/>
                <w:sz w:val="16"/>
                <w:szCs w:val="16"/>
              </w:rPr>
              <w:t>X Nesreće s opasnim tvarima industrijske nesreće</w:t>
            </w:r>
          </w:p>
          <w:p w:rsidR="005C1E80" w:rsidRDefault="005C1E80" w:rsidP="00F57898">
            <w:pPr>
              <w:spacing w:beforeAutospacing="1" w:afterAutospacing="1"/>
              <w:textAlignment w:val="baseline"/>
              <w:rPr>
                <w:b/>
                <w:sz w:val="16"/>
                <w:szCs w:val="16"/>
              </w:rPr>
            </w:pPr>
            <w:r>
              <w:rPr>
                <w:b/>
                <w:sz w:val="16"/>
                <w:szCs w:val="16"/>
              </w:rPr>
              <w:t>X Nesreće s opasnim tvarima željeznički promet</w:t>
            </w:r>
          </w:p>
          <w:p w:rsidR="005C1E80" w:rsidRDefault="005C1E80" w:rsidP="00F57898">
            <w:pPr>
              <w:spacing w:beforeAutospacing="1" w:afterAutospacing="1"/>
              <w:textAlignment w:val="baseline"/>
              <w:rPr>
                <w:b/>
                <w:sz w:val="16"/>
                <w:szCs w:val="16"/>
              </w:rPr>
            </w:pPr>
            <w:r>
              <w:rPr>
                <w:b/>
                <w:sz w:val="16"/>
                <w:szCs w:val="16"/>
              </w:rPr>
              <w:t>X Nesreće s opasnim tvarima cestovni promet</w:t>
            </w:r>
          </w:p>
          <w:p w:rsidR="005C1E80" w:rsidRDefault="005C1E80" w:rsidP="00F57898">
            <w:pPr>
              <w:spacing w:beforeAutospacing="1" w:afterAutospacing="1"/>
              <w:textAlignment w:val="baseline"/>
              <w:rPr>
                <w:b/>
                <w:sz w:val="16"/>
                <w:szCs w:val="16"/>
              </w:rPr>
            </w:pPr>
            <w:r>
              <w:rPr>
                <w:b/>
                <w:sz w:val="16"/>
                <w:szCs w:val="16"/>
              </w:rPr>
              <w:t>X Potres</w:t>
            </w:r>
          </w:p>
          <w:p w:rsidR="005C1E80" w:rsidRDefault="005C1E80" w:rsidP="00F57898">
            <w:pPr>
              <w:spacing w:beforeAutospacing="1" w:afterAutospacing="1"/>
              <w:textAlignment w:val="baseline"/>
              <w:rPr>
                <w:b/>
                <w:sz w:val="16"/>
                <w:szCs w:val="16"/>
              </w:rPr>
            </w:pPr>
          </w:p>
        </w:tc>
        <w:tc>
          <w:tcPr>
            <w:tcW w:w="1433"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Times New Roman" w:hAnsi="Times New Roman"/>
                <w:sz w:val="16"/>
                <w:szCs w:val="16"/>
              </w:rPr>
            </w:pPr>
          </w:p>
        </w:tc>
        <w:tc>
          <w:tcPr>
            <w:tcW w:w="1701"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b/>
                <w:sz w:val="16"/>
                <w:szCs w:val="16"/>
              </w:rPr>
            </w:pPr>
            <w:r>
              <w:rPr>
                <w:b/>
                <w:sz w:val="16"/>
                <w:szCs w:val="16"/>
              </w:rPr>
              <w:t>X Poplave izazvane izlijevanjem kopnenih vodenih tijela</w:t>
            </w:r>
          </w:p>
          <w:p w:rsidR="005C1E80" w:rsidRDefault="005C1E80" w:rsidP="00F57898">
            <w:pPr>
              <w:spacing w:beforeAutospacing="1" w:afterAutospacing="1"/>
              <w:textAlignment w:val="baseline"/>
              <w:rPr>
                <w:rFonts w:ascii="Times New Roman" w:hAnsi="Times New Roman"/>
                <w:sz w:val="16"/>
                <w:szCs w:val="16"/>
              </w:rPr>
            </w:pPr>
            <w:r>
              <w:rPr>
                <w:b/>
                <w:sz w:val="16"/>
                <w:szCs w:val="16"/>
              </w:rPr>
              <w:t>X Tuča</w:t>
            </w:r>
          </w:p>
        </w:tc>
        <w:tc>
          <w:tcPr>
            <w:tcW w:w="1559"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b/>
                <w:sz w:val="16"/>
                <w:szCs w:val="16"/>
              </w:rPr>
            </w:pPr>
            <w:r>
              <w:rPr>
                <w:sz w:val="16"/>
                <w:szCs w:val="16"/>
              </w:rPr>
              <w:t> </w:t>
            </w:r>
            <w:r>
              <w:rPr>
                <w:b/>
                <w:sz w:val="16"/>
                <w:szCs w:val="16"/>
              </w:rPr>
              <w:t>X Toplinski val</w:t>
            </w:r>
          </w:p>
          <w:p w:rsidR="005C1E80" w:rsidRDefault="005C1E80" w:rsidP="00F57898">
            <w:pPr>
              <w:spacing w:beforeAutospacing="1" w:afterAutospacing="1"/>
              <w:textAlignment w:val="baseline"/>
              <w:rPr>
                <w:rFonts w:ascii="Times New Roman" w:hAnsi="Times New Roman"/>
                <w:sz w:val="16"/>
                <w:szCs w:val="16"/>
              </w:rPr>
            </w:pPr>
          </w:p>
        </w:tc>
        <w:tc>
          <w:tcPr>
            <w:tcW w:w="1475"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b/>
                <w:sz w:val="16"/>
                <w:szCs w:val="16"/>
              </w:rPr>
            </w:pPr>
            <w:r>
              <w:rPr>
                <w:b/>
                <w:sz w:val="16"/>
                <w:szCs w:val="16"/>
              </w:rPr>
              <w:t>X Epidemija i pandemija</w:t>
            </w:r>
          </w:p>
          <w:p w:rsidR="005C1E80" w:rsidRDefault="005C1E80" w:rsidP="00F57898">
            <w:pPr>
              <w:spacing w:beforeAutospacing="1" w:afterAutospacing="1"/>
              <w:textAlignment w:val="baseline"/>
              <w:rPr>
                <w:rFonts w:cstheme="minorHAnsi"/>
                <w:sz w:val="18"/>
                <w:szCs w:val="18"/>
              </w:rPr>
            </w:pPr>
          </w:p>
        </w:tc>
      </w:tr>
      <w:tr w:rsidR="005C1E80" w:rsidTr="00F57898">
        <w:trPr>
          <w:trHeight w:val="1257"/>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sz w:val="18"/>
                <w:szCs w:val="18"/>
              </w:rPr>
              <w:t>Malene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2</w:t>
            </w:r>
          </w:p>
        </w:tc>
        <w:tc>
          <w:tcPr>
            <w:tcW w:w="1615" w:type="dxa"/>
            <w:tcBorders>
              <w:top w:val="single" w:sz="6" w:space="0" w:color="auto"/>
              <w:left w:val="single" w:sz="6" w:space="0" w:color="auto"/>
              <w:bottom w:val="single" w:sz="6" w:space="0" w:color="auto"/>
              <w:right w:val="single" w:sz="6" w:space="0" w:color="auto"/>
            </w:tcBorders>
            <w:shd w:val="clear" w:color="auto" w:fill="00B050"/>
            <w:vAlign w:val="center"/>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Times New Roman" w:hAnsi="Times New Roman"/>
                <w:b/>
              </w:rPr>
            </w:pPr>
            <w:r>
              <w:rPr>
                <w:b/>
                <w:sz w:val="28"/>
                <w:szCs w:val="28"/>
              </w:rPr>
              <w:t> </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b/>
                <w:sz w:val="16"/>
                <w:szCs w:val="16"/>
              </w:rPr>
            </w:pPr>
            <w:r>
              <w:rPr>
                <w:b/>
                <w:sz w:val="16"/>
                <w:szCs w:val="16"/>
              </w:rPr>
              <w:t>X Mraz</w:t>
            </w:r>
          </w:p>
          <w:p w:rsidR="005C1E80" w:rsidRDefault="005C1E80" w:rsidP="00F57898">
            <w:pPr>
              <w:spacing w:beforeAutospacing="1" w:afterAutospacing="1"/>
              <w:textAlignment w:val="baseline"/>
              <w:rPr>
                <w:rFonts w:ascii="Times New Roman" w:hAnsi="Times New Roman"/>
                <w:b/>
              </w:rPr>
            </w:pPr>
            <w:r>
              <w:rPr>
                <w:b/>
                <w:sz w:val="16"/>
                <w:szCs w:val="16"/>
              </w:rPr>
              <w:t>X Suša</w:t>
            </w:r>
          </w:p>
        </w:tc>
        <w:tc>
          <w:tcPr>
            <w:tcW w:w="1559"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Times New Roman" w:hAnsi="Times New Roman"/>
                <w:b/>
              </w:rPr>
            </w:pPr>
            <w:r>
              <w:rPr>
                <w:b/>
                <w:sz w:val="16"/>
                <w:szCs w:val="16"/>
              </w:rPr>
              <w:t> </w:t>
            </w:r>
          </w:p>
        </w:tc>
        <w:tc>
          <w:tcPr>
            <w:tcW w:w="1475"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p>
        </w:tc>
      </w:tr>
      <w:tr w:rsidR="005C1E80" w:rsidTr="00F57898">
        <w:trPr>
          <w:trHeight w:val="1431"/>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sz w:val="18"/>
                <w:szCs w:val="18"/>
              </w:rPr>
              <w:t>Neznatne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1</w:t>
            </w:r>
          </w:p>
        </w:tc>
        <w:tc>
          <w:tcPr>
            <w:tcW w:w="1615"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sz w:val="28"/>
                <w:szCs w:val="28"/>
              </w:rPr>
              <w:t> </w:t>
            </w:r>
            <w:r>
              <w:rPr>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after="0" w:line="240" w:lineRule="auto"/>
              <w:rPr>
                <w:rFonts w:ascii="Times New Roman" w:hAnsi="Times New Roman"/>
              </w:rPr>
            </w:pPr>
          </w:p>
        </w:tc>
        <w:tc>
          <w:tcPr>
            <w:tcW w:w="1559"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475"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sz w:val="28"/>
                <w:szCs w:val="28"/>
              </w:rPr>
              <w:t> </w:t>
            </w:r>
          </w:p>
        </w:tc>
      </w:tr>
      <w:tr w:rsidR="005C1E80" w:rsidTr="00F57898">
        <w:trPr>
          <w:trHeight w:val="405"/>
          <w:jc w:val="center"/>
        </w:trPr>
        <w:tc>
          <w:tcPr>
            <w:tcW w:w="1142"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5C1E80" w:rsidRDefault="005C1E80" w:rsidP="00F57898">
            <w:pPr>
              <w:spacing w:beforeAutospacing="1" w:afterAutospacing="1"/>
              <w:textAlignment w:val="baseline"/>
              <w:rPr>
                <w:rFonts w:ascii="Times New Roman" w:hAnsi="Times New Roman"/>
              </w:rPr>
            </w:pPr>
            <w:r>
              <w:rPr>
                <w:b/>
                <w:bCs/>
                <w:i/>
                <w:iCs/>
                <w:sz w:val="28"/>
                <w:szCs w:val="28"/>
              </w:rPr>
              <w:t>Rizik</w:t>
            </w:r>
            <w:r>
              <w:rPr>
                <w:sz w:val="28"/>
                <w:szCs w:val="28"/>
              </w:rPr>
              <w:t>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615"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1</w:t>
            </w:r>
          </w:p>
        </w:tc>
        <w:tc>
          <w:tcPr>
            <w:tcW w:w="1433"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2</w:t>
            </w:r>
          </w:p>
        </w:tc>
        <w:tc>
          <w:tcPr>
            <w:tcW w:w="1701"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3</w:t>
            </w:r>
          </w:p>
        </w:tc>
        <w:tc>
          <w:tcPr>
            <w:tcW w:w="1559"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4</w:t>
            </w:r>
          </w:p>
        </w:tc>
        <w:tc>
          <w:tcPr>
            <w:tcW w:w="1475"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sz w:val="20"/>
              </w:rPr>
              <w:t>5</w:t>
            </w:r>
          </w:p>
        </w:tc>
      </w:tr>
      <w:tr w:rsidR="005C1E80" w:rsidTr="00F57898">
        <w:trPr>
          <w:trHeight w:val="268"/>
          <w:jc w:val="center"/>
        </w:trPr>
        <w:tc>
          <w:tcPr>
            <w:tcW w:w="1142"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8846" w:type="dxa"/>
            <w:gridSpan w:val="7"/>
            <w:tcBorders>
              <w:top w:val="nil"/>
              <w:left w:val="single" w:sz="6" w:space="0" w:color="auto"/>
              <w:bottom w:val="single" w:sz="6" w:space="0" w:color="auto"/>
              <w:right w:val="single" w:sz="6" w:space="0" w:color="auto"/>
            </w:tcBorders>
            <w:shd w:val="clear" w:color="auto" w:fill="BFBFBF" w:themeFill="background1" w:themeFillShade="BF"/>
          </w:tcPr>
          <w:p w:rsidR="005C1E80" w:rsidRDefault="005C1E80" w:rsidP="00F57898">
            <w:pPr>
              <w:spacing w:beforeAutospacing="1" w:afterAutospacing="1"/>
              <w:jc w:val="center"/>
              <w:textAlignment w:val="baseline"/>
              <w:rPr>
                <w:rFonts w:ascii="Times New Roman" w:hAnsi="Times New Roman"/>
              </w:rPr>
            </w:pPr>
            <w:r>
              <w:rPr>
                <w:i/>
                <w:iCs/>
              </w:rPr>
              <w:t>Vjerojatnost</w:t>
            </w:r>
            <w:r>
              <w:t> </w:t>
            </w: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sz w:val="20"/>
              </w:rPr>
              <w:t>Vrlo visok  </w:t>
            </w:r>
          </w:p>
        </w:tc>
        <w:tc>
          <w:tcPr>
            <w:tcW w:w="1063"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5C1E80" w:rsidRDefault="005C1E80" w:rsidP="00F57898">
            <w:pPr>
              <w:spacing w:beforeAutospacing="1" w:afterAutospacing="1"/>
              <w:textAlignment w:val="baseline"/>
              <w:rPr>
                <w:rFonts w:ascii="Times New Roman" w:hAnsi="Times New Roman"/>
              </w:rPr>
            </w:pPr>
            <w:r>
              <w:rPr>
                <w:sz w:val="28"/>
                <w:szCs w:val="28"/>
              </w:rPr>
              <w:t> </w:t>
            </w:r>
          </w:p>
        </w:tc>
        <w:tc>
          <w:tcPr>
            <w:tcW w:w="1615"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sz w:val="18"/>
                <w:szCs w:val="18"/>
              </w:rPr>
              <w:t>Iznimno mala </w:t>
            </w:r>
          </w:p>
        </w:tc>
        <w:tc>
          <w:tcPr>
            <w:tcW w:w="1433"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sz w:val="18"/>
                <w:szCs w:val="18"/>
              </w:rPr>
              <w:t>Mala </w:t>
            </w:r>
          </w:p>
        </w:tc>
        <w:tc>
          <w:tcPr>
            <w:tcW w:w="1701"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sz w:val="18"/>
                <w:szCs w:val="18"/>
              </w:rPr>
              <w:t>Umjerena  </w:t>
            </w:r>
          </w:p>
        </w:tc>
        <w:tc>
          <w:tcPr>
            <w:tcW w:w="1559"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sz w:val="18"/>
                <w:szCs w:val="18"/>
              </w:rPr>
              <w:t>Velika </w:t>
            </w:r>
          </w:p>
        </w:tc>
        <w:tc>
          <w:tcPr>
            <w:tcW w:w="1475"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sz w:val="18"/>
                <w:szCs w:val="18"/>
              </w:rPr>
              <w:t>Iznimno velika </w:t>
            </w: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Times New Roman" w:hAnsi="Times New Roman"/>
              </w:rPr>
            </w:pPr>
            <w:r>
              <w:rPr>
                <w:sz w:val="20"/>
              </w:rPr>
              <w:lastRenderedPageBreak/>
              <w:t>Visok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r>
              <w:rPr>
                <w:sz w:val="20"/>
              </w:rPr>
              <w:t>Umjeren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r w:rsidR="005C1E80" w:rsidTr="00F57898">
        <w:trPr>
          <w:trHeight w:val="273"/>
          <w:jc w:val="center"/>
        </w:trPr>
        <w:tc>
          <w:tcPr>
            <w:tcW w:w="1142"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sz w:val="20"/>
              </w:rPr>
              <w:t>Nizak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bookmarkEnd w:id="33"/>
    </w:tbl>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Razina2"/>
        <w:spacing w:before="120" w:after="120" w:line="276" w:lineRule="auto"/>
        <w:ind w:left="709" w:hanging="709"/>
      </w:pPr>
      <w:r>
        <w:t>Prikaz prijetnji (scenarija) s vrijednostima izračunatih rizika</w:t>
      </w:r>
    </w:p>
    <w:tbl>
      <w:tblPr>
        <w:tblW w:w="998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51"/>
        <w:gridCol w:w="992"/>
        <w:gridCol w:w="1418"/>
        <w:gridCol w:w="5727"/>
      </w:tblGrid>
      <w:tr w:rsidR="005C1E80" w:rsidTr="00F57898">
        <w:trPr>
          <w:jc w:val="center"/>
        </w:trPr>
        <w:tc>
          <w:tcPr>
            <w:tcW w:w="1851"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5C1E80" w:rsidRDefault="005C1E80" w:rsidP="00F57898">
            <w:pPr>
              <w:spacing w:beforeAutospacing="1" w:afterAutospacing="1"/>
              <w:jc w:val="center"/>
              <w:textAlignment w:val="baseline"/>
              <w:rPr>
                <w:rFonts w:ascii="Times New Roman" w:hAnsi="Times New Roman"/>
              </w:rPr>
            </w:pPr>
            <w:r>
              <w:rPr>
                <w:b/>
                <w:bCs/>
                <w:i/>
                <w:iCs/>
                <w:sz w:val="18"/>
                <w:szCs w:val="18"/>
              </w:rPr>
              <w:t>PRIJETNJE</w:t>
            </w:r>
          </w:p>
          <w:p w:rsidR="005C1E80" w:rsidRDefault="005C1E80" w:rsidP="00F57898">
            <w:pPr>
              <w:spacing w:beforeAutospacing="1" w:afterAutospacing="1"/>
              <w:jc w:val="center"/>
              <w:textAlignment w:val="baseline"/>
              <w:rPr>
                <w:rFonts w:ascii="Times New Roman" w:hAnsi="Times New Roman"/>
              </w:rPr>
            </w:pPr>
            <w:r>
              <w:rPr>
                <w:b/>
                <w:bCs/>
                <w:i/>
                <w:iCs/>
                <w:sz w:val="18"/>
                <w:szCs w:val="18"/>
              </w:rPr>
              <w:t>(SCENARIJ)</w:t>
            </w:r>
          </w:p>
        </w:tc>
        <w:tc>
          <w:tcPr>
            <w:tcW w:w="992" w:type="dxa"/>
            <w:tcBorders>
              <w:top w:val="single" w:sz="6" w:space="0" w:color="auto"/>
              <w:left w:val="outset" w:sz="6" w:space="0" w:color="auto"/>
              <w:bottom w:val="single" w:sz="6" w:space="0" w:color="auto"/>
              <w:right w:val="single" w:sz="6" w:space="0" w:color="auto"/>
            </w:tcBorders>
            <w:shd w:val="clear" w:color="auto" w:fill="D9D9D9" w:themeFill="background1" w:themeFillShade="D9"/>
          </w:tcPr>
          <w:p w:rsidR="005C1E80" w:rsidRDefault="005C1E80" w:rsidP="00F57898">
            <w:pPr>
              <w:spacing w:beforeAutospacing="1" w:afterAutospacing="1"/>
              <w:jc w:val="center"/>
              <w:textAlignment w:val="baseline"/>
              <w:rPr>
                <w:rFonts w:ascii="Times New Roman" w:hAnsi="Times New Roman"/>
              </w:rPr>
            </w:pPr>
            <w:r>
              <w:rPr>
                <w:b/>
                <w:bCs/>
                <w:i/>
                <w:iCs/>
                <w:sz w:val="18"/>
                <w:szCs w:val="18"/>
              </w:rPr>
              <w:t>BROJČANA VRIJEDNOST RIZIKA</w:t>
            </w:r>
          </w:p>
        </w:tc>
        <w:tc>
          <w:tcPr>
            <w:tcW w:w="1418" w:type="dxa"/>
            <w:tcBorders>
              <w:top w:val="single" w:sz="6" w:space="0" w:color="auto"/>
              <w:left w:val="outset" w:sz="6" w:space="0" w:color="auto"/>
              <w:bottom w:val="single" w:sz="6" w:space="0" w:color="auto"/>
              <w:right w:val="single" w:sz="6" w:space="0" w:color="auto"/>
            </w:tcBorders>
            <w:shd w:val="clear" w:color="auto" w:fill="D9D9D9" w:themeFill="background1" w:themeFillShade="D9"/>
          </w:tcPr>
          <w:p w:rsidR="005C1E80" w:rsidRDefault="005C1E80" w:rsidP="00F57898">
            <w:pPr>
              <w:spacing w:beforeAutospacing="1" w:afterAutospacing="1"/>
              <w:jc w:val="center"/>
              <w:textAlignment w:val="baseline"/>
              <w:rPr>
                <w:rFonts w:ascii="Times New Roman" w:hAnsi="Times New Roman"/>
              </w:rPr>
            </w:pPr>
            <w:r>
              <w:rPr>
                <w:b/>
                <w:bCs/>
                <w:i/>
                <w:iCs/>
                <w:sz w:val="18"/>
                <w:szCs w:val="18"/>
              </w:rPr>
              <w:t>OCJENA PRIHVATLJIVOSTI</w:t>
            </w:r>
          </w:p>
        </w:tc>
        <w:tc>
          <w:tcPr>
            <w:tcW w:w="5727" w:type="dxa"/>
            <w:tcBorders>
              <w:top w:val="single" w:sz="6" w:space="0" w:color="auto"/>
              <w:left w:val="outset" w:sz="6" w:space="0" w:color="auto"/>
              <w:bottom w:val="single" w:sz="6" w:space="0" w:color="auto"/>
              <w:right w:val="single" w:sz="6" w:space="0" w:color="auto"/>
            </w:tcBorders>
            <w:shd w:val="clear" w:color="auto" w:fill="D9D9D9" w:themeFill="background1" w:themeFillShade="D9"/>
          </w:tcPr>
          <w:p w:rsidR="005C1E80" w:rsidRDefault="005C1E80" w:rsidP="00F57898">
            <w:pPr>
              <w:spacing w:beforeAutospacing="1" w:afterAutospacing="1"/>
              <w:jc w:val="center"/>
              <w:textAlignment w:val="baseline"/>
              <w:rPr>
                <w:rFonts w:ascii="Times New Roman" w:hAnsi="Times New Roman"/>
              </w:rPr>
            </w:pPr>
            <w:r>
              <w:rPr>
                <w:b/>
                <w:bCs/>
                <w:i/>
                <w:iCs/>
                <w:sz w:val="18"/>
                <w:szCs w:val="18"/>
              </w:rPr>
              <w:t>OBRAZLOŽENJE</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Poplave izazvane izlijevanjem vodenih tijela</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3(3,3)</w:t>
            </w:r>
          </w:p>
        </w:tc>
        <w:tc>
          <w:tcPr>
            <w:tcW w:w="1418" w:type="dxa"/>
            <w:tcBorders>
              <w:top w:val="outset" w:sz="6" w:space="0" w:color="auto"/>
              <w:left w:val="outset"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 xml:space="preserve">Umjerena vjerojatnost velike nesreće uvjetuje pojavu visokog rizika od posljedica poplava. Propisane su tehničke mjere za ugrožena područja. </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Potres</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2(1,4)</w:t>
            </w:r>
          </w:p>
        </w:tc>
        <w:tc>
          <w:tcPr>
            <w:tcW w:w="1418" w:type="dxa"/>
            <w:tcBorders>
              <w:top w:val="outset" w:sz="6" w:space="0" w:color="auto"/>
              <w:left w:val="outset"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Vrlo mala vjerojatnost velike nesreće. Propisane su tehničke mjere za osiguranje otpornosti građevina na potres.</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Ekstremne temperature – toplinski val</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3(4,3)</w:t>
            </w:r>
          </w:p>
        </w:tc>
        <w:tc>
          <w:tcPr>
            <w:tcW w:w="1418" w:type="dxa"/>
            <w:tcBorders>
              <w:top w:val="outset" w:sz="6" w:space="0" w:color="auto"/>
              <w:left w:val="outset"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Cijelo područje  Općine je ugroženo. Tehničke mjere nije moguće provesti, ali slijede se upute i obavijesti stanovništvu od DHMZ-a. </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Ekstremne temperature - suša</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2(3,2)</w:t>
            </w:r>
          </w:p>
        </w:tc>
        <w:tc>
          <w:tcPr>
            <w:tcW w:w="1418" w:type="dxa"/>
            <w:tcBorders>
              <w:top w:val="outset" w:sz="6" w:space="0" w:color="auto"/>
              <w:left w:val="outset"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Klimatske promjene na ovaj rizik utječu u kratkoročnom i dugoročnom razdoblju. Opažen je značajan trend sušnih razdoblja na istoku Slavonije pa tako i na području  Općine, stoga se trebaju provesti mjere prilagodbe uzimajući u obzir sve promjene. </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Tuča</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3(3,3)</w:t>
            </w:r>
          </w:p>
        </w:tc>
        <w:tc>
          <w:tcPr>
            <w:tcW w:w="1418" w:type="dxa"/>
            <w:tcBorders>
              <w:top w:val="outset" w:sz="6" w:space="0" w:color="auto"/>
              <w:left w:val="outset"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Vjerojatnost velike nesreće je sa umjerenim učincima. Općina ne može utjecati na pojavnost.</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Epidemije i pandemije</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3(3,3)</w:t>
            </w:r>
          </w:p>
        </w:tc>
        <w:tc>
          <w:tcPr>
            <w:tcW w:w="1418" w:type="dxa"/>
            <w:tcBorders>
              <w:top w:val="outset" w:sz="6" w:space="0" w:color="auto"/>
              <w:left w:val="outset"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jc w:val="center"/>
              <w:textAlignment w:val="baseline"/>
              <w:rPr>
                <w:rFonts w:cstheme="minorHAnsi"/>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Cijelo područje Republike  Hrvatske pa tako i  Općine  Gornji Bogičevci  je ugroženo. Tehničke mjere nije moguće provesti, ali slijede se upute i obavijesti stanovništvu od Zavoda za javno zdravstvo. Preventivne mjere nisu na razini Općine pa je područje tolerantno. </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i/>
                <w:iCs/>
                <w:sz w:val="18"/>
                <w:szCs w:val="18"/>
              </w:rPr>
            </w:pPr>
            <w:r>
              <w:rPr>
                <w:i/>
                <w:iCs/>
                <w:sz w:val="18"/>
                <w:szCs w:val="18"/>
              </w:rPr>
              <w:t>Mraz</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2(3,2)</w:t>
            </w:r>
          </w:p>
        </w:tc>
        <w:tc>
          <w:tcPr>
            <w:tcW w:w="1418" w:type="dxa"/>
            <w:tcBorders>
              <w:top w:val="outset" w:sz="6" w:space="0" w:color="auto"/>
              <w:left w:val="outset"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jc w:val="center"/>
              <w:textAlignment w:val="baseline"/>
              <w:rPr>
                <w:rFonts w:cstheme="minorHAnsi"/>
                <w:sz w:val="18"/>
                <w:szCs w:val="18"/>
                <w:highlight w:val="yellow"/>
              </w:rPr>
            </w:pPr>
            <w:r>
              <w:rPr>
                <w:rFonts w:cstheme="minorHAnsi"/>
                <w:sz w:val="18"/>
                <w:szCs w:val="18"/>
              </w:rPr>
              <w:t>TOLERANTNO</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spacing w:after="0" w:line="240" w:lineRule="auto"/>
              <w:rPr>
                <w:sz w:val="18"/>
                <w:szCs w:val="18"/>
              </w:rPr>
            </w:pPr>
            <w:r>
              <w:rPr>
                <w:sz w:val="18"/>
                <w:szCs w:val="18"/>
              </w:rPr>
              <w:t>Vjerojatnost velike nesreće je sa umjerenim učincima. Općina ne može utjecati na pojavnost.</w:t>
            </w:r>
          </w:p>
        </w:tc>
      </w:tr>
      <w:tr w:rsidR="005C1E80" w:rsidTr="00F57898">
        <w:trPr>
          <w:jc w:val="center"/>
        </w:trPr>
        <w:tc>
          <w:tcPr>
            <w:tcW w:w="1851" w:type="dxa"/>
            <w:tcBorders>
              <w:top w:val="outset" w:sz="6" w:space="0" w:color="auto"/>
              <w:left w:val="single" w:sz="6" w:space="0" w:color="auto"/>
              <w:bottom w:val="outset"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 xml:space="preserve">Nesreće s opasnim tvarima- industrijske nesreće - </w:t>
            </w:r>
          </w:p>
        </w:tc>
        <w:tc>
          <w:tcPr>
            <w:tcW w:w="992" w:type="dxa"/>
            <w:tcBorders>
              <w:top w:val="outset" w:sz="6" w:space="0" w:color="auto"/>
              <w:left w:val="outset" w:sz="6" w:space="0" w:color="auto"/>
              <w:bottom w:val="outset"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2(1,3)</w:t>
            </w:r>
          </w:p>
        </w:tc>
        <w:tc>
          <w:tcPr>
            <w:tcW w:w="1418" w:type="dxa"/>
            <w:tcBorders>
              <w:top w:val="outset" w:sz="6" w:space="0" w:color="auto"/>
              <w:left w:val="outset" w:sz="6" w:space="0" w:color="auto"/>
              <w:bottom w:val="outset" w:sz="6" w:space="0" w:color="auto"/>
              <w:right w:val="single" w:sz="6" w:space="0" w:color="auto"/>
            </w:tcBorders>
            <w:shd w:val="clear" w:color="auto" w:fill="FFFF00"/>
            <w:vAlign w:val="center"/>
          </w:tcPr>
          <w:p w:rsidR="005C1E80" w:rsidRDefault="005C1E80" w:rsidP="00F57898">
            <w:pPr>
              <w:spacing w:beforeAutospacing="1" w:afterAutospacing="1"/>
              <w:jc w:val="center"/>
              <w:textAlignment w:val="baseline"/>
              <w:rPr>
                <w:rFonts w:cstheme="minorHAnsi"/>
                <w:sz w:val="18"/>
                <w:szCs w:val="18"/>
                <w:highlight w:val="yellow"/>
              </w:rPr>
            </w:pPr>
            <w:r>
              <w:rPr>
                <w:rFonts w:cstheme="minorHAnsi"/>
                <w:sz w:val="18"/>
                <w:szCs w:val="18"/>
              </w:rPr>
              <w:t>TOLERANTNO</w:t>
            </w:r>
          </w:p>
        </w:tc>
        <w:tc>
          <w:tcPr>
            <w:tcW w:w="5727" w:type="dxa"/>
            <w:tcBorders>
              <w:top w:val="outset" w:sz="6" w:space="0" w:color="auto"/>
              <w:left w:val="outset" w:sz="6" w:space="0" w:color="auto"/>
              <w:bottom w:val="outset" w:sz="6" w:space="0" w:color="auto"/>
              <w:right w:val="single" w:sz="6" w:space="0" w:color="auto"/>
            </w:tcBorders>
          </w:tcPr>
          <w:p w:rsidR="005C1E80" w:rsidRDefault="005C1E80" w:rsidP="00F57898">
            <w:pPr>
              <w:spacing w:after="0" w:line="240" w:lineRule="auto"/>
              <w:rPr>
                <w:sz w:val="18"/>
                <w:szCs w:val="18"/>
              </w:rPr>
            </w:pPr>
            <w:r>
              <w:rPr>
                <w:sz w:val="18"/>
                <w:szCs w:val="18"/>
              </w:rPr>
              <w:t xml:space="preserve">Vjerojatnost velike nesreće je iznimno mala. Pravne osobe su u obvezi provođenja mjera za smanjivanje rizika, a mjere i aktivnosti u slučaju nesreće provode </w:t>
            </w:r>
            <w:r>
              <w:rPr>
                <w:rFonts w:cstheme="minorHAnsi"/>
                <w:sz w:val="18"/>
                <w:szCs w:val="18"/>
              </w:rPr>
              <w:t>vatrogasne postrojbe s područja  Općine</w:t>
            </w:r>
            <w:r>
              <w:rPr>
                <w:sz w:val="18"/>
                <w:szCs w:val="18"/>
              </w:rPr>
              <w:t>. </w:t>
            </w:r>
          </w:p>
        </w:tc>
      </w:tr>
      <w:tr w:rsidR="005C1E80" w:rsidTr="00F57898">
        <w:trPr>
          <w:jc w:val="center"/>
        </w:trPr>
        <w:tc>
          <w:tcPr>
            <w:tcW w:w="1851" w:type="dxa"/>
            <w:tcBorders>
              <w:top w:val="outset" w:sz="6" w:space="0" w:color="auto"/>
              <w:left w:val="single" w:sz="6" w:space="0" w:color="auto"/>
              <w:bottom w:val="outset"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Nesreće s opasnim tvarima u cestovnom prometu</w:t>
            </w:r>
          </w:p>
        </w:tc>
        <w:tc>
          <w:tcPr>
            <w:tcW w:w="992" w:type="dxa"/>
            <w:tcBorders>
              <w:top w:val="outset" w:sz="6" w:space="0" w:color="auto"/>
              <w:left w:val="outset" w:sz="6" w:space="0" w:color="auto"/>
              <w:bottom w:val="outset"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cstheme="minorHAnsi"/>
                <w:sz w:val="18"/>
                <w:szCs w:val="18"/>
              </w:rPr>
            </w:pPr>
            <w:r>
              <w:rPr>
                <w:rFonts w:cstheme="minorHAnsi"/>
                <w:sz w:val="18"/>
                <w:szCs w:val="18"/>
              </w:rPr>
              <w:t>2(1,3)</w:t>
            </w:r>
          </w:p>
        </w:tc>
        <w:tc>
          <w:tcPr>
            <w:tcW w:w="1418" w:type="dxa"/>
            <w:tcBorders>
              <w:top w:val="outset" w:sz="6" w:space="0" w:color="auto"/>
              <w:left w:val="outset" w:sz="6" w:space="0" w:color="auto"/>
              <w:bottom w:val="outset" w:sz="6" w:space="0" w:color="auto"/>
              <w:right w:val="single" w:sz="6" w:space="0" w:color="auto"/>
            </w:tcBorders>
            <w:shd w:val="clear" w:color="auto" w:fill="FFFF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outset" w:sz="6" w:space="0" w:color="auto"/>
              <w:right w:val="single" w:sz="6" w:space="0" w:color="auto"/>
            </w:tcBorders>
          </w:tcPr>
          <w:p w:rsidR="005C1E80" w:rsidRDefault="005C1E80" w:rsidP="00F57898">
            <w:pPr>
              <w:spacing w:after="0" w:line="240" w:lineRule="auto"/>
              <w:rPr>
                <w:sz w:val="18"/>
                <w:szCs w:val="18"/>
              </w:rPr>
            </w:pPr>
            <w:r>
              <w:rPr>
                <w:sz w:val="18"/>
                <w:szCs w:val="18"/>
              </w:rPr>
              <w:t>Vjerojatnost velike nesreće je mala. Mjere smanjenja rizika su na razini pravne osobe, na koje Općina ne može utjecati. Mjerama reagiranja neće se smanjiti rizik nego samo smanjiti posljedice do podnosivih i u nadležnosti su DVD- a Općine.</w:t>
            </w:r>
          </w:p>
        </w:tc>
      </w:tr>
      <w:tr w:rsidR="005C1E80" w:rsidTr="00F57898">
        <w:trPr>
          <w:jc w:val="center"/>
        </w:trPr>
        <w:tc>
          <w:tcPr>
            <w:tcW w:w="1851" w:type="dxa"/>
            <w:tcBorders>
              <w:top w:val="outset" w:sz="6" w:space="0" w:color="auto"/>
              <w:left w:val="single" w:sz="6" w:space="0" w:color="auto"/>
              <w:bottom w:val="single" w:sz="6" w:space="0" w:color="auto"/>
              <w:right w:val="single" w:sz="6" w:space="0" w:color="auto"/>
            </w:tcBorders>
            <w:shd w:val="clear" w:color="auto" w:fill="D9D9D9" w:themeFill="background1" w:themeFillShade="D9"/>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Nesreće s opasnim tvarima u željezničkom prometu</w:t>
            </w:r>
          </w:p>
        </w:tc>
        <w:tc>
          <w:tcPr>
            <w:tcW w:w="992" w:type="dxa"/>
            <w:tcBorders>
              <w:top w:val="outset" w:sz="6" w:space="0" w:color="auto"/>
              <w:left w:val="outset" w:sz="6" w:space="0" w:color="auto"/>
              <w:bottom w:val="single" w:sz="6" w:space="0" w:color="auto"/>
              <w:right w:val="single" w:sz="6" w:space="0" w:color="auto"/>
            </w:tcBorders>
            <w:shd w:val="clear" w:color="auto" w:fill="DDD9C3"/>
            <w:vAlign w:val="center"/>
          </w:tcPr>
          <w:p w:rsidR="005C1E80" w:rsidRDefault="005C1E80" w:rsidP="00F57898">
            <w:pPr>
              <w:spacing w:beforeAutospacing="1" w:afterAutospacing="1"/>
              <w:jc w:val="center"/>
              <w:textAlignment w:val="baseline"/>
              <w:rPr>
                <w:rFonts w:ascii="Times New Roman" w:hAnsi="Times New Roman"/>
                <w:sz w:val="18"/>
                <w:szCs w:val="18"/>
              </w:rPr>
            </w:pPr>
            <w:r>
              <w:rPr>
                <w:rFonts w:cstheme="minorHAnsi"/>
                <w:sz w:val="18"/>
                <w:szCs w:val="18"/>
              </w:rPr>
              <w:t>2(1,3)</w:t>
            </w:r>
          </w:p>
        </w:tc>
        <w:tc>
          <w:tcPr>
            <w:tcW w:w="1418" w:type="dxa"/>
            <w:tcBorders>
              <w:top w:val="outset" w:sz="6" w:space="0" w:color="auto"/>
              <w:left w:val="outset"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jc w:val="center"/>
              <w:textAlignment w:val="baseline"/>
              <w:rPr>
                <w:rFonts w:ascii="Times New Roman" w:hAnsi="Times New Roman"/>
                <w:sz w:val="18"/>
                <w:szCs w:val="18"/>
              </w:rPr>
            </w:pPr>
            <w:r>
              <w:rPr>
                <w:i/>
                <w:iCs/>
                <w:sz w:val="18"/>
                <w:szCs w:val="18"/>
              </w:rPr>
              <w:t>TOLERANTNO</w:t>
            </w:r>
            <w:r>
              <w:rPr>
                <w:sz w:val="18"/>
                <w:szCs w:val="18"/>
              </w:rPr>
              <w:t> </w:t>
            </w:r>
          </w:p>
        </w:tc>
        <w:tc>
          <w:tcPr>
            <w:tcW w:w="5727" w:type="dxa"/>
            <w:tcBorders>
              <w:top w:val="outset" w:sz="6" w:space="0" w:color="auto"/>
              <w:left w:val="outset" w:sz="6" w:space="0" w:color="auto"/>
              <w:bottom w:val="single" w:sz="6" w:space="0" w:color="auto"/>
              <w:right w:val="single" w:sz="6" w:space="0" w:color="auto"/>
            </w:tcBorders>
          </w:tcPr>
          <w:p w:rsidR="005C1E80" w:rsidRDefault="005C1E80" w:rsidP="00F57898">
            <w:pPr>
              <w:rPr>
                <w:sz w:val="18"/>
                <w:szCs w:val="18"/>
              </w:rPr>
            </w:pPr>
            <w:r>
              <w:rPr>
                <w:sz w:val="18"/>
                <w:szCs w:val="18"/>
              </w:rPr>
              <w:t>Vjerojatnost velike nesreće je mala. Mjere smanjenja rizika su na razini pravne osobe, na koje Općina ne može utjecati. Mjerama reagiranja neće se smanjiti rizik nego samo smanjiti posljedice do podnosivih i u nadležnosti su DVD – a Općine.</w:t>
            </w:r>
          </w:p>
        </w:tc>
      </w:tr>
    </w:tbl>
    <w:p w:rsidR="005C1E80" w:rsidRDefault="005C1E80" w:rsidP="005C1E80"/>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Razina1"/>
        <w:spacing w:before="120" w:after="120"/>
      </w:pPr>
      <w:r>
        <w:t xml:space="preserve">Ciljevi, mjere i aktivnosti </w:t>
      </w:r>
    </w:p>
    <w:p w:rsidR="005C1E80" w:rsidRDefault="005C1E80" w:rsidP="005C1E80">
      <w:pPr>
        <w:pStyle w:val="StandardWeb"/>
        <w:spacing w:before="0" w:beforeAutospacing="0" w:after="0" w:afterAutospacing="0"/>
        <w:rPr>
          <w:rFonts w:ascii="Calibri" w:hAnsi="Calibri" w:cs="Calibri"/>
          <w:color w:val="414145"/>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r>
        <w:rPr>
          <w:rFonts w:ascii="Calibri" w:hAnsi="Calibri" w:cs="Calibri"/>
        </w:rPr>
        <w:t>Ciljevi iz Smjernica utvrđuju se na temelju procjene rizika s naglaskom na:</w:t>
      </w:r>
    </w:p>
    <w:p w:rsidR="005C1E80" w:rsidRDefault="005C1E80" w:rsidP="00A66748">
      <w:pPr>
        <w:pStyle w:val="box454509"/>
        <w:numPr>
          <w:ilvl w:val="0"/>
          <w:numId w:val="66"/>
        </w:numPr>
        <w:shd w:val="clear" w:color="auto" w:fill="FFFFFF"/>
        <w:spacing w:before="0" w:beforeAutospacing="0" w:after="48" w:afterAutospacing="0"/>
        <w:textAlignment w:val="baseline"/>
        <w:rPr>
          <w:rFonts w:ascii="Calibri" w:hAnsi="Calibri" w:cs="Calibri"/>
          <w:color w:val="231F20"/>
        </w:rPr>
      </w:pPr>
      <w:r>
        <w:rPr>
          <w:rFonts w:ascii="Calibri" w:hAnsi="Calibri" w:cs="Calibri"/>
        </w:rPr>
        <w:t>preventivne mjere, odnosno povezuju se s javnim politikama i nositeljima kako bi se omogućilo odgovorno upravljanje rizicima od strane svih sektorskih sudionika s lokalne razine sustava civilne zaštite</w:t>
      </w:r>
    </w:p>
    <w:p w:rsidR="005C1E80" w:rsidRDefault="005C1E80" w:rsidP="00A66748">
      <w:pPr>
        <w:pStyle w:val="box454509"/>
        <w:numPr>
          <w:ilvl w:val="0"/>
          <w:numId w:val="66"/>
        </w:numPr>
        <w:shd w:val="clear" w:color="auto" w:fill="FFFFFF"/>
        <w:spacing w:before="0" w:beforeAutospacing="0" w:after="48" w:afterAutospacing="0"/>
        <w:textAlignment w:val="baseline"/>
        <w:rPr>
          <w:rFonts w:ascii="Calibri" w:hAnsi="Calibri" w:cs="Calibri"/>
          <w:color w:val="231F20"/>
        </w:rPr>
      </w:pPr>
      <w:r>
        <w:rPr>
          <w:rFonts w:ascii="Calibri" w:hAnsi="Calibri" w:cs="Calibri"/>
        </w:rPr>
        <w:t>razvoj organizacije sustava civilne zaštite i operativnih kapaciteta za reagiranje u velikim nesrećama.</w:t>
      </w: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box454509"/>
        <w:shd w:val="clear" w:color="auto" w:fill="FFFFFF"/>
        <w:spacing w:before="0" w:beforeAutospacing="0" w:after="48" w:afterAutospacing="0"/>
        <w:ind w:left="780"/>
        <w:textAlignment w:val="baseline"/>
        <w:rPr>
          <w:rFonts w:ascii="Calibri" w:hAnsi="Calibri" w:cs="Calibri"/>
          <w:color w:val="231F20"/>
        </w:rPr>
      </w:pPr>
    </w:p>
    <w:p w:rsidR="005C1E80" w:rsidRDefault="005C1E80" w:rsidP="005C1E80">
      <w:pPr>
        <w:pStyle w:val="Razina2"/>
        <w:spacing w:before="120" w:after="120" w:line="276" w:lineRule="auto"/>
        <w:ind w:left="709" w:hanging="709"/>
      </w:pPr>
      <w:r>
        <w:t>Preventivne mjere</w:t>
      </w: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13"/>
        <w:gridCol w:w="709"/>
        <w:gridCol w:w="2790"/>
        <w:gridCol w:w="1603"/>
        <w:gridCol w:w="1417"/>
        <w:gridCol w:w="1277"/>
        <w:gridCol w:w="1564"/>
      </w:tblGrid>
      <w:tr w:rsidR="005C1E80" w:rsidTr="00F57898">
        <w:trPr>
          <w:trHeight w:val="750"/>
          <w:jc w:val="center"/>
        </w:trPr>
        <w:tc>
          <w:tcPr>
            <w:tcW w:w="1413" w:type="dxa"/>
            <w:shd w:val="clear" w:color="auto" w:fill="D9D9D9"/>
            <w:vAlign w:val="center"/>
          </w:tcPr>
          <w:p w:rsidR="005C1E80" w:rsidRDefault="005C1E80" w:rsidP="00F57898">
            <w:pPr>
              <w:spacing w:after="0" w:line="240" w:lineRule="auto"/>
              <w:jc w:val="center"/>
              <w:textAlignment w:val="baseline"/>
              <w:rPr>
                <w:rFonts w:cs="Calibri"/>
                <w:sz w:val="20"/>
                <w:szCs w:val="20"/>
              </w:rPr>
            </w:pPr>
            <w:r>
              <w:rPr>
                <w:rFonts w:cs="Calibri"/>
                <w:b/>
                <w:bCs/>
                <w:i/>
                <w:iCs/>
                <w:sz w:val="20"/>
                <w:szCs w:val="20"/>
              </w:rPr>
              <w:t>RIZIK</w:t>
            </w:r>
          </w:p>
          <w:p w:rsidR="005C1E80" w:rsidRDefault="005C1E80" w:rsidP="00F57898">
            <w:pPr>
              <w:spacing w:after="0" w:line="240" w:lineRule="auto"/>
              <w:jc w:val="center"/>
              <w:textAlignment w:val="baseline"/>
              <w:rPr>
                <w:rFonts w:cs="Calibri"/>
                <w:sz w:val="20"/>
                <w:szCs w:val="20"/>
              </w:rPr>
            </w:pPr>
            <w:r>
              <w:rPr>
                <w:rFonts w:cs="Calibri"/>
                <w:b/>
                <w:bCs/>
                <w:i/>
                <w:iCs/>
                <w:sz w:val="20"/>
                <w:szCs w:val="20"/>
              </w:rPr>
              <w:t>(SCENARIJ)</w:t>
            </w:r>
          </w:p>
        </w:tc>
        <w:tc>
          <w:tcPr>
            <w:tcW w:w="709" w:type="dxa"/>
            <w:shd w:val="clear" w:color="auto" w:fill="D9D9D9"/>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b/>
                <w:bCs/>
                <w:i/>
                <w:iCs/>
                <w:sz w:val="20"/>
                <w:szCs w:val="20"/>
              </w:rPr>
              <w:t>OCJENA PRIHVATLJIVOSTI</w:t>
            </w:r>
          </w:p>
        </w:tc>
        <w:tc>
          <w:tcPr>
            <w:tcW w:w="2790" w:type="dxa"/>
            <w:shd w:val="clear" w:color="auto" w:fill="D9D9D9"/>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PREVENTIVNE MJERE</w:t>
            </w:r>
          </w:p>
        </w:tc>
        <w:tc>
          <w:tcPr>
            <w:tcW w:w="1603"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Rokovi izvršenja</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Nositelji izrade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Suradnja</w:t>
            </w:r>
          </w:p>
        </w:tc>
        <w:tc>
          <w:tcPr>
            <w:tcW w:w="1564"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Planirana sredstva</w:t>
            </w:r>
          </w:p>
        </w:tc>
      </w:tr>
      <w:tr w:rsidR="005C1E80" w:rsidTr="00F57898">
        <w:trPr>
          <w:jc w:val="center"/>
        </w:trPr>
        <w:tc>
          <w:tcPr>
            <w:tcW w:w="1413" w:type="dxa"/>
            <w:vMerge w:val="restart"/>
            <w:shd w:val="clear" w:color="auto" w:fill="FFFFFF"/>
            <w:textDirection w:val="btLr"/>
            <w:vAlign w:val="center"/>
          </w:tcPr>
          <w:p w:rsidR="005C1E80" w:rsidRDefault="005C1E80" w:rsidP="00F57898">
            <w:pPr>
              <w:spacing w:after="0" w:line="240" w:lineRule="auto"/>
              <w:jc w:val="center"/>
              <w:textAlignment w:val="baseline"/>
              <w:rPr>
                <w:rFonts w:cs="Calibri"/>
                <w:b/>
                <w:bCs/>
                <w:i/>
                <w:iCs/>
                <w:sz w:val="20"/>
                <w:szCs w:val="20"/>
              </w:rPr>
            </w:pPr>
            <w:r>
              <w:rPr>
                <w:rFonts w:cs="Calibri"/>
                <w:b/>
                <w:bCs/>
                <w:i/>
                <w:iCs/>
                <w:sz w:val="20"/>
                <w:szCs w:val="20"/>
              </w:rPr>
              <w:t>POPLAVE IZAZVANE IZLIJEVANJEM VODENIH TIJELA</w:t>
            </w:r>
          </w:p>
        </w:tc>
        <w:tc>
          <w:tcPr>
            <w:tcW w:w="709" w:type="dxa"/>
            <w:vMerge w:val="restart"/>
            <w:shd w:val="clear" w:color="auto" w:fill="FFC0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b/>
                <w:bCs/>
                <w:i/>
                <w:iCs/>
                <w:sz w:val="20"/>
                <w:szCs w:val="20"/>
              </w:rPr>
              <w:t>TOLERANTNO</w:t>
            </w: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Redovito  održavati građevine za detaljnu melioracijsku odvodnju, kanale III i IV reda u smislu Zakona o vodama (NN 66/19),</w:t>
            </w:r>
          </w:p>
        </w:tc>
        <w:tc>
          <w:tcPr>
            <w:tcW w:w="1603"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Hrvatske vode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Općina</w:t>
            </w:r>
          </w:p>
        </w:tc>
        <w:tc>
          <w:tcPr>
            <w:tcW w:w="1564"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proračunu/komunalno poduzeće (ako planirate inače troškove u proračunu vezane uz navedeno)</w:t>
            </w:r>
          </w:p>
        </w:tc>
      </w:tr>
      <w:tr w:rsidR="005C1E80" w:rsidTr="00F57898">
        <w:trPr>
          <w:jc w:val="center"/>
        </w:trPr>
        <w:tc>
          <w:tcPr>
            <w:tcW w:w="1413" w:type="dxa"/>
            <w:vMerge/>
            <w:shd w:val="clear" w:color="auto" w:fill="FFFFFF"/>
            <w:vAlign w:val="center"/>
          </w:tcPr>
          <w:p w:rsidR="005C1E80" w:rsidRDefault="005C1E80" w:rsidP="00F57898">
            <w:pPr>
              <w:spacing w:after="0" w:line="240" w:lineRule="auto"/>
              <w:jc w:val="center"/>
              <w:textAlignment w:val="baseline"/>
              <w:rPr>
                <w:rFonts w:cs="Calibri"/>
                <w:b/>
                <w:bCs/>
                <w:i/>
                <w:iCs/>
                <w:sz w:val="20"/>
                <w:szCs w:val="20"/>
              </w:rPr>
            </w:pPr>
          </w:p>
        </w:tc>
        <w:tc>
          <w:tcPr>
            <w:tcW w:w="709" w:type="dxa"/>
            <w:vMerge/>
            <w:shd w:val="clear" w:color="auto" w:fill="FFC000"/>
            <w:vAlign w:val="center"/>
          </w:tcPr>
          <w:p w:rsidR="005C1E80" w:rsidRDefault="005C1E80" w:rsidP="00F57898">
            <w:pPr>
              <w:spacing w:before="100" w:beforeAutospacing="1" w:after="100" w:afterAutospacing="1" w:line="240" w:lineRule="auto"/>
              <w:jc w:val="center"/>
              <w:textAlignment w:val="baseline"/>
              <w:rPr>
                <w:rFonts w:cs="Calibri"/>
                <w:b/>
                <w:bCs/>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b/>
                <w:bCs/>
                <w:sz w:val="20"/>
                <w:szCs w:val="20"/>
              </w:rPr>
            </w:pPr>
            <w:r>
              <w:rPr>
                <w:rFonts w:cs="Calibri"/>
                <w:sz w:val="20"/>
                <w:szCs w:val="20"/>
              </w:rPr>
              <w:t xml:space="preserve">Upoznati stanovništvo  s mogućim posljedicama poplave i načinom provedbe samozaštite i organizirane zaštite. </w:t>
            </w:r>
          </w:p>
        </w:tc>
        <w:tc>
          <w:tcPr>
            <w:tcW w:w="1603"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 xml:space="preserve">Hrvatske vode, DVD, MUP, stožer civilne zaštite, Služba civilne zaštite </w:t>
            </w:r>
          </w:p>
        </w:tc>
        <w:tc>
          <w:tcPr>
            <w:tcW w:w="1564" w:type="dxa"/>
            <w:shd w:val="clear" w:color="auto" w:fill="FFFFFF"/>
            <w:vAlign w:val="center"/>
          </w:tcPr>
          <w:p w:rsidR="005C1E80" w:rsidRDefault="00DD1C99" w:rsidP="00F57898">
            <w:pPr>
              <w:spacing w:before="100" w:beforeAutospacing="1" w:after="100" w:afterAutospacing="1" w:line="240" w:lineRule="auto"/>
              <w:jc w:val="center"/>
              <w:textAlignment w:val="baseline"/>
              <w:rPr>
                <w:rFonts w:cs="Calibri"/>
                <w:b/>
                <w:bCs/>
                <w:sz w:val="20"/>
                <w:szCs w:val="20"/>
              </w:rPr>
            </w:pPr>
            <w:hyperlink r:id="rId14" w:history="1">
              <w:r w:rsidR="005C1E80">
                <w:rPr>
                  <w:rStyle w:val="Hiperveza"/>
                  <w:rFonts w:cs="Calibri"/>
                  <w:b/>
                  <w:bCs/>
                  <w:sz w:val="20"/>
                  <w:szCs w:val="20"/>
                </w:rPr>
                <w:t>Tablica 3</w:t>
              </w:r>
            </w:hyperlink>
          </w:p>
        </w:tc>
      </w:tr>
      <w:tr w:rsidR="005C1E80" w:rsidTr="00F57898">
        <w:trPr>
          <w:jc w:val="center"/>
        </w:trPr>
        <w:tc>
          <w:tcPr>
            <w:tcW w:w="1413" w:type="dxa"/>
            <w:vMerge/>
            <w:shd w:val="clear" w:color="auto" w:fill="FFFFFF"/>
            <w:vAlign w:val="center"/>
          </w:tcPr>
          <w:p w:rsidR="005C1E80" w:rsidRDefault="005C1E80" w:rsidP="00F57898">
            <w:pPr>
              <w:spacing w:after="0" w:line="240" w:lineRule="auto"/>
              <w:jc w:val="center"/>
              <w:textAlignment w:val="baseline"/>
              <w:rPr>
                <w:rFonts w:cs="Calibri"/>
                <w:b/>
                <w:bCs/>
                <w:i/>
                <w:iCs/>
                <w:sz w:val="20"/>
                <w:szCs w:val="20"/>
              </w:rPr>
            </w:pPr>
          </w:p>
        </w:tc>
        <w:tc>
          <w:tcPr>
            <w:tcW w:w="709" w:type="dxa"/>
            <w:vMerge/>
            <w:shd w:val="clear" w:color="auto" w:fill="FFC000"/>
            <w:vAlign w:val="center"/>
          </w:tcPr>
          <w:p w:rsidR="005C1E80" w:rsidRDefault="005C1E80" w:rsidP="00F57898">
            <w:pPr>
              <w:spacing w:before="100" w:beforeAutospacing="1" w:after="100" w:afterAutospacing="1" w:line="240" w:lineRule="auto"/>
              <w:jc w:val="center"/>
              <w:textAlignment w:val="baseline"/>
              <w:rPr>
                <w:rFonts w:cs="Calibri"/>
                <w:b/>
                <w:bCs/>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Organizirati  vježbe sklanjanja, evakuacije i spašavanja stanovništva iz ugroženih područja.</w:t>
            </w:r>
          </w:p>
        </w:tc>
        <w:tc>
          <w:tcPr>
            <w:tcW w:w="1603"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Hrvatske vode, DVD, MUP, stožer civilne zaštite, Služba civilne zaštite</w:t>
            </w:r>
          </w:p>
        </w:tc>
        <w:tc>
          <w:tcPr>
            <w:tcW w:w="1564" w:type="dxa"/>
            <w:shd w:val="clear" w:color="auto" w:fill="FFFFFF"/>
            <w:vAlign w:val="center"/>
          </w:tcPr>
          <w:p w:rsidR="005C1E80" w:rsidRDefault="00DD1C99" w:rsidP="00F57898">
            <w:pPr>
              <w:spacing w:before="100" w:beforeAutospacing="1" w:after="100" w:afterAutospacing="1" w:line="240" w:lineRule="auto"/>
              <w:jc w:val="center"/>
              <w:textAlignment w:val="baseline"/>
              <w:rPr>
                <w:rFonts w:cs="Calibri"/>
                <w:b/>
                <w:bCs/>
                <w:sz w:val="20"/>
                <w:szCs w:val="20"/>
              </w:rPr>
            </w:pPr>
            <w:hyperlink r:id="rId15" w:history="1">
              <w:r w:rsidR="005C1E80">
                <w:rPr>
                  <w:rStyle w:val="Hiperveza"/>
                  <w:rFonts w:cs="Calibri"/>
                  <w:b/>
                  <w:bCs/>
                  <w:sz w:val="20"/>
                  <w:szCs w:val="20"/>
                </w:rPr>
                <w:t>Tablica 3</w:t>
              </w:r>
            </w:hyperlink>
          </w:p>
        </w:tc>
      </w:tr>
      <w:tr w:rsidR="005C1E80" w:rsidTr="00F57898">
        <w:trPr>
          <w:cantSplit/>
          <w:trHeight w:val="1424"/>
          <w:jc w:val="center"/>
        </w:trPr>
        <w:tc>
          <w:tcPr>
            <w:tcW w:w="1413" w:type="dxa"/>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20"/>
                <w:szCs w:val="20"/>
              </w:rPr>
              <w:t>POTRES</w:t>
            </w:r>
          </w:p>
        </w:tc>
        <w:tc>
          <w:tcPr>
            <w:tcW w:w="709" w:type="dxa"/>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b/>
                <w:bCs/>
                <w:i/>
                <w:iCs/>
                <w:sz w:val="20"/>
                <w:szCs w:val="20"/>
              </w:rPr>
              <w:t>TOLERANTNO</w:t>
            </w:r>
            <w:r>
              <w:rPr>
                <w:rFonts w:cs="Calibri"/>
                <w:b/>
                <w:bCs/>
                <w:sz w:val="20"/>
                <w:szCs w:val="20"/>
              </w:rPr>
              <w:t> </w:t>
            </w:r>
          </w:p>
        </w:tc>
        <w:tc>
          <w:tcPr>
            <w:tcW w:w="8651" w:type="dxa"/>
            <w:gridSpan w:val="5"/>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Preventivne mjere provode investitori gradnje propisanim tehničkim  mjerama kojima se osigurava  otpornost građevina na potres.</w:t>
            </w:r>
          </w:p>
        </w:tc>
      </w:tr>
      <w:tr w:rsidR="005C1E80" w:rsidTr="00F57898">
        <w:trPr>
          <w:cantSplit/>
          <w:trHeight w:val="1134"/>
          <w:jc w:val="center"/>
        </w:trPr>
        <w:tc>
          <w:tcPr>
            <w:tcW w:w="1413" w:type="dxa"/>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20"/>
                <w:szCs w:val="20"/>
              </w:rPr>
              <w:t>EKSTREMNE TEMPERATURE- TOPLINSKI VAL</w:t>
            </w:r>
          </w:p>
        </w:tc>
        <w:tc>
          <w:tcPr>
            <w:tcW w:w="709" w:type="dxa"/>
            <w:shd w:val="clear" w:color="auto" w:fill="FFC000" w:themeFill="accent4"/>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b/>
                <w:bCs/>
                <w:i/>
                <w:iCs/>
                <w:sz w:val="20"/>
                <w:szCs w:val="20"/>
              </w:rPr>
              <w:t>TOLERANTNO</w:t>
            </w:r>
          </w:p>
        </w:tc>
        <w:tc>
          <w:tcPr>
            <w:tcW w:w="7087" w:type="dxa"/>
            <w:gridSpan w:val="4"/>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Stanovnici sami provode preventivne mjere.</w:t>
            </w:r>
          </w:p>
          <w:p w:rsidR="005C1E80" w:rsidRDefault="005C1E80" w:rsidP="00F57898">
            <w:pPr>
              <w:spacing w:before="100" w:beforeAutospacing="1" w:after="100" w:afterAutospacing="1" w:line="240" w:lineRule="auto"/>
              <w:jc w:val="center"/>
              <w:textAlignment w:val="baseline"/>
              <w:rPr>
                <w:rFonts w:cs="Calibri"/>
                <w:sz w:val="20"/>
                <w:szCs w:val="20"/>
              </w:rPr>
            </w:pPr>
          </w:p>
          <w:p w:rsidR="005C1E80" w:rsidRDefault="005C1E80" w:rsidP="00F57898">
            <w:pPr>
              <w:spacing w:before="100" w:beforeAutospacing="1" w:after="100" w:afterAutospacing="1" w:line="240" w:lineRule="auto"/>
              <w:jc w:val="center"/>
              <w:textAlignment w:val="baseline"/>
              <w:rPr>
                <w:rFonts w:cs="Calibri"/>
                <w:b/>
                <w:bCs/>
                <w:sz w:val="20"/>
                <w:szCs w:val="20"/>
              </w:rPr>
            </w:pPr>
          </w:p>
        </w:tc>
        <w:tc>
          <w:tcPr>
            <w:tcW w:w="1564" w:type="dxa"/>
            <w:shd w:val="clear" w:color="auto" w:fill="FFFFFF"/>
            <w:vAlign w:val="center"/>
          </w:tcPr>
          <w:p w:rsidR="005C1E80" w:rsidRDefault="005C1E80" w:rsidP="00F57898">
            <w:pPr>
              <w:spacing w:after="0" w:line="240" w:lineRule="auto"/>
              <w:rPr>
                <w:rFonts w:cs="Calibri"/>
                <w:b/>
                <w:bCs/>
                <w:sz w:val="20"/>
                <w:szCs w:val="20"/>
              </w:rPr>
            </w:pPr>
          </w:p>
          <w:p w:rsidR="005C1E80" w:rsidRDefault="005C1E80" w:rsidP="00F57898">
            <w:pPr>
              <w:spacing w:after="0" w:line="240" w:lineRule="auto"/>
              <w:rPr>
                <w:rFonts w:cs="Calibri"/>
                <w:b/>
                <w:bCs/>
                <w:sz w:val="20"/>
                <w:szCs w:val="20"/>
              </w:rPr>
            </w:pPr>
          </w:p>
          <w:p w:rsidR="005C1E80" w:rsidRDefault="005C1E80" w:rsidP="00F57898">
            <w:pPr>
              <w:spacing w:after="0" w:line="240" w:lineRule="auto"/>
              <w:rPr>
                <w:rFonts w:cs="Calibri"/>
                <w:b/>
                <w:bCs/>
                <w:sz w:val="20"/>
                <w:szCs w:val="20"/>
              </w:rPr>
            </w:pPr>
          </w:p>
          <w:p w:rsidR="005C1E80" w:rsidRDefault="005C1E80" w:rsidP="00F57898">
            <w:pPr>
              <w:spacing w:after="0" w:line="240" w:lineRule="auto"/>
              <w:jc w:val="center"/>
              <w:rPr>
                <w:rFonts w:cs="Calibri"/>
                <w:b/>
                <w:bCs/>
                <w:sz w:val="20"/>
                <w:szCs w:val="20"/>
              </w:rPr>
            </w:pPr>
            <w:r>
              <w:rPr>
                <w:rFonts w:cs="Calibri"/>
                <w:b/>
                <w:bCs/>
                <w:sz w:val="20"/>
                <w:szCs w:val="20"/>
              </w:rPr>
              <w:t>-</w:t>
            </w:r>
          </w:p>
          <w:p w:rsidR="005C1E80" w:rsidRDefault="005C1E80" w:rsidP="00F57898">
            <w:pPr>
              <w:spacing w:before="100" w:beforeAutospacing="1" w:after="100" w:afterAutospacing="1" w:line="240" w:lineRule="auto"/>
              <w:jc w:val="center"/>
              <w:textAlignment w:val="baseline"/>
              <w:rPr>
                <w:rFonts w:cs="Calibri"/>
                <w:b/>
                <w:bCs/>
                <w:sz w:val="20"/>
                <w:szCs w:val="20"/>
              </w:rPr>
            </w:pPr>
          </w:p>
        </w:tc>
      </w:tr>
      <w:tr w:rsidR="005C1E80" w:rsidTr="00F57898">
        <w:trPr>
          <w:cantSplit/>
          <w:trHeight w:val="1134"/>
          <w:jc w:val="center"/>
        </w:trPr>
        <w:tc>
          <w:tcPr>
            <w:tcW w:w="1413" w:type="dxa"/>
            <w:vMerge w:val="restart"/>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20"/>
                <w:szCs w:val="20"/>
              </w:rPr>
              <w:lastRenderedPageBreak/>
              <w:t>EKSTREMNE TEMPERATURE – SUŠA</w:t>
            </w:r>
          </w:p>
        </w:tc>
        <w:tc>
          <w:tcPr>
            <w:tcW w:w="709" w:type="dxa"/>
            <w:vMerge w:val="restart"/>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b/>
                <w:bCs/>
                <w:i/>
                <w:iCs/>
                <w:sz w:val="20"/>
                <w:szCs w:val="20"/>
              </w:rPr>
              <w:t>TOLERANTNO</w:t>
            </w:r>
            <w:r>
              <w:rPr>
                <w:rFonts w:cs="Calibri"/>
                <w:b/>
                <w:bCs/>
                <w:sz w:val="20"/>
                <w:szCs w:val="20"/>
              </w:rPr>
              <w:t> </w:t>
            </w: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Promicati potrebu osiguranja usjeva i dugogodišnjih nasada.</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Osiguravajuća društva</w:t>
            </w:r>
          </w:p>
        </w:tc>
        <w:tc>
          <w:tcPr>
            <w:tcW w:w="1564"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1134"/>
          <w:jc w:val="center"/>
        </w:trPr>
        <w:tc>
          <w:tcPr>
            <w:tcW w:w="1413" w:type="dxa"/>
            <w:vMerge/>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i/>
                <w:iCs/>
                <w:sz w:val="20"/>
                <w:szCs w:val="20"/>
              </w:rPr>
            </w:pPr>
          </w:p>
        </w:tc>
        <w:tc>
          <w:tcPr>
            <w:tcW w:w="709" w:type="dxa"/>
            <w:vMerge/>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Financijski pomoći poljoprivrednicima pri zaključivanju polica osiguranja.</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Osiguravajuća društva</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1134"/>
          <w:jc w:val="center"/>
        </w:trPr>
        <w:tc>
          <w:tcPr>
            <w:tcW w:w="1413" w:type="dxa"/>
            <w:vMerge/>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i/>
                <w:iCs/>
                <w:sz w:val="20"/>
                <w:szCs w:val="20"/>
              </w:rPr>
            </w:pPr>
          </w:p>
        </w:tc>
        <w:tc>
          <w:tcPr>
            <w:tcW w:w="709" w:type="dxa"/>
            <w:vMerge/>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Inicirati  aktivnosti  na izgradnji sustava navodnjavanja najvrjednijih poljoprivrednih površina sa zainteresiranim JLS i teritorijalno višom jedinicom regionalne samouprave.</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802"/>
          <w:jc w:val="center"/>
        </w:trPr>
        <w:tc>
          <w:tcPr>
            <w:tcW w:w="1413" w:type="dxa"/>
            <w:vMerge/>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sz w:val="20"/>
                <w:szCs w:val="20"/>
              </w:rPr>
            </w:pPr>
          </w:p>
        </w:tc>
        <w:tc>
          <w:tcPr>
            <w:tcW w:w="709" w:type="dxa"/>
            <w:vMerge/>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Koordinirati aktivnosti oko prijava za sufinanciranje projekata zaštite dugogodišnjih nasada iz sredstava EU.</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 xml:space="preserve"> (ako imate nekoga tko se bavi europskim fondovima unutar općine možete navesti)</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630"/>
          <w:jc w:val="center"/>
        </w:trPr>
        <w:tc>
          <w:tcPr>
            <w:tcW w:w="1413" w:type="dxa"/>
            <w:vMerge w:val="restart"/>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sz w:val="20"/>
                <w:szCs w:val="20"/>
              </w:rPr>
            </w:pPr>
            <w:r>
              <w:rPr>
                <w:rFonts w:cs="Calibri"/>
                <w:b/>
                <w:bCs/>
                <w:sz w:val="20"/>
                <w:szCs w:val="20"/>
              </w:rPr>
              <w:t xml:space="preserve"> TUČA</w:t>
            </w:r>
          </w:p>
        </w:tc>
        <w:tc>
          <w:tcPr>
            <w:tcW w:w="709" w:type="dxa"/>
            <w:vMerge w:val="restart"/>
            <w:shd w:val="clear" w:color="auto" w:fill="FFC000" w:themeFill="accent4"/>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b/>
                <w:bCs/>
                <w:i/>
                <w:iCs/>
                <w:sz w:val="20"/>
                <w:szCs w:val="20"/>
              </w:rPr>
              <w:t>TOLERANTNO</w:t>
            </w:r>
            <w:r>
              <w:rPr>
                <w:rFonts w:cs="Calibri"/>
                <w:b/>
                <w:bCs/>
                <w:sz w:val="20"/>
                <w:szCs w:val="20"/>
              </w:rPr>
              <w:t> </w:t>
            </w: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 xml:space="preserve">Promicati potrebu osiguranja usjeva i dugogodišnjih nasada.. </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Osiguravajuća društva</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540"/>
          <w:jc w:val="center"/>
        </w:trPr>
        <w:tc>
          <w:tcPr>
            <w:tcW w:w="1413" w:type="dxa"/>
            <w:vMerge/>
            <w:shd w:val="clear" w:color="auto" w:fill="FFFFFF"/>
            <w:textDirection w:val="tbRl"/>
            <w:vAlign w:val="center"/>
          </w:tcPr>
          <w:p w:rsidR="005C1E80" w:rsidRDefault="005C1E80" w:rsidP="00F57898">
            <w:pPr>
              <w:spacing w:after="0" w:line="240" w:lineRule="auto"/>
              <w:ind w:left="113" w:right="113"/>
              <w:jc w:val="center"/>
              <w:textAlignment w:val="baseline"/>
              <w:rPr>
                <w:rFonts w:cs="Calibri"/>
                <w:sz w:val="20"/>
                <w:szCs w:val="20"/>
              </w:rPr>
            </w:pPr>
          </w:p>
        </w:tc>
        <w:tc>
          <w:tcPr>
            <w:tcW w:w="709" w:type="dxa"/>
            <w:vMerge/>
            <w:shd w:val="clear" w:color="auto" w:fill="FFC000" w:themeFill="accent4"/>
            <w:textDirection w:val="tbRl"/>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Financijski pomoći poljoprivrednicima pri zaključivanju polica osiguranja</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Osiguravajuća društva</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660"/>
          <w:jc w:val="center"/>
        </w:trPr>
        <w:tc>
          <w:tcPr>
            <w:tcW w:w="1413" w:type="dxa"/>
            <w:vMerge/>
            <w:shd w:val="clear" w:color="auto" w:fill="FFFFFF"/>
            <w:textDirection w:val="tbRl"/>
            <w:vAlign w:val="center"/>
          </w:tcPr>
          <w:p w:rsidR="005C1E80" w:rsidRDefault="005C1E80" w:rsidP="00F57898">
            <w:pPr>
              <w:spacing w:after="0" w:line="240" w:lineRule="auto"/>
              <w:ind w:left="113" w:right="113"/>
              <w:jc w:val="center"/>
              <w:textAlignment w:val="baseline"/>
              <w:rPr>
                <w:rFonts w:cs="Calibri"/>
                <w:sz w:val="20"/>
                <w:szCs w:val="20"/>
              </w:rPr>
            </w:pPr>
          </w:p>
        </w:tc>
        <w:tc>
          <w:tcPr>
            <w:tcW w:w="709" w:type="dxa"/>
            <w:vMerge/>
            <w:shd w:val="clear" w:color="auto" w:fill="FFC000" w:themeFill="accent4"/>
            <w:textDirection w:val="tbRl"/>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Koordinirati aktivnosti oko prijava za sufinanciranje projekata zaštite dugogodišnjih nasada iz sredstava EU.</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(ako imate nekoga tko se bavi europskim fondovima unutar općine možete navesti)</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540"/>
          <w:jc w:val="center"/>
        </w:trPr>
        <w:tc>
          <w:tcPr>
            <w:tcW w:w="1413" w:type="dxa"/>
            <w:vMerge w:val="restart"/>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sz w:val="20"/>
                <w:szCs w:val="20"/>
              </w:rPr>
            </w:pPr>
            <w:r>
              <w:rPr>
                <w:rFonts w:cs="Calibri"/>
                <w:b/>
                <w:bCs/>
                <w:i/>
                <w:iCs/>
                <w:sz w:val="20"/>
                <w:szCs w:val="20"/>
              </w:rPr>
              <w:t>MRAZ</w:t>
            </w:r>
          </w:p>
        </w:tc>
        <w:tc>
          <w:tcPr>
            <w:tcW w:w="709" w:type="dxa"/>
            <w:vMerge w:val="restart"/>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i/>
                <w:iCs/>
                <w:sz w:val="20"/>
                <w:szCs w:val="20"/>
              </w:rPr>
              <w:t>TOLERANTNO</w:t>
            </w:r>
            <w:r>
              <w:rPr>
                <w:rFonts w:cs="Calibri"/>
                <w:sz w:val="20"/>
                <w:szCs w:val="20"/>
              </w:rPr>
              <w:t> </w:t>
            </w: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 xml:space="preserve">Promicati potrebu osiguranja usjeva i dugogodišnjih nasada.. </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Osiguravajuća društva</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930"/>
          <w:jc w:val="center"/>
        </w:trPr>
        <w:tc>
          <w:tcPr>
            <w:tcW w:w="1413" w:type="dxa"/>
            <w:vMerge/>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709" w:type="dxa"/>
            <w:vMerge/>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rPr>
            </w:pPr>
            <w:r>
              <w:rPr>
                <w:rFonts w:cs="Calibri"/>
                <w:sz w:val="20"/>
                <w:szCs w:val="20"/>
              </w:rPr>
              <w:t>Financijski pomoći poljoprivrednicima pri zaključivanju polica osiguranja</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Osiguravajuća društva</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1230"/>
          <w:jc w:val="center"/>
        </w:trPr>
        <w:tc>
          <w:tcPr>
            <w:tcW w:w="1413" w:type="dxa"/>
            <w:vMerge/>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709" w:type="dxa"/>
            <w:vMerge/>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rPr>
            </w:pPr>
            <w:r>
              <w:rPr>
                <w:rFonts w:cs="Calibri"/>
                <w:sz w:val="20"/>
                <w:szCs w:val="20"/>
              </w:rPr>
              <w:t>Koordinirati aktivnosti oko prijava za sufinanciranje projekata zaštite dugogodišnjih nasada iz sredstava EU.</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(ako imate nekoga tko se bavi europskim fondovima unutar općine možete navesti)</w:t>
            </w:r>
          </w:p>
        </w:tc>
        <w:tc>
          <w:tcPr>
            <w:tcW w:w="1564"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Pozicija u proračunu</w:t>
            </w:r>
          </w:p>
        </w:tc>
      </w:tr>
      <w:tr w:rsidR="005C1E80" w:rsidTr="00F57898">
        <w:trPr>
          <w:cantSplit/>
          <w:trHeight w:val="765"/>
          <w:jc w:val="center"/>
        </w:trPr>
        <w:tc>
          <w:tcPr>
            <w:tcW w:w="1413" w:type="dxa"/>
            <w:vMerge w:val="restart"/>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r>
              <w:rPr>
                <w:rFonts w:cs="Calibri"/>
                <w:i/>
                <w:iCs/>
                <w:sz w:val="20"/>
                <w:szCs w:val="20"/>
              </w:rPr>
              <w:t>EPIDEMIJE I PANDEMIJE</w:t>
            </w:r>
          </w:p>
        </w:tc>
        <w:tc>
          <w:tcPr>
            <w:tcW w:w="709" w:type="dxa"/>
            <w:vMerge w:val="restart"/>
            <w:shd w:val="clear" w:color="auto" w:fill="FFC0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b/>
                <w:bCs/>
                <w:i/>
                <w:iCs/>
                <w:sz w:val="20"/>
                <w:szCs w:val="20"/>
              </w:rPr>
            </w:pPr>
            <w:r>
              <w:rPr>
                <w:rFonts w:cs="Calibri"/>
                <w:i/>
                <w:iCs/>
                <w:sz w:val="20"/>
                <w:szCs w:val="20"/>
              </w:rPr>
              <w:t>TOLERANTNO</w:t>
            </w:r>
            <w:r>
              <w:rPr>
                <w:rFonts w:cs="Calibri"/>
                <w:sz w:val="20"/>
                <w:szCs w:val="20"/>
              </w:rPr>
              <w:t> </w:t>
            </w: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 xml:space="preserve">Stalno pratiti stanje i sanirati novo nastale divlje deponije otpada. </w:t>
            </w:r>
          </w:p>
          <w:p w:rsidR="005C1E80" w:rsidRDefault="005C1E80" w:rsidP="00F57898">
            <w:pPr>
              <w:spacing w:before="100" w:beforeAutospacing="1" w:after="100" w:afterAutospacing="1" w:line="240" w:lineRule="auto"/>
              <w:jc w:val="center"/>
              <w:textAlignment w:val="baseline"/>
              <w:rPr>
                <w:rFonts w:cs="Calibri"/>
                <w:sz w:val="20"/>
                <w:szCs w:val="20"/>
              </w:rPr>
            </w:pP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Komunalni redar</w:t>
            </w:r>
          </w:p>
        </w:tc>
        <w:tc>
          <w:tcPr>
            <w:tcW w:w="1564"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w:t>
            </w:r>
          </w:p>
        </w:tc>
      </w:tr>
      <w:tr w:rsidR="005C1E80" w:rsidTr="00F57898">
        <w:trPr>
          <w:cantSplit/>
          <w:trHeight w:val="1196"/>
          <w:jc w:val="center"/>
        </w:trPr>
        <w:tc>
          <w:tcPr>
            <w:tcW w:w="1413" w:type="dxa"/>
            <w:vMerge/>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i/>
                <w:iCs/>
                <w:sz w:val="20"/>
                <w:szCs w:val="20"/>
              </w:rPr>
            </w:pPr>
          </w:p>
        </w:tc>
        <w:tc>
          <w:tcPr>
            <w:tcW w:w="709" w:type="dxa"/>
            <w:vMerge/>
            <w:shd w:val="clear" w:color="auto" w:fill="FFC0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7087" w:type="dxa"/>
            <w:gridSpan w:val="4"/>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Ostale preventivne mjere stanovnici sami provode sukladno Zakonu o zaštiti pučanstva od zaraznih bolesti.(</w:t>
            </w:r>
            <w:r>
              <w:t xml:space="preserve"> </w:t>
            </w:r>
            <w:r>
              <w:rPr>
                <w:rFonts w:cs="Calibri"/>
                <w:sz w:val="20"/>
                <w:szCs w:val="20"/>
              </w:rPr>
              <w:t>NN 79/07, 113/08, 43/09, 130/17, 114/18, 47/20, 134/20)</w:t>
            </w:r>
          </w:p>
        </w:tc>
        <w:tc>
          <w:tcPr>
            <w:tcW w:w="1564"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w:t>
            </w:r>
          </w:p>
        </w:tc>
      </w:tr>
      <w:tr w:rsidR="005C1E80" w:rsidTr="00F57898">
        <w:trPr>
          <w:cantSplit/>
          <w:trHeight w:val="797"/>
          <w:jc w:val="center"/>
        </w:trPr>
        <w:tc>
          <w:tcPr>
            <w:tcW w:w="1413" w:type="dxa"/>
            <w:vMerge w:val="restart"/>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i/>
                <w:iCs/>
                <w:sz w:val="20"/>
                <w:szCs w:val="20"/>
              </w:rPr>
            </w:pPr>
          </w:p>
          <w:p w:rsidR="005C1E80" w:rsidRDefault="005C1E80" w:rsidP="00F57898">
            <w:pPr>
              <w:spacing w:after="0" w:line="240" w:lineRule="auto"/>
              <w:ind w:left="113" w:right="113"/>
              <w:jc w:val="center"/>
              <w:textAlignment w:val="baseline"/>
              <w:rPr>
                <w:rFonts w:cs="Calibri"/>
                <w:i/>
                <w:iCs/>
                <w:sz w:val="20"/>
                <w:szCs w:val="20"/>
              </w:rPr>
            </w:pPr>
          </w:p>
          <w:p w:rsidR="005C1E80" w:rsidRDefault="005C1E80" w:rsidP="00F57898">
            <w:pPr>
              <w:spacing w:after="0" w:line="240" w:lineRule="auto"/>
              <w:ind w:left="113" w:right="113"/>
              <w:jc w:val="center"/>
              <w:textAlignment w:val="baseline"/>
              <w:rPr>
                <w:rFonts w:cs="Calibri"/>
                <w:i/>
                <w:iCs/>
                <w:sz w:val="20"/>
                <w:szCs w:val="20"/>
              </w:rPr>
            </w:pPr>
            <w:r>
              <w:rPr>
                <w:rFonts w:cs="Calibri"/>
                <w:i/>
                <w:iCs/>
                <w:sz w:val="20"/>
                <w:szCs w:val="20"/>
              </w:rPr>
              <w:t>NESREĆE S OPASNIM TVARIMA</w:t>
            </w:r>
          </w:p>
          <w:p w:rsidR="005C1E80" w:rsidRDefault="005C1E80" w:rsidP="00F57898">
            <w:pPr>
              <w:spacing w:after="0" w:line="240" w:lineRule="auto"/>
              <w:ind w:left="113" w:right="113"/>
              <w:jc w:val="center"/>
              <w:textAlignment w:val="baseline"/>
              <w:rPr>
                <w:rFonts w:cs="Calibri"/>
                <w:i/>
                <w:sz w:val="20"/>
                <w:szCs w:val="20"/>
              </w:rPr>
            </w:pPr>
            <w:r>
              <w:rPr>
                <w:rFonts w:cs="Calibri"/>
                <w:i/>
                <w:iCs/>
                <w:sz w:val="20"/>
                <w:szCs w:val="20"/>
              </w:rPr>
              <w:t>- INDUSTRIJSKE NESREĆE</w:t>
            </w:r>
          </w:p>
          <w:p w:rsidR="005C1E80" w:rsidRDefault="005C1E80" w:rsidP="00F57898">
            <w:pPr>
              <w:spacing w:after="0" w:line="240" w:lineRule="auto"/>
              <w:ind w:left="113" w:right="113"/>
              <w:jc w:val="center"/>
              <w:textAlignment w:val="baseline"/>
              <w:rPr>
                <w:rFonts w:cs="Calibri"/>
                <w:i/>
                <w:iCs/>
                <w:sz w:val="20"/>
                <w:szCs w:val="20"/>
              </w:rPr>
            </w:pPr>
          </w:p>
          <w:p w:rsidR="005C1E80" w:rsidRDefault="005C1E80" w:rsidP="00F57898">
            <w:pPr>
              <w:spacing w:after="0" w:line="240" w:lineRule="auto"/>
              <w:ind w:left="113" w:right="113"/>
              <w:jc w:val="center"/>
              <w:textAlignment w:val="baseline"/>
              <w:rPr>
                <w:rFonts w:cs="Calibri"/>
                <w:i/>
                <w:sz w:val="20"/>
                <w:szCs w:val="20"/>
              </w:rPr>
            </w:pPr>
          </w:p>
        </w:tc>
        <w:tc>
          <w:tcPr>
            <w:tcW w:w="709" w:type="dxa"/>
            <w:vMerge w:val="restart"/>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r>
              <w:rPr>
                <w:rFonts w:cs="Calibri"/>
                <w:i/>
                <w:iCs/>
                <w:sz w:val="20"/>
                <w:szCs w:val="20"/>
              </w:rPr>
              <w:t>TOLERANTNO</w:t>
            </w:r>
            <w:r>
              <w:rPr>
                <w:rFonts w:cs="Calibri"/>
                <w:sz w:val="20"/>
                <w:szCs w:val="20"/>
              </w:rPr>
              <w:t> </w:t>
            </w: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Inzistirati na instaliranju sustava za uzbunjivanje pravnih osoba, posjednika opasnih tvari.</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DVD, Pravne osobe</w:t>
            </w:r>
          </w:p>
        </w:tc>
        <w:tc>
          <w:tcPr>
            <w:tcW w:w="1564" w:type="dxa"/>
            <w:shd w:val="clear" w:color="auto" w:fill="FFFFFF"/>
            <w:vAlign w:val="center"/>
          </w:tcPr>
          <w:p w:rsidR="005C1E80" w:rsidRDefault="00DD1C99" w:rsidP="00F57898">
            <w:pPr>
              <w:spacing w:before="100" w:beforeAutospacing="1" w:after="100" w:afterAutospacing="1" w:line="240" w:lineRule="auto"/>
              <w:jc w:val="center"/>
              <w:textAlignment w:val="baseline"/>
              <w:rPr>
                <w:rFonts w:cs="Calibri"/>
                <w:b/>
                <w:bCs/>
                <w:sz w:val="20"/>
                <w:szCs w:val="20"/>
              </w:rPr>
            </w:pPr>
            <w:hyperlink r:id="rId16" w:history="1">
              <w:r w:rsidR="005C1E80">
                <w:rPr>
                  <w:rStyle w:val="Hiperveza"/>
                  <w:rFonts w:cs="Calibri"/>
                  <w:sz w:val="20"/>
                  <w:szCs w:val="20"/>
                </w:rPr>
                <w:t>Tablica 2</w:t>
              </w:r>
            </w:hyperlink>
          </w:p>
        </w:tc>
      </w:tr>
      <w:tr w:rsidR="005C1E80" w:rsidTr="00F57898">
        <w:trPr>
          <w:cantSplit/>
          <w:trHeight w:val="70"/>
          <w:jc w:val="center"/>
        </w:trPr>
        <w:tc>
          <w:tcPr>
            <w:tcW w:w="1413" w:type="dxa"/>
            <w:vMerge/>
            <w:shd w:val="clear" w:color="auto" w:fill="FFFFFF"/>
            <w:vAlign w:val="center"/>
          </w:tcPr>
          <w:p w:rsidR="005C1E80" w:rsidRDefault="005C1E80" w:rsidP="00F57898">
            <w:pPr>
              <w:spacing w:after="0" w:line="240" w:lineRule="auto"/>
              <w:ind w:left="113" w:right="113"/>
              <w:jc w:val="center"/>
              <w:textAlignment w:val="baseline"/>
              <w:rPr>
                <w:rFonts w:cs="Calibri"/>
                <w:i/>
                <w:iCs/>
                <w:sz w:val="20"/>
                <w:szCs w:val="20"/>
              </w:rPr>
            </w:pPr>
          </w:p>
        </w:tc>
        <w:tc>
          <w:tcPr>
            <w:tcW w:w="709" w:type="dxa"/>
            <w:vMerge/>
            <w:shd w:val="clear" w:color="auto" w:fill="FFFF00"/>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Upoznati stanovništvo  s pravnim subjektima , posjednicima opasnih tvari i mogućim posljedicama tehničko tehnološke nesreće i  načinom provedbe samozaštite i organizirane zaštite</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Hrvatske vode, DVD, MUP, stožer civilne zaštite, Služba civilne zaštite</w:t>
            </w:r>
          </w:p>
        </w:tc>
        <w:tc>
          <w:tcPr>
            <w:tcW w:w="1564" w:type="dxa"/>
            <w:shd w:val="clear" w:color="auto" w:fill="FFFFFF"/>
            <w:vAlign w:val="center"/>
          </w:tcPr>
          <w:p w:rsidR="005C1E80" w:rsidRDefault="00DD1C99" w:rsidP="00F57898">
            <w:pPr>
              <w:spacing w:before="100" w:beforeAutospacing="1" w:after="100" w:afterAutospacing="1" w:line="240" w:lineRule="auto"/>
              <w:jc w:val="center"/>
              <w:textAlignment w:val="baseline"/>
              <w:rPr>
                <w:rFonts w:cs="Calibri"/>
                <w:b/>
                <w:bCs/>
                <w:sz w:val="20"/>
                <w:szCs w:val="20"/>
              </w:rPr>
            </w:pPr>
            <w:hyperlink r:id="rId17" w:history="1">
              <w:r w:rsidR="005C1E80">
                <w:rPr>
                  <w:rStyle w:val="Hiperveza"/>
                  <w:rFonts w:cs="Calibri"/>
                  <w:b/>
                  <w:bCs/>
                  <w:sz w:val="20"/>
                  <w:szCs w:val="20"/>
                </w:rPr>
                <w:t>Tablica 3</w:t>
              </w:r>
            </w:hyperlink>
          </w:p>
        </w:tc>
      </w:tr>
      <w:tr w:rsidR="005C1E80" w:rsidTr="00F57898">
        <w:trPr>
          <w:cantSplit/>
          <w:trHeight w:val="1297"/>
          <w:jc w:val="center"/>
        </w:trPr>
        <w:tc>
          <w:tcPr>
            <w:tcW w:w="1413" w:type="dxa"/>
            <w:vMerge/>
            <w:shd w:val="clear" w:color="auto" w:fill="FFFFFF"/>
            <w:vAlign w:val="center"/>
          </w:tcPr>
          <w:p w:rsidR="005C1E80" w:rsidRDefault="005C1E80" w:rsidP="00F57898">
            <w:pPr>
              <w:spacing w:after="0" w:line="240" w:lineRule="auto"/>
              <w:ind w:left="113" w:right="113"/>
              <w:jc w:val="center"/>
              <w:textAlignment w:val="baseline"/>
              <w:rPr>
                <w:rFonts w:cs="Calibri"/>
                <w:i/>
                <w:iCs/>
                <w:sz w:val="20"/>
                <w:szCs w:val="20"/>
              </w:rPr>
            </w:pPr>
          </w:p>
        </w:tc>
        <w:tc>
          <w:tcPr>
            <w:tcW w:w="709" w:type="dxa"/>
            <w:vMerge/>
            <w:shd w:val="clear" w:color="auto" w:fill="FFFF00"/>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p>
        </w:tc>
        <w:tc>
          <w:tcPr>
            <w:tcW w:w="2790" w:type="dxa"/>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Organizirati  vježbe sklanjanja, evakuacije i spašavanja stanovništva iz ugroženih područja.</w:t>
            </w:r>
          </w:p>
        </w:tc>
        <w:tc>
          <w:tcPr>
            <w:tcW w:w="1603" w:type="dxa"/>
            <w:shd w:val="clear" w:color="auto" w:fill="FFFFFF"/>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Do kraja tekuće godine</w:t>
            </w:r>
          </w:p>
        </w:tc>
        <w:tc>
          <w:tcPr>
            <w:tcW w:w="141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Načelnik Općine</w:t>
            </w:r>
          </w:p>
        </w:tc>
        <w:tc>
          <w:tcPr>
            <w:tcW w:w="1277" w:type="dxa"/>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b/>
                <w:bCs/>
                <w:sz w:val="20"/>
                <w:szCs w:val="20"/>
              </w:rPr>
              <w:t>Hrvatske vode, DVD, MUP, stožer civilne zaštite, Služba civilne zaštite</w:t>
            </w:r>
          </w:p>
        </w:tc>
        <w:tc>
          <w:tcPr>
            <w:tcW w:w="1564" w:type="dxa"/>
            <w:shd w:val="clear" w:color="auto" w:fill="FFFFFF"/>
            <w:vAlign w:val="center"/>
          </w:tcPr>
          <w:p w:rsidR="005C1E80" w:rsidRDefault="00DD1C99" w:rsidP="00F57898">
            <w:pPr>
              <w:spacing w:before="100" w:beforeAutospacing="1" w:after="100" w:afterAutospacing="1" w:line="240" w:lineRule="auto"/>
              <w:jc w:val="center"/>
              <w:textAlignment w:val="baseline"/>
              <w:rPr>
                <w:rFonts w:cs="Calibri"/>
                <w:b/>
                <w:bCs/>
                <w:sz w:val="20"/>
                <w:szCs w:val="20"/>
              </w:rPr>
            </w:pPr>
            <w:hyperlink r:id="rId18" w:history="1">
              <w:r w:rsidR="005C1E80">
                <w:rPr>
                  <w:rStyle w:val="Hiperveza"/>
                  <w:rFonts w:cs="Calibri"/>
                  <w:b/>
                  <w:bCs/>
                  <w:sz w:val="20"/>
                  <w:szCs w:val="20"/>
                </w:rPr>
                <w:t>Tablica 3</w:t>
              </w:r>
            </w:hyperlink>
          </w:p>
        </w:tc>
      </w:tr>
      <w:tr w:rsidR="005C1E80" w:rsidTr="00F57898">
        <w:trPr>
          <w:cantSplit/>
          <w:trHeight w:val="3094"/>
          <w:jc w:val="center"/>
        </w:trPr>
        <w:tc>
          <w:tcPr>
            <w:tcW w:w="1413" w:type="dxa"/>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i/>
                <w:iCs/>
                <w:sz w:val="16"/>
                <w:szCs w:val="16"/>
              </w:rPr>
            </w:pPr>
            <w:r>
              <w:rPr>
                <w:rFonts w:cs="Calibri"/>
                <w:i/>
                <w:iCs/>
                <w:sz w:val="16"/>
                <w:szCs w:val="16"/>
              </w:rPr>
              <w:t xml:space="preserve">NESREĆE S OPASNIM </w:t>
            </w:r>
          </w:p>
          <w:p w:rsidR="005C1E80" w:rsidRDefault="005C1E80" w:rsidP="00F57898">
            <w:pPr>
              <w:spacing w:after="0" w:line="240" w:lineRule="auto"/>
              <w:ind w:left="113" w:right="113"/>
              <w:jc w:val="center"/>
              <w:textAlignment w:val="baseline"/>
              <w:rPr>
                <w:rFonts w:cs="Calibri"/>
                <w:i/>
                <w:iCs/>
                <w:sz w:val="16"/>
                <w:szCs w:val="16"/>
              </w:rPr>
            </w:pPr>
            <w:r>
              <w:rPr>
                <w:rFonts w:cs="Calibri"/>
                <w:i/>
                <w:iCs/>
                <w:sz w:val="16"/>
                <w:szCs w:val="16"/>
              </w:rPr>
              <w:t>TVARIMA U CESTOVNOM PROMETU</w:t>
            </w:r>
          </w:p>
        </w:tc>
        <w:tc>
          <w:tcPr>
            <w:tcW w:w="709" w:type="dxa"/>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r>
              <w:rPr>
                <w:rFonts w:cs="Calibri"/>
                <w:i/>
                <w:iCs/>
                <w:sz w:val="20"/>
                <w:szCs w:val="20"/>
              </w:rPr>
              <w:t>TOLERANTNO</w:t>
            </w:r>
            <w:r>
              <w:rPr>
                <w:rFonts w:cs="Calibri"/>
                <w:sz w:val="20"/>
                <w:szCs w:val="20"/>
              </w:rPr>
              <w:t>  </w:t>
            </w:r>
          </w:p>
        </w:tc>
        <w:tc>
          <w:tcPr>
            <w:tcW w:w="8651" w:type="dxa"/>
            <w:gridSpan w:val="5"/>
            <w:shd w:val="clear" w:color="auto" w:fill="FFFFFF"/>
            <w:vAlign w:val="center"/>
          </w:tcPr>
          <w:p w:rsidR="005C1E80" w:rsidRDefault="005C1E80" w:rsidP="00F57898">
            <w:pPr>
              <w:spacing w:before="100" w:beforeAutospacing="1" w:after="100" w:afterAutospacing="1" w:line="240" w:lineRule="auto"/>
              <w:jc w:val="both"/>
              <w:textAlignment w:val="baseline"/>
              <w:rPr>
                <w:rFonts w:cs="Calibri"/>
                <w:sz w:val="20"/>
                <w:szCs w:val="20"/>
              </w:rPr>
            </w:pPr>
            <w:r>
              <w:rPr>
                <w:rFonts w:cs="Calibri"/>
                <w:sz w:val="20"/>
                <w:szCs w:val="20"/>
              </w:rPr>
              <w:t xml:space="preserve"> Provođenje preventivnih mjera je u nadležnosti pravnih osoba koje upravljaju državnim i županijskim cestama.</w:t>
            </w:r>
          </w:p>
          <w:p w:rsidR="005C1E80" w:rsidRDefault="005C1E80" w:rsidP="00F57898">
            <w:pPr>
              <w:spacing w:before="100" w:beforeAutospacing="1" w:after="100" w:afterAutospacing="1" w:line="240" w:lineRule="auto"/>
              <w:jc w:val="center"/>
              <w:textAlignment w:val="baseline"/>
              <w:rPr>
                <w:rFonts w:cs="Calibri"/>
                <w:sz w:val="20"/>
                <w:szCs w:val="20"/>
              </w:rPr>
            </w:pPr>
          </w:p>
          <w:p w:rsidR="005C1E80" w:rsidRDefault="005C1E80" w:rsidP="00F57898">
            <w:pPr>
              <w:spacing w:before="100" w:beforeAutospacing="1" w:after="100" w:afterAutospacing="1" w:line="240" w:lineRule="auto"/>
              <w:jc w:val="center"/>
              <w:textAlignment w:val="baseline"/>
              <w:rPr>
                <w:rFonts w:cs="Calibri"/>
                <w:sz w:val="20"/>
                <w:szCs w:val="20"/>
              </w:rPr>
            </w:pPr>
          </w:p>
          <w:p w:rsidR="005C1E80" w:rsidRDefault="005C1E80" w:rsidP="00F57898">
            <w:pPr>
              <w:spacing w:after="0" w:line="240" w:lineRule="auto"/>
              <w:rPr>
                <w:rFonts w:cs="Calibri"/>
                <w:b/>
                <w:bCs/>
                <w:sz w:val="20"/>
                <w:szCs w:val="20"/>
              </w:rPr>
            </w:pPr>
          </w:p>
          <w:p w:rsidR="005C1E80" w:rsidRDefault="005C1E80" w:rsidP="00F57898">
            <w:pPr>
              <w:spacing w:before="100" w:beforeAutospacing="1" w:after="100" w:afterAutospacing="1" w:line="240" w:lineRule="auto"/>
              <w:jc w:val="center"/>
              <w:textAlignment w:val="baseline"/>
              <w:rPr>
                <w:rFonts w:cs="Calibri"/>
                <w:b/>
                <w:bCs/>
                <w:sz w:val="20"/>
                <w:szCs w:val="20"/>
              </w:rPr>
            </w:pPr>
          </w:p>
        </w:tc>
      </w:tr>
      <w:tr w:rsidR="005C1E80" w:rsidTr="00F57898">
        <w:trPr>
          <w:cantSplit/>
          <w:trHeight w:val="2336"/>
          <w:jc w:val="center"/>
        </w:trPr>
        <w:tc>
          <w:tcPr>
            <w:tcW w:w="1413" w:type="dxa"/>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i/>
                <w:iCs/>
                <w:sz w:val="16"/>
                <w:szCs w:val="16"/>
              </w:rPr>
            </w:pPr>
            <w:r>
              <w:rPr>
                <w:rFonts w:cs="Calibri"/>
                <w:i/>
                <w:iCs/>
                <w:sz w:val="16"/>
                <w:szCs w:val="16"/>
              </w:rPr>
              <w:t>NESREĆE S OPASNIM TVARIMA U ŽELJEZNIČKOM PROMETU</w:t>
            </w:r>
          </w:p>
        </w:tc>
        <w:tc>
          <w:tcPr>
            <w:tcW w:w="709" w:type="dxa"/>
            <w:shd w:val="clear" w:color="auto" w:fill="FFFF00"/>
            <w:textDirection w:val="btLr"/>
            <w:vAlign w:val="center"/>
          </w:tcPr>
          <w:p w:rsidR="005C1E80" w:rsidRDefault="005C1E80" w:rsidP="00F57898">
            <w:pPr>
              <w:spacing w:before="100" w:beforeAutospacing="1" w:after="100" w:afterAutospacing="1" w:line="240" w:lineRule="auto"/>
              <w:ind w:left="113" w:right="113"/>
              <w:jc w:val="center"/>
              <w:textAlignment w:val="baseline"/>
              <w:rPr>
                <w:rFonts w:cs="Calibri"/>
                <w:i/>
                <w:iCs/>
                <w:sz w:val="20"/>
                <w:szCs w:val="20"/>
              </w:rPr>
            </w:pPr>
            <w:r>
              <w:rPr>
                <w:rFonts w:cs="Calibri"/>
                <w:i/>
                <w:iCs/>
                <w:sz w:val="20"/>
                <w:szCs w:val="20"/>
              </w:rPr>
              <w:t>TOLERANTNO</w:t>
            </w:r>
          </w:p>
        </w:tc>
        <w:tc>
          <w:tcPr>
            <w:tcW w:w="8651" w:type="dxa"/>
            <w:gridSpan w:val="5"/>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Provođenje preventivnih mjera je u nadležnosti pravnih osoba koje upravljaju hrvatskim željeznicama</w:t>
            </w:r>
          </w:p>
          <w:p w:rsidR="005C1E80" w:rsidRDefault="005C1E80" w:rsidP="00F57898">
            <w:pPr>
              <w:spacing w:before="100" w:beforeAutospacing="1" w:after="100" w:afterAutospacing="1" w:line="240" w:lineRule="auto"/>
              <w:jc w:val="center"/>
              <w:textAlignment w:val="baseline"/>
              <w:rPr>
                <w:rFonts w:cs="Calibri"/>
                <w:sz w:val="20"/>
                <w:szCs w:val="20"/>
              </w:rPr>
            </w:pPr>
          </w:p>
        </w:tc>
      </w:tr>
    </w:tbl>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Razina2"/>
        <w:spacing w:before="120" w:after="120" w:line="276" w:lineRule="auto"/>
        <w:ind w:left="709" w:hanging="709"/>
        <w:rPr>
          <w:color w:val="231F20"/>
        </w:rPr>
      </w:pPr>
      <w:r>
        <w:t>Razvoj organizacije sustava civilne zaštite i operativnih kapaciteta za reagiranje u velikim nesrećama.</w:t>
      </w: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r>
        <w:rPr>
          <w:rFonts w:ascii="Calibri" w:hAnsi="Calibri" w:cs="Calibri"/>
        </w:rPr>
        <w:t xml:space="preserve"> </w:t>
      </w:r>
    </w:p>
    <w:p w:rsidR="005C1E80" w:rsidRDefault="005C1E80" w:rsidP="005C1E80">
      <w:pPr>
        <w:pStyle w:val="Razina3"/>
        <w:spacing w:before="240" w:after="240"/>
        <w:ind w:left="1003" w:hanging="720"/>
      </w:pPr>
      <w:r>
        <w:t>Planski i drugi dokumenti iz područja Civilne zaštite</w:t>
      </w:r>
    </w:p>
    <w:tbl>
      <w:tblPr>
        <w:tblW w:w="9784"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2889"/>
        <w:gridCol w:w="1367"/>
        <w:gridCol w:w="1559"/>
        <w:gridCol w:w="1843"/>
        <w:gridCol w:w="2126"/>
      </w:tblGrid>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jc w:val="center"/>
              <w:textAlignment w:val="baseline"/>
              <w:rPr>
                <w:rFonts w:cs="Calibri"/>
                <w:sz w:val="20"/>
                <w:szCs w:val="20"/>
              </w:rPr>
            </w:pPr>
            <w:r>
              <w:rPr>
                <w:rFonts w:cs="Calibri"/>
                <w:sz w:val="20"/>
                <w:szCs w:val="20"/>
              </w:rPr>
              <w:t>Dokumenti</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Rokovi izvršenja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Nositelji izrade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Suradnja</w:t>
            </w:r>
          </w:p>
        </w:tc>
        <w:tc>
          <w:tcPr>
            <w:tcW w:w="2126" w:type="dxa"/>
            <w:tcBorders>
              <w:top w:val="single" w:sz="4" w:space="0" w:color="000000"/>
              <w:left w:val="single" w:sz="4" w:space="0" w:color="auto"/>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Planirana sredstva</w:t>
            </w:r>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Donošenje odluke o imenovanju članova Stožera CZ</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U roku 30 dana od dana stupanja na dužnost Općinskog načelnika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Operativne snage</w:t>
            </w:r>
          </w:p>
        </w:tc>
        <w:tc>
          <w:tcPr>
            <w:tcW w:w="2126" w:type="dxa"/>
            <w:tcBorders>
              <w:top w:val="single" w:sz="4" w:space="0" w:color="000000"/>
              <w:left w:val="single" w:sz="4" w:space="0" w:color="auto"/>
              <w:bottom w:val="single" w:sz="4" w:space="0" w:color="000000"/>
              <w:right w:val="single" w:sz="4" w:space="0" w:color="000000"/>
            </w:tcBorders>
            <w:shd w:val="clear" w:color="auto" w:fill="FFFFFF"/>
            <w:vAlign w:val="center"/>
          </w:tcPr>
          <w:p w:rsidR="005C1E80" w:rsidRDefault="00DD1C99" w:rsidP="00F57898">
            <w:pPr>
              <w:spacing w:before="100" w:beforeAutospacing="1" w:after="100" w:afterAutospacing="1" w:line="240" w:lineRule="auto"/>
              <w:jc w:val="center"/>
              <w:textAlignment w:val="baseline"/>
              <w:rPr>
                <w:rFonts w:cs="Calibri"/>
                <w:sz w:val="20"/>
                <w:szCs w:val="20"/>
              </w:rPr>
            </w:pPr>
            <w:hyperlink r:id="rId19"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Donijeti Odluku o određivanju pravnih osoba od interesa za sustav civilne zaštite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U roku od šest mjeseci od dana usvajanja procjene rizika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 prijedlog načelnika donosi općinsko vijeće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Pravne osobe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0"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Donošenje odluke o formiranju postrojbe CZ</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nakon donošenja procjene rizika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 prijedlog načelnika donosi općinsko vijeće</w:t>
            </w:r>
          </w:p>
        </w:tc>
        <w:tc>
          <w:tcPr>
            <w:tcW w:w="1843" w:type="dxa"/>
            <w:tcBorders>
              <w:top w:val="single" w:sz="4" w:space="0" w:color="000000"/>
              <w:left w:val="single" w:sz="4" w:space="0" w:color="000000"/>
              <w:bottom w:val="single" w:sz="4" w:space="0" w:color="000000"/>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1"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Donošenje odluke o osobnom ustroju postrojbe CZ</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nakon donošenja odluke o formiranju postrojbe CZ</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2"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Odluka o imenovanju povjerenika civilne zaštite i njihovih zamjenika</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Nakon donošenja procjene rizika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3"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Donošenje Odluke o izradi Procjene rizika</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3.mjesec 2024. (usklađivanje)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4"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Izrada Procjene rizika</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3.mjesec 2024 (usklađivanje).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5"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Izrada Plana djelovanja Civilne zaštite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 xml:space="preserve">Do kraja prosinca tekuće godine za sljedeću godinu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6"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Izraditi smjernice za organizaciju i razvoj sustava civilne zaštite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Nakon donošenja procjene rizika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7" w:history="1">
              <w:r w:rsidR="005C1E80">
                <w:rPr>
                  <w:rStyle w:val="Hiperveza"/>
                  <w:rFonts w:cs="Calibri"/>
                  <w:sz w:val="20"/>
                  <w:szCs w:val="20"/>
                </w:rPr>
                <w:t>Tablica troškova</w:t>
              </w:r>
            </w:hyperlink>
          </w:p>
        </w:tc>
      </w:tr>
      <w:tr w:rsidR="005C1E80" w:rsidTr="00F57898">
        <w:trPr>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Izrada plana vježbi civilne zaštite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 xml:space="preserve">Do kraja prosinca tekuće </w:t>
            </w:r>
            <w:r>
              <w:rPr>
                <w:rFonts w:cs="Calibri"/>
                <w:sz w:val="20"/>
                <w:szCs w:val="20"/>
              </w:rPr>
              <w:lastRenderedPageBreak/>
              <w:t>godine za sljedeću godinu</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lastRenderedPageBreak/>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8" w:history="1">
              <w:r w:rsidR="005C1E80">
                <w:rPr>
                  <w:rStyle w:val="Hiperveza"/>
                  <w:rFonts w:cs="Calibri"/>
                  <w:sz w:val="20"/>
                  <w:szCs w:val="20"/>
                </w:rPr>
                <w:t>Tablica troškova</w:t>
              </w:r>
            </w:hyperlink>
          </w:p>
        </w:tc>
      </w:tr>
      <w:tr w:rsidR="005C1E80" w:rsidTr="00F57898">
        <w:trPr>
          <w:trHeight w:val="1093"/>
          <w:jc w:val="center"/>
        </w:trPr>
        <w:tc>
          <w:tcPr>
            <w:tcW w:w="2889"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lastRenderedPageBreak/>
              <w:t>Godišnji provedbeni plan razvoja sustava civilne zaštite s financijskim učincima za trogodišnje razdoblje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Do konca tekuće godine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 prijedlog načelnika donosi općinsko vijeće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29" w:history="1">
              <w:r w:rsidR="005C1E80">
                <w:rPr>
                  <w:rStyle w:val="Hiperveza"/>
                  <w:rFonts w:cs="Calibri"/>
                  <w:sz w:val="20"/>
                  <w:szCs w:val="20"/>
                </w:rPr>
                <w:t>Tablica troškova</w:t>
              </w:r>
            </w:hyperlink>
          </w:p>
        </w:tc>
      </w:tr>
      <w:tr w:rsidR="005C1E80" w:rsidTr="00F57898">
        <w:trPr>
          <w:jc w:val="center"/>
        </w:trPr>
        <w:tc>
          <w:tcPr>
            <w:tcW w:w="2889" w:type="dxa"/>
            <w:tcBorders>
              <w:bottom w:val="single" w:sz="4" w:space="0" w:color="auto"/>
            </w:tcBorders>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Zatražiti Izvješće o radu i Plan rada Županijske vatrogasne zajednice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konca tekuće godine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Vatrogasna zajednica/DVD</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0" w:history="1">
              <w:r w:rsidR="005C1E80">
                <w:rPr>
                  <w:rStyle w:val="Hiperveza"/>
                  <w:rFonts w:cs="Calibri"/>
                  <w:sz w:val="20"/>
                  <w:szCs w:val="20"/>
                </w:rPr>
                <w:t>Tablica troškova</w:t>
              </w:r>
            </w:hyperlink>
          </w:p>
        </w:tc>
      </w:tr>
      <w:tr w:rsidR="005C1E80" w:rsidTr="00F57898">
        <w:trPr>
          <w:jc w:val="center"/>
        </w:trPr>
        <w:tc>
          <w:tcPr>
            <w:tcW w:w="2889" w:type="dxa"/>
            <w:tcBorders>
              <w:bottom w:val="single" w:sz="4" w:space="0" w:color="auto"/>
            </w:tcBorders>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Izraditi Procjenu ugroženosti od požara i tehnološke eksplozije i Plan zaštite od požara</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Usklađivanje svakih 5 godina</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pPr>
            <w:hyperlink r:id="rId31" w:history="1">
              <w:r w:rsidR="005C1E80">
                <w:rPr>
                  <w:rStyle w:val="Hiperveza"/>
                  <w:rFonts w:cs="Calibri"/>
                  <w:sz w:val="20"/>
                  <w:szCs w:val="20"/>
                </w:rPr>
                <w:t>Tablica troškova</w:t>
              </w:r>
            </w:hyperlink>
          </w:p>
        </w:tc>
      </w:tr>
      <w:tr w:rsidR="005C1E80" w:rsidTr="00F57898">
        <w:trPr>
          <w:jc w:val="center"/>
        </w:trPr>
        <w:tc>
          <w:tcPr>
            <w:tcW w:w="2889" w:type="dxa"/>
            <w:tcBorders>
              <w:top w:val="single" w:sz="4" w:space="0" w:color="auto"/>
              <w:bottom w:val="single" w:sz="4" w:space="0" w:color="auto"/>
            </w:tcBorders>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Ishoditi izvješće o stanju sustava uzbunjivanja na prostoru Općine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konca tekuće godine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Služba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2" w:history="1">
              <w:r w:rsidR="005C1E80">
                <w:rPr>
                  <w:rStyle w:val="Hiperveza"/>
                  <w:rFonts w:cs="Calibri"/>
                  <w:sz w:val="20"/>
                  <w:szCs w:val="20"/>
                </w:rPr>
                <w:t>Tablica troškova</w:t>
              </w:r>
            </w:hyperlink>
          </w:p>
        </w:tc>
      </w:tr>
      <w:tr w:rsidR="005C1E80" w:rsidTr="00F57898">
        <w:trPr>
          <w:jc w:val="center"/>
        </w:trPr>
        <w:tc>
          <w:tcPr>
            <w:tcW w:w="2889" w:type="dxa"/>
            <w:tcBorders>
              <w:top w:val="single" w:sz="4" w:space="0" w:color="auto"/>
              <w:bottom w:val="single" w:sz="4" w:space="0" w:color="auto"/>
            </w:tcBorders>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Izraditi analizu stanja sustava civilne zaštite</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 xml:space="preserve">Do konca tekuće godine </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 prijedlog načelnika donosi općinsko vijeće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3" w:history="1">
              <w:r w:rsidR="005C1E80">
                <w:rPr>
                  <w:rStyle w:val="Hiperveza"/>
                  <w:rFonts w:cs="Calibri"/>
                  <w:sz w:val="20"/>
                  <w:szCs w:val="20"/>
                </w:rPr>
                <w:t>Tablica troškova</w:t>
              </w:r>
            </w:hyperlink>
          </w:p>
        </w:tc>
      </w:tr>
      <w:tr w:rsidR="005C1E80" w:rsidTr="00F57898">
        <w:trPr>
          <w:jc w:val="center"/>
        </w:trPr>
        <w:tc>
          <w:tcPr>
            <w:tcW w:w="2889" w:type="dxa"/>
            <w:tcBorders>
              <w:top w:val="single" w:sz="4" w:space="0" w:color="auto"/>
              <w:bottom w:val="single" w:sz="4" w:space="0" w:color="auto"/>
            </w:tcBorders>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Plan djelovanja u području prirodnih nepogoda</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30. studeni tekuće godine za iduću godinu</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Općinsko vijeće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4" w:history="1">
              <w:r w:rsidR="005C1E80">
                <w:rPr>
                  <w:rStyle w:val="Hiperveza"/>
                  <w:rFonts w:cs="Calibri"/>
                  <w:sz w:val="20"/>
                  <w:szCs w:val="20"/>
                </w:rPr>
                <w:t>Tablica troškova</w:t>
              </w:r>
            </w:hyperlink>
          </w:p>
        </w:tc>
      </w:tr>
      <w:tr w:rsidR="005C1E80" w:rsidTr="00F57898">
        <w:trPr>
          <w:jc w:val="center"/>
        </w:trPr>
        <w:tc>
          <w:tcPr>
            <w:tcW w:w="2889" w:type="dxa"/>
            <w:tcBorders>
              <w:top w:val="single" w:sz="4" w:space="0" w:color="auto"/>
            </w:tcBorders>
          </w:tcPr>
          <w:p w:rsidR="005C1E80" w:rsidRDefault="005C1E80" w:rsidP="00F57898">
            <w:pPr>
              <w:spacing w:before="100" w:beforeAutospacing="1" w:after="100" w:afterAutospacing="1" w:line="240" w:lineRule="auto"/>
              <w:ind w:left="45"/>
              <w:textAlignment w:val="baseline"/>
              <w:rPr>
                <w:rFonts w:cs="Calibri"/>
                <w:sz w:val="20"/>
                <w:szCs w:val="20"/>
              </w:rPr>
            </w:pPr>
            <w:r>
              <w:rPr>
                <w:rFonts w:cs="Calibri"/>
                <w:sz w:val="20"/>
                <w:szCs w:val="20"/>
              </w:rPr>
              <w:t>Izvješće o izvršenju plana djelovanja za proteklu kalendarsku godinu</w:t>
            </w:r>
          </w:p>
        </w:tc>
        <w:tc>
          <w:tcPr>
            <w:tcW w:w="136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31. ožujak tekuće godine</w:t>
            </w:r>
          </w:p>
        </w:tc>
        <w:tc>
          <w:tcPr>
            <w:tcW w:w="1559"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843"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Suradnik za poslove civilne zaštite</w:t>
            </w:r>
          </w:p>
        </w:tc>
        <w:tc>
          <w:tcPr>
            <w:tcW w:w="2126" w:type="dxa"/>
            <w:tcBorders>
              <w:top w:val="single" w:sz="4" w:space="0" w:color="000000"/>
              <w:left w:val="single" w:sz="4" w:space="0" w:color="auto"/>
              <w:bottom w:val="single" w:sz="4" w:space="0" w:color="000000"/>
              <w:right w:val="single" w:sz="4" w:space="0" w:color="000000"/>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5" w:history="1">
              <w:r w:rsidR="005C1E80">
                <w:rPr>
                  <w:rStyle w:val="Hiperveza"/>
                  <w:rFonts w:cs="Calibri"/>
                  <w:sz w:val="20"/>
                  <w:szCs w:val="20"/>
                </w:rPr>
                <w:t>Tablica troškova</w:t>
              </w:r>
            </w:hyperlink>
          </w:p>
        </w:tc>
      </w:tr>
    </w:tbl>
    <w:p w:rsidR="005C1E80" w:rsidRDefault="005C1E80" w:rsidP="005C1E80">
      <w:pPr>
        <w:pStyle w:val="box454509"/>
        <w:shd w:val="clear" w:color="auto" w:fill="FFFFFF"/>
        <w:spacing w:before="0" w:beforeAutospacing="0" w:after="48" w:afterAutospacing="0"/>
        <w:ind w:left="77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ind w:left="770"/>
        <w:textAlignment w:val="baseline"/>
        <w:rPr>
          <w:rFonts w:ascii="Calibri" w:hAnsi="Calibri" w:cs="Calibri"/>
        </w:rPr>
      </w:pPr>
    </w:p>
    <w:p w:rsidR="005C1E80" w:rsidRDefault="005C1E80" w:rsidP="005C1E80">
      <w:pPr>
        <w:pStyle w:val="Razina3"/>
        <w:spacing w:before="240" w:after="240"/>
        <w:ind w:left="1003" w:hanging="720"/>
      </w:pPr>
      <w:bookmarkStart w:id="34" w:name="_Hlk81897512"/>
      <w:r>
        <w:t xml:space="preserve">Rizici za koje je potrebno planirati reagiranje sustava CZ ( financiranje, edukacija, opremanje) </w:t>
      </w: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tbl>
      <w:tblPr>
        <w:tblW w:w="9432"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843"/>
        <w:gridCol w:w="40"/>
        <w:gridCol w:w="2606"/>
        <w:gridCol w:w="1275"/>
        <w:gridCol w:w="1418"/>
        <w:gridCol w:w="1647"/>
        <w:gridCol w:w="1603"/>
      </w:tblGrid>
      <w:tr w:rsidR="005C1E80" w:rsidTr="00F57898">
        <w:trPr>
          <w:jc w:val="center"/>
        </w:trPr>
        <w:tc>
          <w:tcPr>
            <w:tcW w:w="883" w:type="dxa"/>
            <w:gridSpan w:val="2"/>
            <w:tcBorders>
              <w:top w:val="single" w:sz="6" w:space="0" w:color="auto"/>
              <w:left w:val="single" w:sz="6" w:space="0" w:color="auto"/>
              <w:right w:val="single" w:sz="6" w:space="0" w:color="auto"/>
            </w:tcBorders>
            <w:shd w:val="clear" w:color="auto" w:fill="FFFFFF"/>
            <w:vAlign w:val="center"/>
          </w:tcPr>
          <w:bookmarkEnd w:id="34"/>
          <w:p w:rsidR="005C1E80" w:rsidRDefault="005C1E80" w:rsidP="00F57898">
            <w:pPr>
              <w:spacing w:after="0" w:line="240" w:lineRule="auto"/>
              <w:jc w:val="center"/>
              <w:textAlignment w:val="baseline"/>
              <w:rPr>
                <w:rFonts w:cs="Calibri"/>
                <w:i/>
                <w:iCs/>
                <w:sz w:val="20"/>
                <w:szCs w:val="20"/>
              </w:rPr>
            </w:pPr>
            <w:r>
              <w:rPr>
                <w:rFonts w:cs="Calibri"/>
                <w:i/>
                <w:iCs/>
                <w:sz w:val="20"/>
                <w:szCs w:val="20"/>
              </w:rPr>
              <w:t>RIZIK</w:t>
            </w: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Operativne mjere</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Rokovi izvršenja</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Nositelji izrade</w:t>
            </w:r>
          </w:p>
        </w:tc>
        <w:tc>
          <w:tcPr>
            <w:tcW w:w="1647" w:type="dxa"/>
            <w:tcBorders>
              <w:top w:val="single" w:sz="4" w:space="0" w:color="000000"/>
              <w:left w:val="single" w:sz="4" w:space="0" w:color="000000"/>
              <w:bottom w:val="single" w:sz="4" w:space="0" w:color="000000"/>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Suradnja</w:t>
            </w:r>
          </w:p>
        </w:tc>
        <w:tc>
          <w:tcPr>
            <w:tcW w:w="1603" w:type="dxa"/>
            <w:tcBorders>
              <w:top w:val="single" w:sz="4" w:space="0" w:color="000000"/>
              <w:left w:val="single" w:sz="4" w:space="0" w:color="000000"/>
              <w:bottom w:val="single" w:sz="4" w:space="0" w:color="000000"/>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Planirana sredstva</w:t>
            </w:r>
          </w:p>
        </w:tc>
      </w:tr>
      <w:tr w:rsidR="005C1E80" w:rsidTr="00F57898">
        <w:trPr>
          <w:jc w:val="center"/>
        </w:trPr>
        <w:tc>
          <w:tcPr>
            <w:tcW w:w="883" w:type="dxa"/>
            <w:gridSpan w:val="2"/>
            <w:vMerge w:val="restart"/>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20"/>
                <w:szCs w:val="20"/>
              </w:rPr>
              <w:t>POPLAVE IZAZVANE IZLIJEVANJEM VODENIH TIJELA</w:t>
            </w: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Provesti edukaciju Stožera CZ</w:t>
            </w:r>
          </w:p>
        </w:tc>
        <w:tc>
          <w:tcPr>
            <w:tcW w:w="1275" w:type="dxa"/>
            <w:tcBorders>
              <w:top w:val="single" w:sz="6" w:space="0" w:color="auto"/>
              <w:left w:val="outset" w:sz="6"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općine/načelnik stožera</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Služba civilne zaštite</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0" w:line="240" w:lineRule="auto"/>
              <w:jc w:val="center"/>
              <w:textAlignment w:val="baseline"/>
              <w:rPr>
                <w:rFonts w:cs="Calibri"/>
                <w:b/>
                <w:bCs/>
                <w:sz w:val="20"/>
                <w:szCs w:val="20"/>
              </w:rPr>
            </w:pPr>
            <w:hyperlink r:id="rId36" w:history="1">
              <w:r w:rsidR="005C1E80">
                <w:rPr>
                  <w:rStyle w:val="Hiperveza"/>
                  <w:rFonts w:cs="Calibri"/>
                  <w:b/>
                  <w:bCs/>
                  <w:sz w:val="20"/>
                  <w:szCs w:val="20"/>
                </w:rPr>
                <w:t>Tablica 3</w:t>
              </w:r>
            </w:hyperlink>
          </w:p>
          <w:p w:rsidR="005C1E80" w:rsidRDefault="00DD1C99" w:rsidP="00F57898">
            <w:pPr>
              <w:spacing w:after="0" w:line="240" w:lineRule="auto"/>
              <w:jc w:val="center"/>
              <w:textAlignment w:val="baseline"/>
              <w:rPr>
                <w:rStyle w:val="Hiperveza"/>
                <w:rFonts w:cs="Calibri"/>
                <w:sz w:val="20"/>
                <w:szCs w:val="20"/>
              </w:rPr>
            </w:pPr>
            <w:r>
              <w:rPr>
                <w:rFonts w:cs="Calibri"/>
                <w:sz w:val="20"/>
                <w:szCs w:val="20"/>
              </w:rPr>
              <w:fldChar w:fldCharType="begin"/>
            </w:r>
            <w:r w:rsidR="005C1E80">
              <w:rPr>
                <w:rFonts w:cs="Calibri"/>
                <w:sz w:val="20"/>
                <w:szCs w:val="20"/>
              </w:rPr>
              <w:instrText>HYPERLINK "C:\\Users\\X\\AppData\\Local\\Temp\\7zO0C250E29\\Tablica 4 PLAN SMJEŠTAJA, ODRŽAVANJA I ČUVANJA SREDSTAVA CIVILNE ZAŠTITE.xlsx"</w:instrText>
            </w:r>
            <w:r>
              <w:rPr>
                <w:rFonts w:cs="Calibri"/>
                <w:sz w:val="20"/>
                <w:szCs w:val="20"/>
              </w:rPr>
              <w:fldChar w:fldCharType="separate"/>
            </w:r>
            <w:r w:rsidR="005C1E80">
              <w:rPr>
                <w:rStyle w:val="Hiperveza"/>
                <w:rFonts w:cs="Calibri"/>
                <w:sz w:val="20"/>
                <w:szCs w:val="20"/>
              </w:rPr>
              <w:t>Tablica 4</w:t>
            </w:r>
          </w:p>
          <w:p w:rsidR="005C1E80" w:rsidRDefault="00DD1C99" w:rsidP="00F57898">
            <w:pPr>
              <w:spacing w:after="0" w:line="240" w:lineRule="auto"/>
              <w:jc w:val="center"/>
              <w:textAlignment w:val="baseline"/>
              <w:rPr>
                <w:rFonts w:cs="Calibri"/>
                <w:sz w:val="20"/>
                <w:szCs w:val="20"/>
              </w:rPr>
            </w:pPr>
            <w:r>
              <w:rPr>
                <w:rFonts w:cs="Calibri"/>
                <w:sz w:val="20"/>
                <w:szCs w:val="20"/>
              </w:rPr>
              <w:fldChar w:fldCharType="end"/>
            </w:r>
            <w:hyperlink r:id="rId37" w:history="1">
              <w:r w:rsidR="005C1E80">
                <w:rPr>
                  <w:rStyle w:val="Hiperveza"/>
                  <w:rFonts w:cs="Calibri"/>
                  <w:sz w:val="20"/>
                  <w:szCs w:val="20"/>
                </w:rPr>
                <w:t>Tablica 5</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Opremiti članove Stožera osobnom i skupnom opremom</w:t>
            </w:r>
          </w:p>
        </w:tc>
        <w:tc>
          <w:tcPr>
            <w:tcW w:w="1275" w:type="dxa"/>
            <w:tcBorders>
              <w:top w:val="single" w:sz="6" w:space="0" w:color="auto"/>
              <w:left w:val="outset" w:sz="6"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8" w:history="1">
              <w:r w:rsidR="005C1E80">
                <w:rPr>
                  <w:rStyle w:val="Hiperveza"/>
                  <w:rFonts w:cs="Calibri"/>
                  <w:b/>
                  <w:bCs/>
                  <w:sz w:val="20"/>
                  <w:szCs w:val="20"/>
                </w:rPr>
                <w:t>Tablica 3</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Provesti edukaciju Postrojbe civilne zaštite</w:t>
            </w:r>
          </w:p>
        </w:tc>
        <w:tc>
          <w:tcPr>
            <w:tcW w:w="1275" w:type="dxa"/>
            <w:tcBorders>
              <w:top w:val="single" w:sz="6" w:space="0" w:color="auto"/>
              <w:left w:val="outset" w:sz="6"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Služba civilne zaštite, MUP, Hrvatske vode</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39" w:history="1">
              <w:r w:rsidR="005C1E80">
                <w:rPr>
                  <w:rStyle w:val="Hiperveza"/>
                  <w:rFonts w:cs="Calibri"/>
                  <w:b/>
                  <w:bCs/>
                  <w:sz w:val="20"/>
                  <w:szCs w:val="20"/>
                </w:rPr>
                <w:t>Tablica 3</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Opremiti Postrojbu civilne zaštite</w:t>
            </w:r>
          </w:p>
        </w:tc>
        <w:tc>
          <w:tcPr>
            <w:tcW w:w="1275" w:type="dxa"/>
            <w:tcBorders>
              <w:top w:val="single" w:sz="6" w:space="0" w:color="auto"/>
              <w:left w:val="outset" w:sz="6"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0" w:line="240" w:lineRule="auto"/>
              <w:jc w:val="center"/>
              <w:textAlignment w:val="baseline"/>
              <w:rPr>
                <w:rStyle w:val="Hiperveza"/>
                <w:rFonts w:cs="Calibri"/>
                <w:sz w:val="20"/>
                <w:szCs w:val="20"/>
              </w:rPr>
            </w:pPr>
            <w:r>
              <w:rPr>
                <w:rFonts w:cs="Calibri"/>
                <w:sz w:val="20"/>
                <w:szCs w:val="20"/>
              </w:rPr>
              <w:fldChar w:fldCharType="begin"/>
            </w:r>
            <w:r w:rsidR="005C1E80">
              <w:rPr>
                <w:rFonts w:cs="Calibri"/>
                <w:sz w:val="20"/>
                <w:szCs w:val="20"/>
              </w:rPr>
              <w:instrText>HYPERLINK "C:\\Users\\X\\AppData\\Local\\Temp\\7zO0C250E29\\Tablica 1 PLAN OPREMANJA POSTROJBI CIVILNE ZAŠTITE OPĆINA GRAD.xlsx"</w:instrText>
            </w:r>
            <w:r>
              <w:rPr>
                <w:rFonts w:cs="Calibri"/>
                <w:sz w:val="20"/>
                <w:szCs w:val="20"/>
              </w:rPr>
              <w:fldChar w:fldCharType="separate"/>
            </w:r>
            <w:r w:rsidR="005C1E80">
              <w:rPr>
                <w:rStyle w:val="Hiperveza"/>
                <w:rFonts w:cs="Calibri"/>
                <w:sz w:val="20"/>
                <w:szCs w:val="20"/>
              </w:rPr>
              <w:t>Tablica 1</w:t>
            </w:r>
          </w:p>
          <w:p w:rsidR="005C1E80" w:rsidRDefault="00DD1C99" w:rsidP="00F57898">
            <w:pPr>
              <w:spacing w:after="0" w:line="240" w:lineRule="auto"/>
              <w:jc w:val="center"/>
              <w:textAlignment w:val="baseline"/>
              <w:rPr>
                <w:rFonts w:cs="Calibri"/>
                <w:sz w:val="20"/>
                <w:szCs w:val="20"/>
              </w:rPr>
            </w:pPr>
            <w:r>
              <w:rPr>
                <w:rFonts w:cs="Calibri"/>
                <w:sz w:val="20"/>
                <w:szCs w:val="20"/>
              </w:rPr>
              <w:fldChar w:fldCharType="end"/>
            </w:r>
            <w:hyperlink r:id="rId40" w:history="1">
              <w:r w:rsidR="005C1E80">
                <w:rPr>
                  <w:rStyle w:val="Hiperveza"/>
                  <w:rFonts w:cs="Calibri"/>
                  <w:sz w:val="20"/>
                  <w:szCs w:val="20"/>
                </w:rPr>
                <w:t>Tablica 4</w:t>
              </w:r>
            </w:hyperlink>
          </w:p>
          <w:p w:rsidR="005C1E80" w:rsidRDefault="00DD1C99" w:rsidP="00F57898">
            <w:pPr>
              <w:spacing w:after="0" w:line="240" w:lineRule="auto"/>
              <w:jc w:val="center"/>
              <w:textAlignment w:val="baseline"/>
              <w:rPr>
                <w:rFonts w:cs="Calibri"/>
                <w:sz w:val="20"/>
                <w:szCs w:val="20"/>
              </w:rPr>
            </w:pPr>
            <w:hyperlink r:id="rId41" w:history="1">
              <w:r w:rsidR="005C1E80">
                <w:rPr>
                  <w:rStyle w:val="Hiperveza"/>
                  <w:rFonts w:cs="Calibri"/>
                  <w:sz w:val="20"/>
                  <w:szCs w:val="20"/>
                </w:rPr>
                <w:t>Tablica 5</w:t>
              </w:r>
            </w:hyperlink>
          </w:p>
          <w:p w:rsidR="005C1E80" w:rsidRDefault="00DD1C99" w:rsidP="00F57898">
            <w:pPr>
              <w:spacing w:after="0" w:line="240" w:lineRule="auto"/>
              <w:jc w:val="center"/>
              <w:textAlignment w:val="baseline"/>
              <w:rPr>
                <w:rFonts w:cs="Calibri"/>
                <w:sz w:val="20"/>
                <w:szCs w:val="20"/>
              </w:rPr>
            </w:pPr>
            <w:hyperlink r:id="rId42" w:history="1">
              <w:r w:rsidR="005C1E80">
                <w:rPr>
                  <w:rStyle w:val="Hiperveza"/>
                  <w:rFonts w:cs="Calibri"/>
                  <w:sz w:val="20"/>
                  <w:szCs w:val="20"/>
                </w:rPr>
                <w:t>Tablica 6</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Provesti edukaciju povjerenika/zamjenika CZ</w:t>
            </w:r>
          </w:p>
        </w:tc>
        <w:tc>
          <w:tcPr>
            <w:tcW w:w="1275" w:type="dxa"/>
            <w:tcBorders>
              <w:top w:val="single" w:sz="6" w:space="0" w:color="auto"/>
              <w:left w:val="outset" w:sz="6"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Služba civilne zaštite, MUP, Hrvatske vode</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b/>
                <w:bCs/>
                <w:sz w:val="20"/>
                <w:szCs w:val="20"/>
              </w:rPr>
            </w:pPr>
            <w:hyperlink r:id="rId43" w:history="1">
              <w:r w:rsidR="005C1E80">
                <w:rPr>
                  <w:rStyle w:val="Hiperveza"/>
                  <w:rFonts w:cs="Calibri"/>
                  <w:b/>
                  <w:bCs/>
                  <w:sz w:val="20"/>
                  <w:szCs w:val="20"/>
                </w:rPr>
                <w:t>Tablica 3</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Opremiti vatrogasne snage sa materijalno tehničkim sredstvima za intervencije</w:t>
            </w:r>
          </w:p>
        </w:tc>
        <w:tc>
          <w:tcPr>
            <w:tcW w:w="1275" w:type="dxa"/>
            <w:tcBorders>
              <w:top w:val="single" w:sz="6" w:space="0" w:color="auto"/>
              <w:left w:val="outset" w:sz="6"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44" w:history="1">
              <w:r w:rsidR="005C1E80">
                <w:rPr>
                  <w:rStyle w:val="Hiperveza"/>
                  <w:rFonts w:cs="Calibri"/>
                  <w:sz w:val="20"/>
                  <w:szCs w:val="20"/>
                </w:rPr>
                <w:t>Tablica 2</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Otpočeti aktivnosti instaliranja sirena za uzbunjivanje u svim naseljima.</w:t>
            </w:r>
          </w:p>
        </w:tc>
        <w:tc>
          <w:tcPr>
            <w:tcW w:w="1275" w:type="dxa"/>
            <w:tcBorders>
              <w:top w:val="single" w:sz="6" w:space="0" w:color="auto"/>
              <w:left w:val="outset" w:sz="6"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45" w:history="1">
              <w:r w:rsidR="005C1E80">
                <w:rPr>
                  <w:rStyle w:val="Hiperveza"/>
                  <w:rFonts w:cs="Calibri"/>
                  <w:sz w:val="20"/>
                  <w:szCs w:val="20"/>
                </w:rPr>
                <w:t>Tablica 2</w:t>
              </w:r>
            </w:hyperlink>
          </w:p>
        </w:tc>
      </w:tr>
      <w:tr w:rsidR="005C1E80" w:rsidTr="00F57898">
        <w:trPr>
          <w:jc w:val="center"/>
        </w:trPr>
        <w:tc>
          <w:tcPr>
            <w:tcW w:w="883" w:type="dxa"/>
            <w:gridSpan w:val="2"/>
            <w:vMerge/>
            <w:tcBorders>
              <w:top w:val="single"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 xml:space="preserve">Planirati financijska sredstva za provedbu mjera reagiranja u </w:t>
            </w:r>
            <w:r>
              <w:rPr>
                <w:rFonts w:cs="Calibri"/>
                <w:sz w:val="20"/>
                <w:szCs w:val="20"/>
              </w:rPr>
              <w:lastRenderedPageBreak/>
              <w:t>slučaju prijetnje.</w:t>
            </w:r>
          </w:p>
        </w:tc>
        <w:tc>
          <w:tcPr>
            <w:tcW w:w="1275" w:type="dxa"/>
            <w:tcBorders>
              <w:top w:val="single" w:sz="6" w:space="0" w:color="auto"/>
              <w:left w:val="outset" w:sz="6"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lastRenderedPageBreak/>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46" w:history="1">
              <w:r w:rsidR="005C1E80">
                <w:rPr>
                  <w:rStyle w:val="Hiperveza"/>
                  <w:rFonts w:cs="Calibri"/>
                  <w:sz w:val="20"/>
                  <w:szCs w:val="20"/>
                </w:rPr>
                <w:t>Tablica 2</w:t>
              </w:r>
            </w:hyperlink>
          </w:p>
        </w:tc>
      </w:tr>
      <w:tr w:rsidR="005C1E80" w:rsidTr="00F57898">
        <w:trPr>
          <w:jc w:val="center"/>
        </w:trPr>
        <w:tc>
          <w:tcPr>
            <w:tcW w:w="883" w:type="dxa"/>
            <w:gridSpan w:val="2"/>
            <w:vMerge/>
            <w:tcBorders>
              <w:left w:val="single" w:sz="6" w:space="0" w:color="auto"/>
              <w:right w:val="single" w:sz="6" w:space="0" w:color="auto"/>
            </w:tcBorders>
            <w:shd w:val="clear" w:color="auto" w:fill="FFFFFF"/>
            <w:vAlign w:val="center"/>
          </w:tcPr>
          <w:p w:rsidR="005C1E80" w:rsidRDefault="005C1E80" w:rsidP="00F57898">
            <w:pPr>
              <w:spacing w:after="0" w:line="240" w:lineRule="auto"/>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textAlignment w:val="baseline"/>
              <w:rPr>
                <w:rFonts w:cs="Calibri"/>
                <w:sz w:val="20"/>
                <w:szCs w:val="20"/>
              </w:rPr>
            </w:pPr>
            <w:r>
              <w:rPr>
                <w:rFonts w:cs="Calibri"/>
                <w:sz w:val="20"/>
                <w:szCs w:val="20"/>
              </w:rPr>
              <w:t>Planirati  financijska sredstva za povrat u funkciju ugroženog područja. (proračunska rezerva).</w:t>
            </w:r>
          </w:p>
        </w:tc>
        <w:tc>
          <w:tcPr>
            <w:tcW w:w="1275" w:type="dxa"/>
            <w:tcBorders>
              <w:top w:val="single" w:sz="6" w:space="0" w:color="auto"/>
              <w:left w:val="outset" w:sz="6"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6"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w:t>
            </w:r>
          </w:p>
        </w:tc>
        <w:tc>
          <w:tcPr>
            <w:tcW w:w="1603" w:type="dxa"/>
            <w:tcBorders>
              <w:top w:val="single" w:sz="6"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47" w:history="1">
              <w:r w:rsidR="005C1E80">
                <w:rPr>
                  <w:rStyle w:val="Hiperveza"/>
                  <w:rFonts w:cs="Calibri"/>
                  <w:sz w:val="20"/>
                  <w:szCs w:val="20"/>
                </w:rPr>
                <w:t>Tablica 2</w:t>
              </w:r>
            </w:hyperlink>
          </w:p>
        </w:tc>
      </w:tr>
      <w:tr w:rsidR="005C1E80" w:rsidTr="00F57898">
        <w:trPr>
          <w:cantSplit/>
          <w:trHeight w:val="356"/>
          <w:jc w:val="center"/>
        </w:trPr>
        <w:tc>
          <w:tcPr>
            <w:tcW w:w="883" w:type="dxa"/>
            <w:gridSpan w:val="2"/>
            <w:vMerge w:val="restart"/>
            <w:tcBorders>
              <w:top w:val="outset" w:sz="6" w:space="0" w:color="auto"/>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20"/>
                <w:szCs w:val="20"/>
              </w:rPr>
              <w:t>POTRES</w:t>
            </w: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Provesti edukaciju Stožera CZ</w:t>
            </w:r>
          </w:p>
        </w:tc>
        <w:tc>
          <w:tcPr>
            <w:tcW w:w="1275" w:type="dxa"/>
            <w:tcBorders>
              <w:top w:val="single" w:sz="6"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6"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općine/načelnik stožera</w:t>
            </w:r>
          </w:p>
        </w:tc>
        <w:tc>
          <w:tcPr>
            <w:tcW w:w="1647" w:type="dxa"/>
            <w:tcBorders>
              <w:top w:val="single" w:sz="6"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Služba civilne zaštite</w:t>
            </w:r>
          </w:p>
        </w:tc>
        <w:tc>
          <w:tcPr>
            <w:tcW w:w="1603" w:type="dxa"/>
            <w:tcBorders>
              <w:top w:val="single" w:sz="6" w:space="0" w:color="auto"/>
              <w:left w:val="single" w:sz="4" w:space="0" w:color="auto"/>
              <w:bottom w:val="single" w:sz="4"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48" w:history="1">
              <w:r w:rsidR="005C1E80">
                <w:rPr>
                  <w:rStyle w:val="Hiperveza"/>
                  <w:rFonts w:cs="Calibri"/>
                  <w:b/>
                  <w:bCs/>
                  <w:sz w:val="20"/>
                  <w:szCs w:val="20"/>
                </w:rPr>
                <w:t>Tablica 3</w:t>
              </w:r>
            </w:hyperlink>
          </w:p>
        </w:tc>
      </w:tr>
      <w:tr w:rsidR="005C1E80" w:rsidTr="00F57898">
        <w:trPr>
          <w:cantSplit/>
          <w:trHeight w:val="290"/>
          <w:jc w:val="center"/>
        </w:trPr>
        <w:tc>
          <w:tcPr>
            <w:tcW w:w="883" w:type="dxa"/>
            <w:gridSpan w:val="2"/>
            <w:vMerge/>
            <w:tcBorders>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Opremiti članove Stožera osobnom i skupnom opremom.</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5C1E80" w:rsidRDefault="00DD1C99" w:rsidP="00F57898">
            <w:pPr>
              <w:spacing w:before="100" w:beforeAutospacing="1" w:after="0" w:line="240" w:lineRule="auto"/>
              <w:jc w:val="center"/>
              <w:textAlignment w:val="baseline"/>
              <w:rPr>
                <w:rFonts w:cs="Calibri"/>
                <w:b/>
                <w:bCs/>
                <w:sz w:val="20"/>
                <w:szCs w:val="20"/>
              </w:rPr>
            </w:pPr>
            <w:hyperlink r:id="rId49" w:history="1">
              <w:r w:rsidR="005C1E80">
                <w:rPr>
                  <w:rStyle w:val="Hiperveza"/>
                  <w:rFonts w:cs="Calibri"/>
                  <w:b/>
                  <w:bCs/>
                  <w:sz w:val="20"/>
                  <w:szCs w:val="20"/>
                </w:rPr>
                <w:t>Tablica 3</w:t>
              </w:r>
            </w:hyperlink>
          </w:p>
          <w:p w:rsidR="005C1E80" w:rsidRDefault="00DD1C99" w:rsidP="00F57898">
            <w:pPr>
              <w:spacing w:after="0" w:line="240" w:lineRule="auto"/>
              <w:jc w:val="center"/>
              <w:textAlignment w:val="baseline"/>
              <w:rPr>
                <w:rFonts w:cs="Calibri"/>
                <w:sz w:val="20"/>
                <w:szCs w:val="20"/>
              </w:rPr>
            </w:pPr>
            <w:hyperlink r:id="rId50" w:history="1">
              <w:r w:rsidR="005C1E80">
                <w:rPr>
                  <w:rStyle w:val="Hiperveza"/>
                  <w:rFonts w:cs="Calibri"/>
                  <w:sz w:val="20"/>
                  <w:szCs w:val="20"/>
                </w:rPr>
                <w:t>Tablica 4</w:t>
              </w:r>
            </w:hyperlink>
          </w:p>
          <w:p w:rsidR="005C1E80" w:rsidRDefault="00DD1C99" w:rsidP="00F57898">
            <w:pPr>
              <w:spacing w:after="0" w:line="240" w:lineRule="auto"/>
              <w:jc w:val="center"/>
              <w:textAlignment w:val="baseline"/>
              <w:rPr>
                <w:rFonts w:cs="Calibri"/>
                <w:sz w:val="20"/>
                <w:szCs w:val="20"/>
              </w:rPr>
            </w:pPr>
            <w:hyperlink r:id="rId51" w:history="1">
              <w:r w:rsidR="005C1E80">
                <w:rPr>
                  <w:rStyle w:val="Hiperveza"/>
                  <w:rFonts w:cs="Calibri"/>
                  <w:sz w:val="20"/>
                  <w:szCs w:val="20"/>
                </w:rPr>
                <w:t>Tablica 5</w:t>
              </w:r>
            </w:hyperlink>
          </w:p>
        </w:tc>
      </w:tr>
      <w:tr w:rsidR="005C1E80" w:rsidTr="00F57898">
        <w:trPr>
          <w:cantSplit/>
          <w:trHeight w:val="234"/>
          <w:jc w:val="center"/>
        </w:trPr>
        <w:tc>
          <w:tcPr>
            <w:tcW w:w="883" w:type="dxa"/>
            <w:gridSpan w:val="2"/>
            <w:vMerge/>
            <w:tcBorders>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Opremiti vatrogasne snage sa materijalno tehničkim sredstvima za intervencije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52" w:history="1">
              <w:r w:rsidR="005C1E80">
                <w:rPr>
                  <w:rStyle w:val="Hiperveza"/>
                  <w:rFonts w:cs="Calibri"/>
                  <w:sz w:val="20"/>
                  <w:szCs w:val="20"/>
                </w:rPr>
                <w:t>Tablica 2</w:t>
              </w:r>
            </w:hyperlink>
          </w:p>
        </w:tc>
      </w:tr>
      <w:tr w:rsidR="005C1E80" w:rsidTr="00F57898">
        <w:trPr>
          <w:cantSplit/>
          <w:trHeight w:val="225"/>
          <w:jc w:val="center"/>
        </w:trPr>
        <w:tc>
          <w:tcPr>
            <w:tcW w:w="883" w:type="dxa"/>
            <w:gridSpan w:val="2"/>
            <w:vMerge/>
            <w:tcBorders>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Planirati financijska sredstva za provedbu mjera reagiranja u slučaju prijetnje.</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4" w:space="0" w:color="auto"/>
              <w:left w:val="single" w:sz="4" w:space="0" w:color="auto"/>
              <w:bottom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tcBorders>
              <w:top w:val="single" w:sz="4" w:space="0" w:color="auto"/>
              <w:left w:val="single" w:sz="4" w:space="0" w:color="auto"/>
              <w:bottom w:val="single" w:sz="4"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53" w:history="1">
              <w:r w:rsidR="005C1E80">
                <w:rPr>
                  <w:rStyle w:val="Hiperveza"/>
                  <w:rFonts w:cs="Calibri"/>
                  <w:sz w:val="20"/>
                  <w:szCs w:val="20"/>
                </w:rPr>
                <w:t>Tablica 2</w:t>
              </w:r>
            </w:hyperlink>
          </w:p>
        </w:tc>
      </w:tr>
      <w:tr w:rsidR="005C1E80" w:rsidTr="00F57898">
        <w:trPr>
          <w:cantSplit/>
          <w:trHeight w:val="281"/>
          <w:jc w:val="center"/>
        </w:trPr>
        <w:tc>
          <w:tcPr>
            <w:tcW w:w="883" w:type="dxa"/>
            <w:gridSpan w:val="2"/>
            <w:vMerge/>
            <w:tcBorders>
              <w:left w:val="single" w:sz="6" w:space="0" w:color="auto"/>
              <w:bottom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20"/>
                <w:szCs w:val="20"/>
              </w:rPr>
            </w:pP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Planirati  financijska sredstva za povrat u funkciju ugroženog područja. (proračunska rezerva).</w:t>
            </w:r>
          </w:p>
        </w:tc>
        <w:tc>
          <w:tcPr>
            <w:tcW w:w="1275"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w:t>
            </w:r>
          </w:p>
        </w:tc>
        <w:tc>
          <w:tcPr>
            <w:tcW w:w="1603" w:type="dxa"/>
            <w:tcBorders>
              <w:top w:val="single" w:sz="4"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54" w:history="1">
              <w:r w:rsidR="005C1E80">
                <w:rPr>
                  <w:rStyle w:val="Hiperveza"/>
                  <w:rFonts w:cs="Calibri"/>
                  <w:sz w:val="20"/>
                  <w:szCs w:val="20"/>
                </w:rPr>
                <w:t>Tablica 2</w:t>
              </w:r>
            </w:hyperlink>
          </w:p>
        </w:tc>
      </w:tr>
      <w:tr w:rsidR="005C1E80" w:rsidTr="00F57898">
        <w:trPr>
          <w:cantSplit/>
          <w:trHeight w:val="1972"/>
          <w:jc w:val="center"/>
        </w:trPr>
        <w:tc>
          <w:tcPr>
            <w:tcW w:w="883" w:type="dxa"/>
            <w:gridSpan w:val="2"/>
            <w:tcBorders>
              <w:left w:val="single" w:sz="6" w:space="0" w:color="auto"/>
              <w:bottom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16"/>
                <w:szCs w:val="16"/>
              </w:rPr>
            </w:pPr>
            <w:r>
              <w:rPr>
                <w:rFonts w:cs="Calibri"/>
                <w:b/>
                <w:bCs/>
                <w:i/>
                <w:iCs/>
                <w:sz w:val="16"/>
                <w:szCs w:val="16"/>
              </w:rPr>
              <w:t>NESREĆE S OPASNIM TVARIMA</w:t>
            </w:r>
          </w:p>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16"/>
                <w:szCs w:val="16"/>
              </w:rPr>
              <w:t>- NESREĆE U CESTOVNOM PROMETU</w:t>
            </w: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Opremiti vatrogasne snage sa osobnom i skupnom opremom za intervencije akcidenata sa opasnim tvarima.</w:t>
            </w:r>
          </w:p>
        </w:tc>
        <w:tc>
          <w:tcPr>
            <w:tcW w:w="1275"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kraja tekuće godine</w:t>
            </w:r>
          </w:p>
        </w:tc>
        <w:tc>
          <w:tcPr>
            <w:tcW w:w="1418"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tcBorders>
              <w:top w:val="single" w:sz="4"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55" w:history="1">
              <w:r w:rsidR="005C1E80">
                <w:rPr>
                  <w:rStyle w:val="Hiperveza"/>
                  <w:rFonts w:cs="Calibri"/>
                  <w:sz w:val="20"/>
                  <w:szCs w:val="20"/>
                </w:rPr>
                <w:t>Tablica 2</w:t>
              </w:r>
            </w:hyperlink>
          </w:p>
        </w:tc>
      </w:tr>
      <w:tr w:rsidR="005C1E80" w:rsidTr="00F57898">
        <w:trPr>
          <w:cantSplit/>
          <w:trHeight w:val="1607"/>
          <w:jc w:val="center"/>
        </w:trPr>
        <w:tc>
          <w:tcPr>
            <w:tcW w:w="883" w:type="dxa"/>
            <w:gridSpan w:val="2"/>
            <w:tcBorders>
              <w:left w:val="single" w:sz="6" w:space="0" w:color="auto"/>
              <w:bottom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16"/>
                <w:szCs w:val="16"/>
              </w:rPr>
            </w:pPr>
            <w:r>
              <w:rPr>
                <w:rFonts w:cs="Calibri"/>
                <w:b/>
                <w:bCs/>
                <w:i/>
                <w:iCs/>
                <w:sz w:val="16"/>
                <w:szCs w:val="16"/>
              </w:rPr>
              <w:t>NESREĆE S OPASNIM TVARIMA</w:t>
            </w:r>
          </w:p>
          <w:p w:rsidR="005C1E80" w:rsidRDefault="005C1E80" w:rsidP="00F57898">
            <w:pPr>
              <w:spacing w:after="0" w:line="240" w:lineRule="auto"/>
              <w:ind w:left="113" w:right="113"/>
              <w:jc w:val="center"/>
              <w:textAlignment w:val="baseline"/>
              <w:rPr>
                <w:rFonts w:cs="Calibri"/>
                <w:b/>
                <w:bCs/>
                <w:i/>
                <w:iCs/>
                <w:sz w:val="20"/>
                <w:szCs w:val="20"/>
              </w:rPr>
            </w:pPr>
            <w:r>
              <w:rPr>
                <w:rFonts w:cs="Calibri"/>
                <w:b/>
                <w:bCs/>
                <w:i/>
                <w:iCs/>
                <w:sz w:val="16"/>
                <w:szCs w:val="16"/>
              </w:rPr>
              <w:t>- INDUSTRIJSKE NESREĆE</w:t>
            </w:r>
          </w:p>
        </w:tc>
        <w:tc>
          <w:tcPr>
            <w:tcW w:w="2606" w:type="dxa"/>
            <w:tcBorders>
              <w:top w:val="single" w:sz="6" w:space="0" w:color="auto"/>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Opremiti vatrogasne snage sa osobnom i skupnom opremom za intervencije akcidenata sa opasnim tvarima.</w:t>
            </w:r>
          </w:p>
        </w:tc>
        <w:tc>
          <w:tcPr>
            <w:tcW w:w="1275"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b/>
                <w:bCs/>
                <w:sz w:val="20"/>
                <w:szCs w:val="20"/>
              </w:rPr>
            </w:pPr>
            <w:r>
              <w:rPr>
                <w:rFonts w:cs="Calibri"/>
                <w:sz w:val="20"/>
                <w:szCs w:val="20"/>
              </w:rPr>
              <w:t>do kraja tekuće godine</w:t>
            </w:r>
          </w:p>
        </w:tc>
        <w:tc>
          <w:tcPr>
            <w:tcW w:w="1418"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tcBorders>
              <w:top w:val="single" w:sz="4" w:space="0" w:color="auto"/>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tcBorders>
              <w:top w:val="single" w:sz="4" w:space="0" w:color="auto"/>
              <w:left w:val="single" w:sz="4" w:space="0" w:color="auto"/>
              <w:bottom w:val="single" w:sz="6" w:space="0" w:color="auto"/>
              <w:right w:val="single" w:sz="4" w:space="0" w:color="auto"/>
            </w:tcBorders>
            <w:shd w:val="clear" w:color="auto" w:fill="FFFFFF"/>
          </w:tcPr>
          <w:p w:rsidR="005C1E80" w:rsidRDefault="00DD1C99" w:rsidP="00F57898">
            <w:pPr>
              <w:spacing w:before="100" w:beforeAutospacing="1" w:after="100" w:afterAutospacing="1" w:line="240" w:lineRule="auto"/>
              <w:jc w:val="center"/>
              <w:textAlignment w:val="baseline"/>
              <w:rPr>
                <w:rFonts w:cs="Calibri"/>
                <w:sz w:val="20"/>
                <w:szCs w:val="20"/>
              </w:rPr>
            </w:pPr>
            <w:hyperlink r:id="rId56" w:history="1">
              <w:r w:rsidR="005C1E80">
                <w:rPr>
                  <w:rStyle w:val="Hiperveza"/>
                  <w:rFonts w:cs="Calibri"/>
                  <w:sz w:val="20"/>
                  <w:szCs w:val="20"/>
                </w:rPr>
                <w:t>Tablica 2</w:t>
              </w:r>
            </w:hyperlink>
          </w:p>
        </w:tc>
      </w:tr>
      <w:tr w:rsidR="005C1E80" w:rsidTr="00F57898">
        <w:trPr>
          <w:cantSplit/>
          <w:trHeight w:val="420"/>
          <w:jc w:val="center"/>
        </w:trPr>
        <w:tc>
          <w:tcPr>
            <w:tcW w:w="843" w:type="dxa"/>
            <w:tcBorders>
              <w:left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16"/>
                <w:szCs w:val="16"/>
              </w:rPr>
            </w:pPr>
          </w:p>
        </w:tc>
        <w:tc>
          <w:tcPr>
            <w:tcW w:w="2646" w:type="dxa"/>
            <w:gridSpan w:val="2"/>
            <w:vMerge w:val="restart"/>
            <w:tcBorders>
              <w:top w:val="single" w:sz="6" w:space="0" w:color="auto"/>
              <w:left w:val="single" w:sz="4"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Opremiti vatrogasne snage sa osobnom i skupnom opremom za intervencije akcidenata sa opasnim tvarima.</w:t>
            </w:r>
          </w:p>
        </w:tc>
        <w:tc>
          <w:tcPr>
            <w:tcW w:w="1275" w:type="dxa"/>
            <w:vMerge w:val="restart"/>
            <w:tcBorders>
              <w:top w:val="single" w:sz="4" w:space="0" w:color="auto"/>
              <w:left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do kraja tekuće godine</w:t>
            </w:r>
          </w:p>
        </w:tc>
        <w:tc>
          <w:tcPr>
            <w:tcW w:w="1418" w:type="dxa"/>
            <w:vMerge w:val="restart"/>
            <w:tcBorders>
              <w:top w:val="single" w:sz="4" w:space="0" w:color="auto"/>
              <w:left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Načelnik Općine</w:t>
            </w:r>
          </w:p>
        </w:tc>
        <w:tc>
          <w:tcPr>
            <w:tcW w:w="1647" w:type="dxa"/>
            <w:vMerge w:val="restart"/>
            <w:tcBorders>
              <w:top w:val="single" w:sz="4" w:space="0" w:color="auto"/>
              <w:left w:val="single" w:sz="4"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p w:rsidR="005C1E80" w:rsidRDefault="005C1E80" w:rsidP="00F57898">
            <w:pPr>
              <w:spacing w:before="100" w:beforeAutospacing="1" w:after="100" w:afterAutospacing="1" w:line="240" w:lineRule="auto"/>
              <w:jc w:val="center"/>
              <w:textAlignment w:val="baseline"/>
              <w:rPr>
                <w:rFonts w:cs="Calibri"/>
                <w:sz w:val="20"/>
                <w:szCs w:val="20"/>
              </w:rPr>
            </w:pPr>
            <w:r>
              <w:rPr>
                <w:rFonts w:cs="Calibri"/>
                <w:sz w:val="20"/>
                <w:szCs w:val="20"/>
              </w:rPr>
              <w:t>DVD</w:t>
            </w:r>
          </w:p>
        </w:tc>
        <w:tc>
          <w:tcPr>
            <w:tcW w:w="1603" w:type="dxa"/>
            <w:vMerge w:val="restart"/>
            <w:tcBorders>
              <w:top w:val="single" w:sz="4" w:space="0" w:color="auto"/>
              <w:left w:val="single" w:sz="4"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pPr>
          </w:p>
          <w:p w:rsidR="005C1E80" w:rsidRDefault="00DD1C99" w:rsidP="00F57898">
            <w:pPr>
              <w:spacing w:before="100" w:beforeAutospacing="1" w:after="100" w:afterAutospacing="1" w:line="240" w:lineRule="auto"/>
              <w:jc w:val="center"/>
              <w:textAlignment w:val="baseline"/>
            </w:pPr>
            <w:hyperlink r:id="rId57" w:history="1">
              <w:r w:rsidR="005C1E80">
                <w:rPr>
                  <w:rStyle w:val="Hiperveza"/>
                  <w:rFonts w:cs="Calibri"/>
                  <w:sz w:val="20"/>
                  <w:szCs w:val="20"/>
                </w:rPr>
                <w:t>Tablica 2</w:t>
              </w:r>
            </w:hyperlink>
            <w:r w:rsidR="005C1E80">
              <w:rPr>
                <w:rStyle w:val="Hiperveza"/>
                <w:rFonts w:cs="Calibri"/>
                <w:sz w:val="20"/>
                <w:szCs w:val="20"/>
              </w:rPr>
              <w:t xml:space="preserve"> </w:t>
            </w:r>
          </w:p>
        </w:tc>
      </w:tr>
      <w:tr w:rsidR="005C1E80" w:rsidTr="00F57898">
        <w:trPr>
          <w:cantSplit/>
          <w:trHeight w:val="1832"/>
          <w:jc w:val="center"/>
        </w:trPr>
        <w:tc>
          <w:tcPr>
            <w:tcW w:w="843" w:type="dxa"/>
            <w:tcBorders>
              <w:left w:val="single" w:sz="6" w:space="0" w:color="auto"/>
              <w:bottom w:val="single" w:sz="6" w:space="0" w:color="auto"/>
              <w:right w:val="single" w:sz="6" w:space="0" w:color="auto"/>
            </w:tcBorders>
            <w:shd w:val="clear" w:color="auto" w:fill="FFFFFF"/>
            <w:textDirection w:val="btLr"/>
            <w:vAlign w:val="center"/>
          </w:tcPr>
          <w:p w:rsidR="005C1E80" w:rsidRDefault="005C1E80" w:rsidP="00F57898">
            <w:pPr>
              <w:spacing w:after="0" w:line="240" w:lineRule="auto"/>
              <w:ind w:left="113" w:right="113"/>
              <w:jc w:val="center"/>
              <w:textAlignment w:val="baseline"/>
              <w:rPr>
                <w:rFonts w:cs="Calibri"/>
                <w:b/>
                <w:bCs/>
                <w:i/>
                <w:iCs/>
                <w:sz w:val="16"/>
                <w:szCs w:val="16"/>
              </w:rPr>
            </w:pPr>
            <w:r>
              <w:rPr>
                <w:rFonts w:cs="Calibri"/>
                <w:b/>
                <w:bCs/>
                <w:i/>
                <w:iCs/>
                <w:sz w:val="16"/>
                <w:szCs w:val="16"/>
              </w:rPr>
              <w:t>NESREĆE S OPASNIM TVATVARINA TVARIMA-NESREĆE U ŽELJEZNIČKOM PROMETU</w:t>
            </w:r>
          </w:p>
        </w:tc>
        <w:tc>
          <w:tcPr>
            <w:tcW w:w="2646" w:type="dxa"/>
            <w:gridSpan w:val="2"/>
            <w:vMerge/>
            <w:tcBorders>
              <w:left w:val="single" w:sz="4" w:space="0" w:color="auto"/>
              <w:bottom w:val="single" w:sz="6" w:space="0" w:color="auto"/>
              <w:right w:val="single" w:sz="6"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tc>
        <w:tc>
          <w:tcPr>
            <w:tcW w:w="1275" w:type="dxa"/>
            <w:vMerge/>
            <w:tcBorders>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tc>
        <w:tc>
          <w:tcPr>
            <w:tcW w:w="1418" w:type="dxa"/>
            <w:vMerge/>
            <w:tcBorders>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tc>
        <w:tc>
          <w:tcPr>
            <w:tcW w:w="1647" w:type="dxa"/>
            <w:vMerge/>
            <w:tcBorders>
              <w:left w:val="single" w:sz="4" w:space="0" w:color="auto"/>
              <w:bottom w:val="single" w:sz="6" w:space="0" w:color="auto"/>
              <w:right w:val="single" w:sz="4" w:space="0" w:color="auto"/>
            </w:tcBorders>
            <w:shd w:val="clear" w:color="auto" w:fill="FFFFFF"/>
            <w:vAlign w:val="center"/>
          </w:tcPr>
          <w:p w:rsidR="005C1E80" w:rsidRDefault="005C1E80" w:rsidP="00F57898">
            <w:pPr>
              <w:spacing w:before="100" w:beforeAutospacing="1" w:after="100" w:afterAutospacing="1" w:line="240" w:lineRule="auto"/>
              <w:jc w:val="center"/>
              <w:textAlignment w:val="baseline"/>
              <w:rPr>
                <w:rFonts w:cs="Calibri"/>
                <w:sz w:val="20"/>
                <w:szCs w:val="20"/>
              </w:rPr>
            </w:pPr>
          </w:p>
        </w:tc>
        <w:tc>
          <w:tcPr>
            <w:tcW w:w="1603" w:type="dxa"/>
            <w:vMerge/>
            <w:tcBorders>
              <w:left w:val="single" w:sz="4" w:space="0" w:color="auto"/>
              <w:bottom w:val="single" w:sz="6" w:space="0" w:color="auto"/>
              <w:right w:val="single" w:sz="4" w:space="0" w:color="auto"/>
            </w:tcBorders>
            <w:shd w:val="clear" w:color="auto" w:fill="FFFFFF"/>
          </w:tcPr>
          <w:p w:rsidR="005C1E80" w:rsidRDefault="005C1E80" w:rsidP="00F57898">
            <w:pPr>
              <w:spacing w:before="100" w:beforeAutospacing="1" w:after="100" w:afterAutospacing="1" w:line="240" w:lineRule="auto"/>
              <w:jc w:val="center"/>
              <w:textAlignment w:val="baseline"/>
            </w:pPr>
          </w:p>
        </w:tc>
      </w:tr>
    </w:tbl>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line="276" w:lineRule="auto"/>
        <w:jc w:val="both"/>
        <w:textAlignment w:val="baseline"/>
        <w:rPr>
          <w:rFonts w:ascii="Calibri" w:hAnsi="Calibri" w:cs="Calibri"/>
        </w:rPr>
      </w:pPr>
      <w:r>
        <w:rPr>
          <w:rFonts w:ascii="Calibri" w:hAnsi="Calibri" w:cs="Calibri"/>
        </w:rPr>
        <w:t xml:space="preserve">U skladu sa   Okvirom za smanjenje rizika od katastrofa iz Sendaija za period od 2015.-2030. godine, Akcijskim planom, Strategijom prilagodbe klimatskim promjenama u Republici Hrvatskoj za razdoblje do 2040. godine s pogledom na 2070. godinu, Nacionalnom razvojnom strategijom Republike Hrvatske do 2030. godine i Preporukom Pravobranitelja za osobe s invaliditetom, kao i drugim nadnacionalnim i nacionalnim dokumentima, a posebice zbog učestalosti prirodnih nepogoda, utjecaja klimatskih promjena i činjenice kako se Republika Hrvatska godinama nalazi u vrhu članica Europske unije po izdvajanju za sanaciju šteta, Općina svake godine pravodobno </w:t>
      </w:r>
      <w:r>
        <w:rPr>
          <w:rFonts w:ascii="Calibri" w:hAnsi="Calibri" w:cs="Calibri"/>
        </w:rPr>
        <w:lastRenderedPageBreak/>
        <w:t>revidira i dopunjuje plan djelovanja od prirodnih nepogoda kako bi unaprijedila sustav odgovora u skladu sa svojim mogućnostima i u okviru svojih ovlasti. Godišnje izmjene i dopune čine sastavni dio Plana djelovanja u području prirodnih nepogoda</w:t>
      </w:r>
      <w:r>
        <w:rPr>
          <w:color w:val="FF0000"/>
        </w:rPr>
        <w:t>.</w:t>
      </w: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pStyle w:val="box454509"/>
        <w:shd w:val="clear" w:color="auto" w:fill="FFFFFF"/>
        <w:spacing w:before="0" w:beforeAutospacing="0" w:after="48" w:afterAutospacing="0"/>
        <w:textAlignment w:val="baseline"/>
        <w:rPr>
          <w:rFonts w:ascii="Calibri" w:hAnsi="Calibri" w:cs="Calibri"/>
        </w:rPr>
      </w:pPr>
    </w:p>
    <w:p w:rsidR="005C1E80" w:rsidRDefault="005C1E80" w:rsidP="005C1E80">
      <w:pPr>
        <w:rPr>
          <w:rFonts w:cs="Calibri"/>
          <w:sz w:val="24"/>
          <w:szCs w:val="24"/>
        </w:rPr>
      </w:pPr>
    </w:p>
    <w:p w:rsidR="005C1E80" w:rsidRDefault="005C1E80" w:rsidP="005C1E80">
      <w:pPr>
        <w:rPr>
          <w:rFonts w:cs="Calibri"/>
          <w:sz w:val="24"/>
          <w:szCs w:val="24"/>
        </w:rPr>
      </w:pPr>
    </w:p>
    <w:p w:rsidR="005C1E80" w:rsidRDefault="005C1E80" w:rsidP="005C1E80">
      <w:pPr>
        <w:shd w:val="clear" w:color="auto" w:fill="FFFFFF"/>
        <w:spacing w:after="0" w:line="240" w:lineRule="auto"/>
        <w:jc w:val="both"/>
        <w:rPr>
          <w:rFonts w:ascii="Garamond" w:eastAsia="Calibri" w:hAnsi="Garamond" w:cs="Calibri"/>
          <w:spacing w:val="-5"/>
          <w:sz w:val="24"/>
          <w:szCs w:val="24"/>
        </w:rPr>
      </w:pPr>
      <w:r>
        <w:rPr>
          <w:rFonts w:ascii="Garamond" w:eastAsia="Calibri" w:hAnsi="Garamond" w:cs="Calibri"/>
          <w:spacing w:val="-5"/>
          <w:sz w:val="24"/>
          <w:szCs w:val="24"/>
        </w:rPr>
        <w:t xml:space="preserve">Klasa:240-01/25-01/01 </w:t>
      </w:r>
      <w:r>
        <w:rPr>
          <w:rFonts w:ascii="Garamond" w:eastAsia="Calibri" w:hAnsi="Garamond" w:cs="Calibri"/>
          <w:spacing w:val="-5"/>
          <w:sz w:val="24"/>
          <w:szCs w:val="24"/>
        </w:rPr>
        <w:tab/>
      </w:r>
      <w:r>
        <w:rPr>
          <w:rFonts w:ascii="Garamond" w:eastAsia="Calibri" w:hAnsi="Garamond" w:cs="Calibri"/>
          <w:spacing w:val="-5"/>
          <w:sz w:val="24"/>
          <w:szCs w:val="24"/>
        </w:rPr>
        <w:tab/>
      </w:r>
      <w:r>
        <w:rPr>
          <w:rFonts w:ascii="Garamond" w:eastAsia="Calibri" w:hAnsi="Garamond" w:cs="Calibri"/>
          <w:spacing w:val="-5"/>
          <w:sz w:val="24"/>
          <w:szCs w:val="24"/>
        </w:rPr>
        <w:tab/>
      </w:r>
      <w:r>
        <w:rPr>
          <w:rFonts w:ascii="Garamond" w:eastAsia="Calibri" w:hAnsi="Garamond" w:cs="Calibri"/>
          <w:spacing w:val="-5"/>
          <w:sz w:val="24"/>
          <w:szCs w:val="24"/>
        </w:rPr>
        <w:tab/>
        <w:t xml:space="preserve">    </w:t>
      </w:r>
    </w:p>
    <w:p w:rsidR="005C1E80" w:rsidRDefault="005C1E80" w:rsidP="005C1E80">
      <w:pPr>
        <w:shd w:val="clear" w:color="auto" w:fill="FFFFFF"/>
        <w:spacing w:after="0" w:line="240" w:lineRule="auto"/>
        <w:jc w:val="both"/>
        <w:rPr>
          <w:rFonts w:ascii="Garamond" w:eastAsia="Calibri" w:hAnsi="Garamond" w:cs="Calibri"/>
          <w:sz w:val="24"/>
          <w:szCs w:val="24"/>
        </w:rPr>
      </w:pPr>
      <w:r>
        <w:rPr>
          <w:rFonts w:ascii="Garamond" w:eastAsia="Calibri" w:hAnsi="Garamond" w:cs="Calibri"/>
          <w:spacing w:val="-5"/>
          <w:sz w:val="24"/>
          <w:szCs w:val="24"/>
        </w:rPr>
        <w:t>Urbroj: 2178-22-03-25-3</w:t>
      </w:r>
    </w:p>
    <w:p w:rsidR="005C1E80" w:rsidRDefault="005C1E80" w:rsidP="005C1E80">
      <w:pPr>
        <w:shd w:val="clear" w:color="auto" w:fill="FFFFFF"/>
        <w:spacing w:after="0" w:line="240" w:lineRule="auto"/>
        <w:jc w:val="both"/>
        <w:rPr>
          <w:rFonts w:ascii="Garamond" w:eastAsia="Calibri" w:hAnsi="Garamond" w:cs="Calibri"/>
          <w:sz w:val="24"/>
          <w:szCs w:val="24"/>
        </w:rPr>
      </w:pPr>
      <w:r>
        <w:rPr>
          <w:rFonts w:ascii="Garamond" w:eastAsia="Calibri" w:hAnsi="Garamond" w:cs="Calibri"/>
          <w:sz w:val="24"/>
          <w:szCs w:val="24"/>
        </w:rPr>
        <w:t>GORNJI BOGIĆEVCI, 22.12.</w:t>
      </w:r>
      <w:r>
        <w:rPr>
          <w:rFonts w:ascii="Garamond" w:eastAsia="Calibri" w:hAnsi="Garamond" w:cs="Calibri"/>
          <w:bCs/>
          <w:sz w:val="24"/>
          <w:szCs w:val="24"/>
        </w:rPr>
        <w:t>2025.g</w:t>
      </w:r>
    </w:p>
    <w:p w:rsidR="005C1E80" w:rsidRDefault="005C1E80" w:rsidP="005C1E80">
      <w:pPr>
        <w:jc w:val="right"/>
        <w:rPr>
          <w:rFonts w:ascii="Garamond" w:hAnsi="Garamond"/>
          <w:sz w:val="24"/>
          <w:szCs w:val="24"/>
        </w:rPr>
      </w:pPr>
      <w:r>
        <w:rPr>
          <w:rFonts w:ascii="Garamond" w:hAnsi="Garamond"/>
          <w:sz w:val="24"/>
          <w:szCs w:val="24"/>
        </w:rPr>
        <w:t>Predsjednik općinskog vijeća</w:t>
      </w:r>
    </w:p>
    <w:p w:rsidR="005C1E80" w:rsidRDefault="005C1E80" w:rsidP="005C1E80">
      <w:pPr>
        <w:jc w:val="right"/>
        <w:rPr>
          <w:rFonts w:cs="Calibri"/>
        </w:rPr>
      </w:pPr>
      <w:r>
        <w:rPr>
          <w:rFonts w:ascii="Garamond" w:hAnsi="Garamond"/>
          <w:sz w:val="24"/>
          <w:szCs w:val="24"/>
        </w:rPr>
        <w:t>_________________________</w:t>
      </w:r>
    </w:p>
    <w:p w:rsidR="008140D1" w:rsidRDefault="008140D1" w:rsidP="005C1E80"/>
    <w:p w:rsidR="005C1E80" w:rsidRPr="008140D1" w:rsidRDefault="008140D1" w:rsidP="005C1E80">
      <w:pPr>
        <w:rPr>
          <w:b/>
        </w:rPr>
      </w:pPr>
      <w:r w:rsidRPr="008140D1">
        <w:rPr>
          <w:b/>
        </w:rPr>
        <w:t>49A.</w:t>
      </w:r>
    </w:p>
    <w:p w:rsidR="008140D1" w:rsidRDefault="008140D1" w:rsidP="008140D1">
      <w:pPr>
        <w:pStyle w:val="Default"/>
        <w:jc w:val="both"/>
      </w:pPr>
      <w:r w:rsidRPr="00EF39EE">
        <w:t>Na temelju odredbe članka 17. stavka 1. Zakona o sustavu civilne zaštite („Narodne novine“ broj 82/15</w:t>
      </w:r>
      <w:r>
        <w:t>,118/18,31/20,20/21,114/22), članka 19</w:t>
      </w:r>
      <w:r w:rsidRPr="00EF39EE">
        <w:t>. stavka 1. alineja 11. i članka 35. Zakona o lokalnoj i područnoj (regionalnoj) samoupravi („Narodne novine“ broj 33/01, 60/01 – vjerodostojno tumačenje, 129/05, 109/07, 125/08, 36/09, 150/11, 144/12 i 19/13 – pročišćeni tekst i 137/15</w:t>
      </w:r>
      <w:r>
        <w:t>,123/17,98/19,144/20</w:t>
      </w:r>
      <w:r w:rsidRPr="00EF39EE">
        <w:t xml:space="preserve">) i članka </w:t>
      </w:r>
      <w:r>
        <w:t>39</w:t>
      </w:r>
      <w:r w:rsidRPr="00EF39EE">
        <w:t xml:space="preserve">. Statuta Općine </w:t>
      </w:r>
      <w:r>
        <w:t xml:space="preserve">Gornji Bogićevci </w:t>
      </w:r>
      <w:r w:rsidRPr="00EF39EE">
        <w:t xml:space="preserve"> („Službeni glasnik </w:t>
      </w:r>
      <w:r>
        <w:t xml:space="preserve">Općine Gornji Bogićevci </w:t>
      </w:r>
      <w:r w:rsidRPr="00EF39EE">
        <w:t xml:space="preserve"> </w:t>
      </w:r>
      <w:r>
        <w:t>2/21</w:t>
      </w:r>
      <w:r w:rsidRPr="00EF39EE">
        <w:t xml:space="preserve">) Općinsko vijeće Općine </w:t>
      </w:r>
      <w:r>
        <w:t>Gornji Bogićevci</w:t>
      </w:r>
      <w:r w:rsidRPr="00EF39EE">
        <w:t xml:space="preserve"> na </w:t>
      </w:r>
      <w:r>
        <w:t>5</w:t>
      </w:r>
      <w:r w:rsidRPr="00EF39EE">
        <w:t xml:space="preserve">. sjednici održanoj </w:t>
      </w:r>
      <w:r>
        <w:t>22.12.2025</w:t>
      </w:r>
      <w:r w:rsidRPr="00EF39EE">
        <w:t xml:space="preserve">. godine, donosi </w:t>
      </w:r>
    </w:p>
    <w:p w:rsidR="008140D1" w:rsidRDefault="008140D1" w:rsidP="008140D1">
      <w:pPr>
        <w:pStyle w:val="Default"/>
        <w:jc w:val="both"/>
      </w:pPr>
    </w:p>
    <w:p w:rsidR="008140D1" w:rsidRPr="00EF39EE" w:rsidRDefault="008140D1" w:rsidP="008140D1">
      <w:pPr>
        <w:pStyle w:val="Default"/>
        <w:jc w:val="both"/>
      </w:pPr>
    </w:p>
    <w:p w:rsidR="008140D1" w:rsidRPr="00EF39EE" w:rsidRDefault="008140D1" w:rsidP="008140D1">
      <w:pPr>
        <w:pStyle w:val="Default"/>
        <w:ind w:left="3540" w:firstLine="708"/>
      </w:pPr>
      <w:r w:rsidRPr="00EF39EE">
        <w:rPr>
          <w:b/>
          <w:bCs/>
        </w:rPr>
        <w:t xml:space="preserve">ODLUKU </w:t>
      </w:r>
    </w:p>
    <w:p w:rsidR="008140D1" w:rsidRDefault="008140D1" w:rsidP="008140D1">
      <w:pPr>
        <w:pStyle w:val="Default"/>
        <w:rPr>
          <w:b/>
          <w:bCs/>
        </w:rPr>
      </w:pPr>
      <w:r>
        <w:rPr>
          <w:b/>
          <w:bCs/>
        </w:rPr>
        <w:t xml:space="preserve">               </w:t>
      </w:r>
      <w:r w:rsidRPr="00EF39EE">
        <w:rPr>
          <w:b/>
          <w:bCs/>
        </w:rPr>
        <w:t xml:space="preserve">o usvajanju Procjene rizika od velikih nesreća za Općinu </w:t>
      </w:r>
      <w:r>
        <w:rPr>
          <w:b/>
          <w:bCs/>
        </w:rPr>
        <w:t>Gornji Bogićevci</w:t>
      </w:r>
      <w:r w:rsidRPr="00EF39EE">
        <w:rPr>
          <w:b/>
          <w:bCs/>
        </w:rPr>
        <w:t xml:space="preserve"> </w:t>
      </w:r>
    </w:p>
    <w:p w:rsidR="008140D1" w:rsidRDefault="008140D1" w:rsidP="008140D1">
      <w:pPr>
        <w:pStyle w:val="Default"/>
        <w:ind w:left="708" w:firstLine="708"/>
        <w:rPr>
          <w:b/>
          <w:bCs/>
        </w:rPr>
      </w:pPr>
    </w:p>
    <w:p w:rsidR="008140D1" w:rsidRPr="00EF39EE" w:rsidRDefault="008140D1" w:rsidP="008140D1">
      <w:pPr>
        <w:pStyle w:val="Default"/>
        <w:ind w:left="708" w:firstLine="708"/>
      </w:pPr>
    </w:p>
    <w:p w:rsidR="008140D1" w:rsidRDefault="008140D1" w:rsidP="008140D1">
      <w:pPr>
        <w:pStyle w:val="Default"/>
        <w:ind w:left="3540" w:firstLine="708"/>
        <w:rPr>
          <w:b/>
          <w:bCs/>
        </w:rPr>
      </w:pPr>
      <w:r w:rsidRPr="00EF39EE">
        <w:rPr>
          <w:b/>
          <w:bCs/>
        </w:rPr>
        <w:t xml:space="preserve">Članak 1. </w:t>
      </w:r>
    </w:p>
    <w:p w:rsidR="008140D1" w:rsidRPr="00EF39EE" w:rsidRDefault="008140D1" w:rsidP="008140D1">
      <w:pPr>
        <w:pStyle w:val="Default"/>
        <w:ind w:left="3540" w:firstLine="708"/>
      </w:pPr>
    </w:p>
    <w:p w:rsidR="008140D1" w:rsidRDefault="008140D1" w:rsidP="008140D1">
      <w:pPr>
        <w:pStyle w:val="Default"/>
        <w:jc w:val="both"/>
      </w:pPr>
      <w:r w:rsidRPr="00EF39EE">
        <w:t xml:space="preserve">Usvaja se Procjena rizika od velikih nesreća za Općinu </w:t>
      </w:r>
      <w:r>
        <w:t>Gornji Bogićevci</w:t>
      </w:r>
      <w:r w:rsidRPr="00EF39EE">
        <w:t>, koju je izradila Radna skupina osnovana Odl</w:t>
      </w:r>
      <w:r>
        <w:t>ukom načelnice Općine o usklađivanju</w:t>
      </w:r>
      <w:r w:rsidRPr="00EF39EE">
        <w:t xml:space="preserve"> Procjene rizika od velikih nesreća za područje Općine </w:t>
      </w:r>
      <w:r>
        <w:t>Gornji Bogićevci</w:t>
      </w:r>
      <w:r w:rsidRPr="00EF39EE">
        <w:t xml:space="preserve"> (KLASA:</w:t>
      </w:r>
      <w:r>
        <w:t>240-01-25-01-01</w:t>
      </w:r>
      <w:r w:rsidRPr="00EF39EE">
        <w:t>.</w:t>
      </w:r>
      <w:r>
        <w:t>, URBROJ:2178-22-01-25-01, 7.8.2025.</w:t>
      </w:r>
      <w:r w:rsidRPr="00EF39EE">
        <w:t xml:space="preserve"> godine). </w:t>
      </w:r>
    </w:p>
    <w:p w:rsidR="008140D1" w:rsidRPr="00EF39EE" w:rsidRDefault="008140D1" w:rsidP="008140D1">
      <w:pPr>
        <w:pStyle w:val="Default"/>
        <w:jc w:val="both"/>
      </w:pPr>
    </w:p>
    <w:p w:rsidR="008140D1" w:rsidRDefault="008140D1" w:rsidP="008140D1">
      <w:pPr>
        <w:pStyle w:val="Default"/>
        <w:ind w:left="3540" w:firstLine="708"/>
        <w:jc w:val="both"/>
        <w:rPr>
          <w:b/>
          <w:bCs/>
        </w:rPr>
      </w:pPr>
      <w:r w:rsidRPr="00EF39EE">
        <w:rPr>
          <w:b/>
          <w:bCs/>
        </w:rPr>
        <w:t xml:space="preserve">Članak 2. </w:t>
      </w:r>
    </w:p>
    <w:p w:rsidR="008140D1" w:rsidRPr="00EF39EE" w:rsidRDefault="008140D1" w:rsidP="008140D1">
      <w:pPr>
        <w:pStyle w:val="Default"/>
        <w:ind w:left="3540" w:firstLine="708"/>
        <w:jc w:val="both"/>
      </w:pPr>
    </w:p>
    <w:p w:rsidR="008140D1" w:rsidRDefault="008140D1" w:rsidP="008140D1">
      <w:pPr>
        <w:pStyle w:val="Default"/>
        <w:jc w:val="both"/>
      </w:pPr>
      <w:r w:rsidRPr="00EF39EE">
        <w:t xml:space="preserve">Temeljem članka 7. stavak 3. Pravilnika o smjernicama za izradu procjena rizika od katastrofa i velikih nesreća za područje Republike Hrvatske i jedinica lokalne i područne (regionalne) samouprave („Narodne novine“ broj 65/16), a za potrebe izrade Procjene rizika od velikih nesreća za Općinu </w:t>
      </w:r>
      <w:r>
        <w:t xml:space="preserve">Gornji Bogićevci,  </w:t>
      </w:r>
      <w:r>
        <w:rPr>
          <w:sz w:val="23"/>
          <w:szCs w:val="23"/>
        </w:rPr>
        <w:t xml:space="preserve">Ugovorom o pružanju konzultantskih usluga prilikom izrade Procjene rizika od velikih nesreća za </w:t>
      </w:r>
      <w:r w:rsidRPr="00EF39EE">
        <w:t xml:space="preserve"> Općinu </w:t>
      </w:r>
      <w:r>
        <w:t>Gornji Bogićevci</w:t>
      </w:r>
      <w:r w:rsidRPr="00EF39EE">
        <w:t xml:space="preserve"> angažirana je tvrtka </w:t>
      </w:r>
      <w:r>
        <w:t>IN Konzalting d.o.o. iz Slavonskog Broda, Baranjska 18, kao konzultant iz prve grupe stručnih poslova u području planiranja civilne zaštite, tijekom izrade Procjene rizika</w:t>
      </w:r>
      <w:r w:rsidRPr="00EF39EE">
        <w:t xml:space="preserve">. </w:t>
      </w:r>
    </w:p>
    <w:p w:rsidR="008140D1" w:rsidRPr="00EF39EE" w:rsidRDefault="008140D1" w:rsidP="008140D1">
      <w:pPr>
        <w:pStyle w:val="Default"/>
        <w:jc w:val="both"/>
      </w:pPr>
    </w:p>
    <w:p w:rsidR="008140D1" w:rsidRDefault="008140D1" w:rsidP="008140D1">
      <w:pPr>
        <w:pStyle w:val="Default"/>
        <w:ind w:left="3540" w:firstLine="708"/>
        <w:rPr>
          <w:b/>
          <w:bCs/>
        </w:rPr>
      </w:pPr>
      <w:r w:rsidRPr="00EF39EE">
        <w:rPr>
          <w:b/>
          <w:bCs/>
        </w:rPr>
        <w:lastRenderedPageBreak/>
        <w:t xml:space="preserve">Članak 3. </w:t>
      </w:r>
    </w:p>
    <w:p w:rsidR="008140D1" w:rsidRPr="00EF39EE" w:rsidRDefault="008140D1" w:rsidP="008140D1">
      <w:pPr>
        <w:pStyle w:val="Default"/>
        <w:ind w:left="3540" w:firstLine="708"/>
      </w:pPr>
    </w:p>
    <w:p w:rsidR="008140D1" w:rsidRPr="00EF39EE" w:rsidRDefault="008140D1" w:rsidP="008140D1">
      <w:pPr>
        <w:pStyle w:val="Default"/>
        <w:jc w:val="both"/>
      </w:pPr>
      <w:r w:rsidRPr="00EF39EE">
        <w:t xml:space="preserve">Procjena rizika od velikih nesreća za Općinu </w:t>
      </w:r>
      <w:r>
        <w:t>Gornji Bogićevci</w:t>
      </w:r>
      <w:r w:rsidRPr="00EF39EE">
        <w:t xml:space="preserve"> čini prilog i sastavni dio ove Odluke</w:t>
      </w:r>
      <w:r>
        <w:t>, ali nije predmet objave</w:t>
      </w:r>
      <w:r w:rsidRPr="00EF39EE">
        <w:t xml:space="preserve">. </w:t>
      </w:r>
    </w:p>
    <w:p w:rsidR="008140D1" w:rsidRDefault="008140D1" w:rsidP="008140D1">
      <w:pPr>
        <w:pStyle w:val="Default"/>
        <w:jc w:val="both"/>
        <w:rPr>
          <w:b/>
          <w:bCs/>
        </w:rPr>
      </w:pPr>
    </w:p>
    <w:p w:rsidR="008140D1" w:rsidRDefault="008140D1" w:rsidP="008140D1">
      <w:pPr>
        <w:pStyle w:val="Default"/>
        <w:ind w:left="3540" w:firstLine="708"/>
        <w:rPr>
          <w:b/>
          <w:bCs/>
        </w:rPr>
      </w:pPr>
      <w:r w:rsidRPr="00EF39EE">
        <w:rPr>
          <w:b/>
          <w:bCs/>
        </w:rPr>
        <w:t xml:space="preserve">Članak 4. </w:t>
      </w:r>
    </w:p>
    <w:p w:rsidR="008140D1" w:rsidRPr="00EF39EE" w:rsidRDefault="008140D1" w:rsidP="008140D1">
      <w:pPr>
        <w:pStyle w:val="Default"/>
        <w:ind w:left="3540" w:firstLine="708"/>
      </w:pPr>
    </w:p>
    <w:p w:rsidR="008140D1" w:rsidRDefault="008140D1" w:rsidP="008140D1">
      <w:pPr>
        <w:pStyle w:val="Default"/>
        <w:jc w:val="both"/>
      </w:pPr>
      <w:r w:rsidRPr="00EF39EE">
        <w:t xml:space="preserve">Ova Odluku stupa na snagu osmog dana od dana objave u „Službenom glasniku </w:t>
      </w:r>
      <w:r>
        <w:t>Općine Gornji Bogićevci.</w:t>
      </w:r>
    </w:p>
    <w:p w:rsidR="008140D1" w:rsidRDefault="008140D1" w:rsidP="008140D1">
      <w:pPr>
        <w:pStyle w:val="Default"/>
      </w:pPr>
    </w:p>
    <w:p w:rsidR="008140D1" w:rsidRDefault="008140D1" w:rsidP="008140D1">
      <w:pPr>
        <w:pStyle w:val="Default"/>
        <w:rPr>
          <w:b/>
          <w:bCs/>
        </w:rPr>
      </w:pPr>
      <w:r>
        <w:t xml:space="preserve"> </w:t>
      </w:r>
      <w:r>
        <w:tab/>
      </w:r>
      <w:r>
        <w:tab/>
      </w:r>
      <w:r>
        <w:tab/>
      </w:r>
      <w:r w:rsidRPr="00EF39EE">
        <w:rPr>
          <w:b/>
          <w:bCs/>
        </w:rPr>
        <w:t xml:space="preserve">OPĆINSKO VIJEĆE OPĆINE </w:t>
      </w:r>
      <w:r>
        <w:rPr>
          <w:b/>
          <w:bCs/>
        </w:rPr>
        <w:t>GORNJI BOGIĆEVCI</w:t>
      </w:r>
      <w:r w:rsidRPr="00EF39EE">
        <w:rPr>
          <w:b/>
          <w:bCs/>
        </w:rPr>
        <w:t xml:space="preserve"> </w:t>
      </w:r>
    </w:p>
    <w:p w:rsidR="008140D1" w:rsidRDefault="008140D1" w:rsidP="008140D1">
      <w:pPr>
        <w:pStyle w:val="Default"/>
        <w:rPr>
          <w:b/>
          <w:bCs/>
        </w:rPr>
      </w:pPr>
    </w:p>
    <w:p w:rsidR="008140D1" w:rsidRPr="00201F3C" w:rsidRDefault="008140D1" w:rsidP="008140D1">
      <w:pPr>
        <w:autoSpaceDE w:val="0"/>
        <w:autoSpaceDN w:val="0"/>
        <w:adjustRightInd w:val="0"/>
        <w:rPr>
          <w:color w:val="000000" w:themeColor="text1"/>
        </w:rPr>
      </w:pPr>
      <w:r w:rsidRPr="00201F3C">
        <w:rPr>
          <w:color w:val="000000" w:themeColor="text1"/>
        </w:rPr>
        <w:t>KLASA: 240-01/25-01/01</w:t>
      </w:r>
      <w:r w:rsidRPr="00201F3C">
        <w:rPr>
          <w:color w:val="000000" w:themeColor="text1"/>
        </w:rPr>
        <w:tab/>
      </w:r>
      <w:r w:rsidRPr="00201F3C">
        <w:rPr>
          <w:color w:val="000000" w:themeColor="text1"/>
        </w:rPr>
        <w:tab/>
      </w:r>
      <w:r w:rsidRPr="00201F3C">
        <w:rPr>
          <w:color w:val="000000" w:themeColor="text1"/>
        </w:rPr>
        <w:tab/>
      </w:r>
      <w:r w:rsidRPr="00201F3C">
        <w:rPr>
          <w:color w:val="000000" w:themeColor="text1"/>
        </w:rPr>
        <w:tab/>
      </w:r>
      <w:r w:rsidRPr="00201F3C">
        <w:rPr>
          <w:color w:val="000000" w:themeColor="text1"/>
        </w:rPr>
        <w:tab/>
      </w:r>
    </w:p>
    <w:p w:rsidR="008140D1" w:rsidRPr="00201F3C" w:rsidRDefault="008140D1" w:rsidP="008140D1">
      <w:pPr>
        <w:autoSpaceDE w:val="0"/>
        <w:autoSpaceDN w:val="0"/>
        <w:adjustRightInd w:val="0"/>
        <w:rPr>
          <w:color w:val="000000" w:themeColor="text1"/>
        </w:rPr>
      </w:pPr>
      <w:r w:rsidRPr="00201F3C">
        <w:rPr>
          <w:color w:val="000000" w:themeColor="text1"/>
        </w:rPr>
        <w:t>URBROJ: 2178-22-03-25-5</w:t>
      </w:r>
    </w:p>
    <w:p w:rsidR="008140D1" w:rsidRDefault="008140D1" w:rsidP="008140D1">
      <w:r>
        <w:t>Gornji Bogićevc, 22.12.2025.</w:t>
      </w:r>
      <w:r>
        <w:tab/>
      </w:r>
      <w:r>
        <w:tab/>
      </w:r>
      <w:r>
        <w:tab/>
      </w:r>
      <w:r>
        <w:tab/>
      </w:r>
    </w:p>
    <w:p w:rsidR="008140D1" w:rsidRDefault="008140D1" w:rsidP="008140D1"/>
    <w:p w:rsidR="008140D1" w:rsidRDefault="008140D1" w:rsidP="008140D1"/>
    <w:p w:rsidR="008140D1" w:rsidRDefault="008140D1" w:rsidP="008140D1">
      <w:r>
        <w:tab/>
      </w:r>
      <w:r>
        <w:tab/>
      </w:r>
      <w:r>
        <w:tab/>
      </w:r>
      <w:r>
        <w:tab/>
      </w:r>
      <w:r>
        <w:tab/>
      </w:r>
      <w:r>
        <w:tab/>
      </w:r>
      <w:r>
        <w:tab/>
      </w:r>
      <w:r>
        <w:tab/>
        <w:t>Predsjednik OV-a:</w:t>
      </w:r>
    </w:p>
    <w:p w:rsidR="008140D1" w:rsidRDefault="008140D1" w:rsidP="008140D1">
      <w:r>
        <w:tab/>
      </w:r>
      <w:r>
        <w:tab/>
      </w:r>
      <w:r>
        <w:tab/>
      </w:r>
      <w:r>
        <w:tab/>
      </w:r>
      <w:r>
        <w:tab/>
      </w:r>
      <w:r>
        <w:tab/>
      </w:r>
      <w:r>
        <w:tab/>
      </w:r>
      <w:r>
        <w:tab/>
        <w:t>Željko Klarić</w:t>
      </w:r>
      <w:r>
        <w:tab/>
      </w: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p w:rsidR="005C1E80" w:rsidRPr="005C1E80" w:rsidRDefault="005C1E80" w:rsidP="005C1E80">
      <w:pPr>
        <w:pStyle w:val="Bezproreda"/>
        <w:rPr>
          <w:rFonts w:ascii="Times New Roman" w:hAnsi="Times New Roman" w:cs="Times New Roman"/>
          <w:b/>
          <w:bCs/>
          <w:sz w:val="24"/>
          <w:szCs w:val="24"/>
        </w:rPr>
      </w:pPr>
      <w:r w:rsidRPr="005C1E80">
        <w:rPr>
          <w:rFonts w:ascii="Times New Roman" w:hAnsi="Times New Roman" w:cs="Times New Roman"/>
          <w:b/>
          <w:bCs/>
          <w:sz w:val="24"/>
          <w:szCs w:val="24"/>
        </w:rPr>
        <w:t>50. Plan djelovanja – prirodne nepogode</w:t>
      </w:r>
    </w:p>
    <w:p w:rsidR="005C1E80" w:rsidRDefault="005C1E80" w:rsidP="005C1E80">
      <w:pPr>
        <w:spacing w:line="360" w:lineRule="auto"/>
        <w:rPr>
          <w:rFonts w:ascii="Times New Roman" w:hAnsi="Times New Roman" w:cs="Times New Roman"/>
          <w:b/>
          <w:bCs/>
          <w:sz w:val="24"/>
          <w:szCs w:val="24"/>
        </w:rPr>
      </w:pPr>
    </w:p>
    <w:p w:rsidR="005C1E80" w:rsidRDefault="005C1E80" w:rsidP="005C1E80">
      <w:pPr>
        <w:spacing w:line="360" w:lineRule="auto"/>
        <w:rPr>
          <w:rFonts w:ascii="Times New Roman" w:hAnsi="Times New Roman" w:cs="Times New Roman"/>
          <w:b/>
          <w:bCs/>
          <w:sz w:val="24"/>
          <w:szCs w:val="24"/>
        </w:rPr>
      </w:pPr>
    </w:p>
    <w:sdt>
      <w:sdtPr>
        <w:rPr>
          <w:rFonts w:ascii="Aptos" w:hAnsi="Aptos"/>
          <w:sz w:val="24"/>
          <w:szCs w:val="24"/>
        </w:rPr>
        <w:id w:val="1678148221"/>
        <w:docPartObj>
          <w:docPartGallery w:val="AutoText"/>
        </w:docPartObj>
      </w:sdtPr>
      <w:sdtEndPr>
        <w:rPr>
          <w:lang w:val="en-US"/>
        </w:rPr>
      </w:sdtEndPr>
      <w:sdtContent>
        <w:p w:rsidR="005C1E80" w:rsidRDefault="005C1E80" w:rsidP="005C1E80">
          <w:pPr>
            <w:rPr>
              <w:rFonts w:ascii="Aptos" w:hAnsi="Aptos"/>
              <w:sz w:val="24"/>
              <w:szCs w:val="24"/>
            </w:rPr>
          </w:pPr>
        </w:p>
        <w:p w:rsidR="005C1E80" w:rsidRDefault="00DD1C99" w:rsidP="005C1E80">
          <w:pPr>
            <w:rPr>
              <w:rFonts w:ascii="Aptos" w:hAnsi="Aptos"/>
              <w:sz w:val="24"/>
              <w:szCs w:val="24"/>
              <w:lang w:val="en-US"/>
            </w:rPr>
          </w:pPr>
          <w:r w:rsidRPr="00DD1C99">
            <w:rPr>
              <w:noProof/>
            </w:rPr>
            <w:lastRenderedPageBreak/>
            <w:pict>
              <v:shape id="Tekstni okvir 28" o:spid="_x0000_s1058" type="#_x0000_t202" style="position:absolute;margin-left:0;margin-top:0;width:436.8pt;height:24.4pt;z-index:251666432;visibility:visible;mso-width-percent:734;mso-height-percent:363;mso-left-percent:150;mso-top-percent:91;mso-position-horizontal-relative:page;mso-position-vertical-relative:page;mso-width-percent:734;mso-height-percent:363;mso-left-percent:150;mso-top-percent:9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" filled="f" stroked="f" strokeweight=".5pt">
                <v:textbox style="mso-fit-shape-to-text:t" inset="0,0,0,0">
                  <w:txbxContent>
                    <w:sdt>
                      <w:sdtPr>
                        <w:rPr>
                          <w:caps/>
                          <w:color w:val="323E4F" w:themeColor="text2" w:themeShade="BF"/>
                          <w:sz w:val="40"/>
                          <w:szCs w:val="40"/>
                        </w:rPr>
                        <w:alias w:val="Datum izdavanja"/>
                        <w:id w:val="400952559"/>
                        <w:showingPlcHdr/>
                        <w:dataBinding w:prefixMappings="xmlns:ns0='http://schemas.microsoft.com/office/2006/coverPageProps' " w:xpath="/ns0:CoverPageProperties[1]/ns0:PublishDate[1]" w:storeItemID="{55AF091B-3C7A-41E3-B477-F2FDAA23CFDA}"/>
                        <w:date>
                          <w:dateFormat w:val="d. MMMM yyyy."/>
                          <w:lid w:val="hr-HR"/>
                          <w:storeMappedDataAs w:val="dateTime"/>
                          <w:calendar w:val="gregorian"/>
                        </w:date>
                      </w:sdtPr>
                      <w:sdtContent>
                        <w:p w:rsidR="00F57898" w:rsidRDefault="00F57898" w:rsidP="005C1E80">
                          <w:pPr>
                            <w:pStyle w:val="Bezproreda"/>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w:r>
          <w:r w:rsidRPr="00DD1C99">
            <w:rPr>
              <w:noProof/>
            </w:rPr>
            <w:pict>
              <v:shape id="Tekstni okvir 26" o:spid="_x0000_s1059" type="#_x0000_t202" style="position:absolute;margin-left:0;margin-top:0;width:436.8pt;height:305.6pt;z-index:251665408;visibility:visible;mso-width-percent:734;mso-height-percent:363;mso-left-percent:150;mso-top-percent:455;mso-position-horizontal-relative:page;mso-position-vertical-relative:page;mso-width-percent:734;mso-height-percent:363;mso-left-percent:150;mso-top-percent:455;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" filled="f" stroked="f" strokeweight=".5pt">
                <v:textbox inset="0,0,0,0">
                  <w:txbxContent>
                    <w:p w:rsidR="00F57898" w:rsidRDefault="00DD1C99" w:rsidP="005C1E80">
                      <w:pPr>
                        <w:pStyle w:val="Bezproreda"/>
                        <w:jc w:val="right"/>
                        <w:rPr>
                          <w:caps/>
                          <w:color w:val="323E4F" w:themeColor="text2" w:themeShade="BF"/>
                          <w:sz w:val="52"/>
                          <w:szCs w:val="52"/>
                        </w:rPr>
                      </w:pPr>
                      <w:sdt>
                        <w:sdtPr>
                          <w:rPr>
                            <w:caps/>
                            <w:color w:val="323E4F" w:themeColor="text2" w:themeShade="BF"/>
                            <w:sz w:val="52"/>
                            <w:szCs w:val="52"/>
                          </w:rPr>
                          <w:alias w:val="Naslov"/>
                          <w:id w:val="-1315561441"/>
                          <w:showingPlcHdr/>
                          <w:dataBinding w:prefixMappings="xmlns:ns0='http://purl.org/dc/elements/1.1/' xmlns:ns1='http://schemas.openxmlformats.org/package/2006/metadata/core-properties' " w:xpath="/ns1:coreProperties[1]/ns0:title[1]" w:storeItemID="{6C3C8BC8-F283-45AE-878A-BAB7291924A1}"/>
                          <w:text w:multiLine="1"/>
                        </w:sdtPr>
                        <w:sdtContent>
                          <w:r w:rsidR="00F57898">
                            <w:rPr>
                              <w:caps/>
                              <w:color w:val="323E4F" w:themeColor="text2" w:themeShade="BF"/>
                              <w:sz w:val="52"/>
                              <w:szCs w:val="52"/>
                            </w:rPr>
                            <w:t xml:space="preserve">     </w:t>
                          </w:r>
                        </w:sdtContent>
                      </w:sdt>
                    </w:p>
                    <w:sdt>
                      <w:sdtPr>
                        <w:rPr>
                          <w:smallCaps/>
                          <w:color w:val="44546A" w:themeColor="text2"/>
                          <w:sz w:val="36"/>
                          <w:szCs w:val="36"/>
                        </w:rPr>
                        <w:alias w:val="Podnaslov"/>
                        <w:id w:val="1615247542"/>
                        <w:showingPlcHdr/>
                        <w:dataBinding w:prefixMappings="xmlns:ns0='http://purl.org/dc/elements/1.1/' xmlns:ns1='http://schemas.openxmlformats.org/package/2006/metadata/core-properties' " w:xpath="/ns1:coreProperties[1]/ns0:subject[1]" w:storeItemID="{6C3C8BC8-F283-45AE-878A-BAB7291924A1}"/>
                        <w:text/>
                      </w:sdtPr>
                      <w:sdtContent>
                        <w:p w:rsidR="00F57898" w:rsidRDefault="00F57898" w:rsidP="005C1E80">
                          <w:pPr>
                            <w:pStyle w:val="Bezproreda"/>
                            <w:jc w:val="right"/>
                            <w:rPr>
                              <w:smallCaps/>
                              <w:color w:val="44546A" w:themeColor="text2"/>
                              <w:sz w:val="36"/>
                              <w:szCs w:val="36"/>
                            </w:rPr>
                          </w:pPr>
                          <w:r>
                            <w:rPr>
                              <w:smallCaps/>
                              <w:color w:val="44546A" w:themeColor="text2"/>
                              <w:sz w:val="36"/>
                              <w:szCs w:val="36"/>
                            </w:rPr>
                            <w:t xml:space="preserve">     </w:t>
                          </w:r>
                        </w:p>
                      </w:sdtContent>
                    </w:sdt>
                  </w:txbxContent>
                </v:textbox>
                <w10:wrap type="square" anchorx="page" anchory="page"/>
              </v:shape>
            </w:pict>
          </w:r>
          <w:r w:rsidRPr="00DD1C99">
            <w:rPr>
              <w:noProof/>
            </w:rPr>
            <w:pict>
              <v:group id="Grupa 24" o:spid="_x0000_s1060" style="position:absolute;margin-left:0;margin-top:0;width:17.25pt;height:765.15pt;z-index:25166438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">
                <v:rect id="Pravokutnik 115" o:spid="_x0000_s1062" style="position:absolute;width:2286;height:8782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Pravokutnik 116" o:spid="_x0000_s1061" style="position:absolute;top:89154;width:2286;height:228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4472c4 [3204]" stroked="f" strokeweight="1pt">
                  <o:lock v:ext="edit" aspectratio="t"/>
                </v:rect>
                <w10:wrap anchorx="page" anchory="page"/>
              </v:group>
            </w:pict>
          </w:r>
          <w:r w:rsidR="005C1E80">
            <w:rPr>
              <w:rFonts w:ascii="Aptos" w:hAnsi="Aptos"/>
              <w:sz w:val="24"/>
              <w:szCs w:val="24"/>
              <w:lang w:val="en-US"/>
            </w:rPr>
            <w:br w:type="page"/>
          </w:r>
        </w:p>
      </w:sdtContent>
    </w:sdt>
    <w:bookmarkStart w:id="35" w:name="_Hlk535946262" w:displacedByCustomXml="next"/>
    <w:bookmarkStart w:id="36" w:name="_Hlk535946054" w:displacedByCustomXml="next"/>
    <w:bookmarkStart w:id="37" w:name="_Toc1675973" w:displacedByCustomXml="next"/>
    <w:sdt>
      <w:sdtPr>
        <w:rPr>
          <w:rFonts w:ascii="Aptos" w:eastAsiaTheme="minorEastAsia" w:hAnsi="Aptos"/>
          <w:b/>
          <w:bCs/>
          <w:sz w:val="24"/>
          <w:szCs w:val="24"/>
          <w:lang w:eastAsia="hr-HR"/>
        </w:rPr>
        <w:id w:val="111325799"/>
        <w:docPartObj>
          <w:docPartGallery w:val="Table of Contents"/>
          <w:docPartUnique/>
        </w:docPartObj>
      </w:sdtPr>
      <w:sdtEndPr>
        <w:rPr>
          <w:rFonts w:eastAsiaTheme="minorHAnsi"/>
          <w:b w:val="0"/>
          <w:bCs w:val="0"/>
          <w:lang w:eastAsia="en-US"/>
        </w:rPr>
      </w:sdtEndPr>
      <w:sdtContent>
        <w:p w:rsidR="005C1E80" w:rsidRDefault="005C1E80" w:rsidP="005C1E80">
          <w:pPr>
            <w:pStyle w:val="TOCNaslov1"/>
            <w:rPr>
              <w:rFonts w:ascii="Aptos" w:hAnsi="Aptos"/>
              <w:sz w:val="24"/>
              <w:szCs w:val="24"/>
            </w:rPr>
          </w:pPr>
          <w:r>
            <w:rPr>
              <w:rFonts w:ascii="Aptos" w:hAnsi="Aptos"/>
              <w:sz w:val="24"/>
              <w:szCs w:val="24"/>
            </w:rPr>
            <w:t>Sadržaj</w:t>
          </w:r>
        </w:p>
        <w:p w:rsidR="005C1E80" w:rsidRPr="005C1E80" w:rsidRDefault="00DD1C99" w:rsidP="005C1E80">
          <w:pPr>
            <w:pStyle w:val="Sadraj1"/>
            <w:rPr>
              <w:caps w:val="0"/>
              <w:kern w:val="2"/>
              <w:sz w:val="24"/>
              <w:szCs w:val="24"/>
            </w:rPr>
          </w:pPr>
          <w:r w:rsidRPr="00DD1C99">
            <w:rPr>
              <w:rFonts w:ascii="Aptos" w:hAnsi="Aptos"/>
              <w:sz w:val="24"/>
              <w:szCs w:val="24"/>
            </w:rPr>
            <w:fldChar w:fldCharType="begin"/>
          </w:r>
          <w:r w:rsidR="005C1E80">
            <w:rPr>
              <w:rFonts w:ascii="Aptos" w:hAnsi="Aptos"/>
              <w:sz w:val="24"/>
              <w:szCs w:val="24"/>
            </w:rPr>
            <w:instrText xml:space="preserve"> TOC \h \z \u \t "Razina 1;1;Razina 2;2;Razina 3;3;Razina 4;4;Razina 5;5" </w:instrText>
          </w:r>
          <w:r w:rsidRPr="00DD1C99">
            <w:rPr>
              <w:rFonts w:ascii="Aptos" w:hAnsi="Aptos"/>
              <w:sz w:val="24"/>
              <w:szCs w:val="24"/>
            </w:rPr>
            <w:fldChar w:fldCharType="separate"/>
          </w:r>
          <w:hyperlink w:anchor="_Toc210900532" w:history="1">
            <w:r w:rsidR="005C1E80">
              <w:rPr>
                <w:rStyle w:val="Hiperveza"/>
              </w:rPr>
              <w:t>1.</w:t>
            </w:r>
            <w:r w:rsidR="005C1E80">
              <w:rPr>
                <w:rStyle w:val="Hiperveza"/>
                <w:rFonts w:ascii="Aptos" w:hAnsi="Aptos"/>
              </w:rPr>
              <w:t xml:space="preserve"> UVOD</w:t>
            </w:r>
            <w:r w:rsidR="005C1E80">
              <w:tab/>
            </w:r>
            <w:r>
              <w:fldChar w:fldCharType="begin"/>
            </w:r>
            <w:r w:rsidR="005C1E80">
              <w:instrText xml:space="preserve"> PAGEREF _Toc210900532 \h </w:instrText>
            </w:r>
            <w:r>
              <w:fldChar w:fldCharType="separate"/>
            </w:r>
            <w:r w:rsidR="005C1E80">
              <w:t>2</w:t>
            </w:r>
            <w:r>
              <w:fldChar w:fldCharType="end"/>
            </w:r>
          </w:hyperlink>
        </w:p>
        <w:p w:rsidR="005C1E80" w:rsidRPr="005C1E80" w:rsidRDefault="00DD1C99" w:rsidP="005C1E80">
          <w:pPr>
            <w:pStyle w:val="Sadraj1"/>
            <w:rPr>
              <w:caps w:val="0"/>
              <w:kern w:val="2"/>
              <w:sz w:val="24"/>
              <w:szCs w:val="24"/>
            </w:rPr>
          </w:pPr>
          <w:hyperlink w:anchor="_Toc210900533" w:history="1">
            <w:r w:rsidR="005C1E80">
              <w:rPr>
                <w:rStyle w:val="Hiperveza"/>
              </w:rPr>
              <w:t>2.</w:t>
            </w:r>
            <w:r w:rsidR="005C1E80">
              <w:rPr>
                <w:rStyle w:val="Hiperveza"/>
                <w:rFonts w:ascii="Aptos" w:hAnsi="Aptos"/>
              </w:rPr>
              <w:t xml:space="preserve"> ANALIZA POSTOJEĆEG STANJA I UTJECAJ KLIMATSKIH PROMJENA</w:t>
            </w:r>
            <w:r w:rsidR="005C1E80">
              <w:tab/>
            </w:r>
            <w:r>
              <w:fldChar w:fldCharType="begin"/>
            </w:r>
            <w:r w:rsidR="005C1E80">
              <w:instrText xml:space="preserve"> PAGEREF _Toc210900533 \h </w:instrText>
            </w:r>
            <w:r>
              <w:fldChar w:fldCharType="separate"/>
            </w:r>
            <w:r w:rsidR="005C1E80">
              <w:t>3</w:t>
            </w:r>
            <w:r>
              <w:fldChar w:fldCharType="end"/>
            </w:r>
          </w:hyperlink>
        </w:p>
        <w:p w:rsidR="005C1E80" w:rsidRPr="005C1E80" w:rsidRDefault="00DD1C99" w:rsidP="005C1E80">
          <w:pPr>
            <w:pStyle w:val="Sadraj2"/>
            <w:rPr>
              <w:caps w:val="0"/>
              <w:kern w:val="2"/>
              <w:sz w:val="24"/>
              <w:szCs w:val="24"/>
            </w:rPr>
          </w:pPr>
          <w:hyperlink w:anchor="_Toc210900534" w:history="1">
            <w:r w:rsidR="005C1E80">
              <w:rPr>
                <w:rStyle w:val="Hiperveza"/>
                <w:i/>
              </w:rPr>
              <w:t>2.2.</w:t>
            </w:r>
            <w:r w:rsidR="005C1E80">
              <w:rPr>
                <w:rStyle w:val="Hiperveza"/>
                <w:rFonts w:ascii="Aptos" w:hAnsi="Aptos"/>
              </w:rPr>
              <w:t xml:space="preserve"> Dokumenti od  posebnog značaja u odgovoru na prirodne nepogode</w:t>
            </w:r>
            <w:r w:rsidR="005C1E80">
              <w:tab/>
            </w:r>
            <w:r>
              <w:fldChar w:fldCharType="begin"/>
            </w:r>
            <w:r w:rsidR="005C1E80">
              <w:instrText xml:space="preserve"> PAGEREF _Toc210900534 \h </w:instrText>
            </w:r>
            <w:r>
              <w:fldChar w:fldCharType="separate"/>
            </w:r>
            <w:r w:rsidR="005C1E80">
              <w:t>3</w:t>
            </w:r>
            <w:r>
              <w:fldChar w:fldCharType="end"/>
            </w:r>
          </w:hyperlink>
        </w:p>
        <w:p w:rsidR="005C1E80" w:rsidRPr="005C1E80" w:rsidRDefault="00DD1C99" w:rsidP="005C1E80">
          <w:pPr>
            <w:pStyle w:val="Sadraj2"/>
            <w:rPr>
              <w:caps w:val="0"/>
              <w:kern w:val="2"/>
              <w:sz w:val="24"/>
              <w:szCs w:val="24"/>
            </w:rPr>
          </w:pPr>
          <w:hyperlink w:anchor="_Toc210900535" w:history="1">
            <w:r w:rsidR="005C1E80">
              <w:rPr>
                <w:rStyle w:val="Hiperveza"/>
                <w:i/>
              </w:rPr>
              <w:t>2.3.</w:t>
            </w:r>
            <w:r w:rsidR="005C1E80">
              <w:rPr>
                <w:rStyle w:val="Hiperveza"/>
                <w:rFonts w:ascii="Aptos" w:hAnsi="Aptos"/>
              </w:rPr>
              <w:t xml:space="preserve"> Utjecaj klimatskih promjena</w:t>
            </w:r>
            <w:r w:rsidR="005C1E80">
              <w:tab/>
            </w:r>
            <w:r>
              <w:fldChar w:fldCharType="begin"/>
            </w:r>
            <w:r w:rsidR="005C1E80">
              <w:instrText xml:space="preserve"> PAGEREF _Toc210900535 \h </w:instrText>
            </w:r>
            <w:r>
              <w:fldChar w:fldCharType="separate"/>
            </w:r>
            <w:r w:rsidR="005C1E80">
              <w:t>5</w:t>
            </w:r>
            <w:r>
              <w:fldChar w:fldCharType="end"/>
            </w:r>
          </w:hyperlink>
        </w:p>
        <w:p w:rsidR="005C1E80" w:rsidRPr="005C1E80" w:rsidRDefault="00DD1C99" w:rsidP="005C1E80">
          <w:pPr>
            <w:pStyle w:val="Sadraj3"/>
            <w:rPr>
              <w:caps w:val="0"/>
              <w:kern w:val="2"/>
              <w:sz w:val="24"/>
              <w:szCs w:val="24"/>
            </w:rPr>
          </w:pPr>
          <w:hyperlink w:anchor="_Toc210900536" w:history="1">
            <w:r w:rsidR="005C1E80">
              <w:rPr>
                <w:rStyle w:val="Hiperveza"/>
              </w:rPr>
              <w:t>2.3.3.</w:t>
            </w:r>
            <w:r w:rsidR="005C1E80">
              <w:rPr>
                <w:rStyle w:val="Hiperveza"/>
                <w:rFonts w:ascii="Aptos" w:hAnsi="Aptos"/>
              </w:rPr>
              <w:t xml:space="preserve"> Matrica rizika sa uspoređenim rizicima (2019. i 2025. godina)</w:t>
            </w:r>
            <w:r w:rsidR="005C1E80">
              <w:tab/>
            </w:r>
            <w:r>
              <w:fldChar w:fldCharType="begin"/>
            </w:r>
            <w:r w:rsidR="005C1E80">
              <w:instrText xml:space="preserve"> PAGEREF _Toc210900536 \h </w:instrText>
            </w:r>
            <w:r>
              <w:fldChar w:fldCharType="separate"/>
            </w:r>
            <w:r w:rsidR="005C1E80">
              <w:t>8</w:t>
            </w:r>
            <w:r>
              <w:fldChar w:fldCharType="end"/>
            </w:r>
          </w:hyperlink>
        </w:p>
        <w:p w:rsidR="005C1E80" w:rsidRPr="005C1E80" w:rsidRDefault="00DD1C99" w:rsidP="005C1E80">
          <w:pPr>
            <w:pStyle w:val="Sadraj1"/>
            <w:rPr>
              <w:caps w:val="0"/>
              <w:kern w:val="2"/>
              <w:sz w:val="24"/>
              <w:szCs w:val="24"/>
            </w:rPr>
          </w:pPr>
          <w:hyperlink w:anchor="_Toc210900537" w:history="1">
            <w:r w:rsidR="005C1E80">
              <w:rPr>
                <w:rStyle w:val="Hiperveza"/>
              </w:rPr>
              <w:t>3. SUSTAV NOSITELJA MJERA U ODGOVORU NA PRIRODNE NEPOGODE</w:t>
            </w:r>
            <w:r w:rsidR="005C1E80">
              <w:tab/>
            </w:r>
            <w:r>
              <w:fldChar w:fldCharType="begin"/>
            </w:r>
            <w:r w:rsidR="005C1E80">
              <w:instrText xml:space="preserve"> PAGEREF _Toc210900537 \h </w:instrText>
            </w:r>
            <w:r>
              <w:fldChar w:fldCharType="separate"/>
            </w:r>
            <w:r w:rsidR="005C1E80">
              <w:t>12</w:t>
            </w:r>
            <w:r>
              <w:fldChar w:fldCharType="end"/>
            </w:r>
          </w:hyperlink>
        </w:p>
        <w:p w:rsidR="005C1E80" w:rsidRPr="005C1E80" w:rsidRDefault="00DD1C99" w:rsidP="005C1E80">
          <w:pPr>
            <w:pStyle w:val="Sadraj2"/>
            <w:rPr>
              <w:caps w:val="0"/>
              <w:kern w:val="2"/>
              <w:sz w:val="24"/>
              <w:szCs w:val="24"/>
            </w:rPr>
          </w:pPr>
          <w:hyperlink w:anchor="_Toc210900538" w:history="1">
            <w:r w:rsidR="005C1E80">
              <w:rPr>
                <w:rStyle w:val="Hiperveza"/>
                <w:bCs/>
                <w:i/>
                <w:iCs/>
              </w:rPr>
              <w:t>3.1.</w:t>
            </w:r>
            <w:r w:rsidR="005C1E80">
              <w:rPr>
                <w:rStyle w:val="Hiperveza"/>
                <w:rFonts w:ascii="Aptos" w:hAnsi="Aptos"/>
                <w:bCs/>
                <w:i/>
                <w:iCs/>
              </w:rPr>
              <w:t xml:space="preserve"> Nositelji mjera sukladno Zakonu o ublažavanju i uklanjanju posljedica prirodnih nepogoda</w:t>
            </w:r>
            <w:r w:rsidR="005C1E80">
              <w:tab/>
            </w:r>
            <w:r>
              <w:fldChar w:fldCharType="begin"/>
            </w:r>
            <w:r w:rsidR="005C1E80">
              <w:instrText xml:space="preserve"> PAGEREF _Toc210900538 \h </w:instrText>
            </w:r>
            <w:r>
              <w:fldChar w:fldCharType="separate"/>
            </w:r>
            <w:r w:rsidR="005C1E80">
              <w:t>13</w:t>
            </w:r>
            <w:r>
              <w:fldChar w:fldCharType="end"/>
            </w:r>
          </w:hyperlink>
        </w:p>
        <w:p w:rsidR="005C1E80" w:rsidRPr="005C1E80" w:rsidRDefault="00DD1C99" w:rsidP="005C1E80">
          <w:pPr>
            <w:pStyle w:val="Sadraj2"/>
            <w:rPr>
              <w:caps w:val="0"/>
              <w:kern w:val="2"/>
              <w:sz w:val="24"/>
              <w:szCs w:val="24"/>
            </w:rPr>
          </w:pPr>
          <w:hyperlink w:anchor="_Toc210900539" w:history="1">
            <w:r w:rsidR="005C1E80">
              <w:rPr>
                <w:rStyle w:val="Hiperveza"/>
                <w:bCs/>
                <w:i/>
                <w:iCs/>
              </w:rPr>
              <w:t>3.2.</w:t>
            </w:r>
            <w:r w:rsidR="005C1E80">
              <w:rPr>
                <w:rStyle w:val="Hiperveza"/>
                <w:rFonts w:ascii="Aptos" w:hAnsi="Aptos"/>
                <w:bCs/>
                <w:i/>
                <w:iCs/>
              </w:rPr>
              <w:t xml:space="preserve"> Nositelji mjera sukladno Zakonu o sustavu civilne zaštite</w:t>
            </w:r>
            <w:r w:rsidR="005C1E80">
              <w:tab/>
            </w:r>
            <w:r>
              <w:fldChar w:fldCharType="begin"/>
            </w:r>
            <w:r w:rsidR="005C1E80">
              <w:instrText xml:space="preserve"> PAGEREF _Toc210900539 \h </w:instrText>
            </w:r>
            <w:r>
              <w:fldChar w:fldCharType="separate"/>
            </w:r>
            <w:r w:rsidR="005C1E80">
              <w:t>14</w:t>
            </w:r>
            <w:r>
              <w:fldChar w:fldCharType="end"/>
            </w:r>
          </w:hyperlink>
        </w:p>
        <w:p w:rsidR="005C1E80" w:rsidRPr="005C1E80" w:rsidRDefault="00DD1C99" w:rsidP="005C1E80">
          <w:pPr>
            <w:pStyle w:val="Sadraj1"/>
            <w:rPr>
              <w:caps w:val="0"/>
              <w:kern w:val="2"/>
              <w:sz w:val="24"/>
              <w:szCs w:val="24"/>
            </w:rPr>
          </w:pPr>
          <w:hyperlink w:anchor="_Toc210900540" w:history="1">
            <w:r w:rsidR="005C1E80">
              <w:rPr>
                <w:rStyle w:val="Hiperveza"/>
                <w:iCs/>
              </w:rPr>
              <w:t>4.</w:t>
            </w:r>
            <w:r w:rsidR="005C1E80">
              <w:rPr>
                <w:rStyle w:val="Hiperveza"/>
                <w:rFonts w:ascii="Aptos" w:hAnsi="Aptos"/>
                <w:iCs/>
              </w:rPr>
              <w:t xml:space="preserve"> PROCJENA OSIGURANJA OPREME I DRUGIH SREDSTAVA ZA ZAŠTITU I SPRJEČAVANJE STRADANJA IMOVINE, GOSPODARSKIH FUNKCIJA I STRADANJA STANOVNIŠTVA</w:t>
            </w:r>
            <w:r w:rsidR="005C1E80">
              <w:tab/>
            </w:r>
            <w:r>
              <w:fldChar w:fldCharType="begin"/>
            </w:r>
            <w:r w:rsidR="005C1E80">
              <w:instrText xml:space="preserve"> PAGEREF _Toc210900540 \h </w:instrText>
            </w:r>
            <w:r>
              <w:fldChar w:fldCharType="separate"/>
            </w:r>
            <w:r w:rsidR="005C1E80">
              <w:t>20</w:t>
            </w:r>
            <w:r>
              <w:fldChar w:fldCharType="end"/>
            </w:r>
          </w:hyperlink>
        </w:p>
        <w:p w:rsidR="005C1E80" w:rsidRPr="005C1E80" w:rsidRDefault="00DD1C99" w:rsidP="005C1E80">
          <w:pPr>
            <w:pStyle w:val="Sadraj1"/>
            <w:rPr>
              <w:caps w:val="0"/>
              <w:kern w:val="2"/>
              <w:sz w:val="24"/>
              <w:szCs w:val="24"/>
            </w:rPr>
          </w:pPr>
          <w:hyperlink w:anchor="_Toc210900541" w:history="1">
            <w:r w:rsidR="005C1E80">
              <w:rPr>
                <w:rStyle w:val="Hiperveza"/>
              </w:rPr>
              <w:t>5.</w:t>
            </w:r>
            <w:r w:rsidR="005C1E80">
              <w:rPr>
                <w:rStyle w:val="Hiperveza"/>
                <w:rFonts w:ascii="Aptos" w:eastAsiaTheme="majorEastAsia" w:hAnsi="Aptos"/>
              </w:rPr>
              <w:t xml:space="preserve"> DRUGE MJERE KOJE UKLJUČUJU SURADNJU S NADLEŽNIM</w:t>
            </w:r>
            <w:r w:rsidR="005C1E80">
              <w:rPr>
                <w:rStyle w:val="Hiperveza"/>
                <w:rFonts w:ascii="Aptos" w:hAnsi="Aptos"/>
              </w:rPr>
              <w:t xml:space="preserve"> TIJELIMA, ZNANSTVENIM USTANOVAMA I STRUČNJACIMA ZA PODRUČJE PRIRODNIH NEPOGODA</w:t>
            </w:r>
            <w:r w:rsidR="005C1E80">
              <w:tab/>
            </w:r>
            <w:r>
              <w:fldChar w:fldCharType="begin"/>
            </w:r>
            <w:r w:rsidR="005C1E80">
              <w:instrText xml:space="preserve"> PAGEREF _Toc210900541 \h </w:instrText>
            </w:r>
            <w:r>
              <w:fldChar w:fldCharType="separate"/>
            </w:r>
            <w:r w:rsidR="005C1E80">
              <w:t>21</w:t>
            </w:r>
            <w:r>
              <w:fldChar w:fldCharType="end"/>
            </w:r>
          </w:hyperlink>
        </w:p>
        <w:p w:rsidR="005C1E80" w:rsidRPr="005C1E80" w:rsidRDefault="00DD1C99" w:rsidP="005C1E80">
          <w:pPr>
            <w:pStyle w:val="Sadraj2"/>
            <w:rPr>
              <w:caps w:val="0"/>
              <w:kern w:val="2"/>
              <w:sz w:val="24"/>
              <w:szCs w:val="24"/>
            </w:rPr>
          </w:pPr>
          <w:hyperlink w:anchor="_Toc210900542" w:history="1">
            <w:r w:rsidR="005C1E80">
              <w:rPr>
                <w:rStyle w:val="Hiperveza"/>
                <w:i/>
              </w:rPr>
              <w:t>5.1.</w:t>
            </w:r>
            <w:r w:rsidR="005C1E80">
              <w:rPr>
                <w:rStyle w:val="Hiperveza"/>
                <w:rFonts w:ascii="Aptos" w:hAnsi="Aptos"/>
              </w:rPr>
              <w:t xml:space="preserve"> Suradnja sa nadležnim tijelima na razini Europske unije</w:t>
            </w:r>
            <w:r w:rsidR="005C1E80">
              <w:tab/>
            </w:r>
            <w:r>
              <w:fldChar w:fldCharType="begin"/>
            </w:r>
            <w:r w:rsidR="005C1E80">
              <w:instrText xml:space="preserve"> PAGEREF _Toc210900542 \h </w:instrText>
            </w:r>
            <w:r>
              <w:fldChar w:fldCharType="separate"/>
            </w:r>
            <w:r w:rsidR="005C1E80">
              <w:t>21</w:t>
            </w:r>
            <w:r>
              <w:fldChar w:fldCharType="end"/>
            </w:r>
          </w:hyperlink>
        </w:p>
        <w:p w:rsidR="005C1E80" w:rsidRPr="005C1E80" w:rsidRDefault="00DD1C99" w:rsidP="005C1E80">
          <w:pPr>
            <w:pStyle w:val="Sadraj2"/>
            <w:rPr>
              <w:caps w:val="0"/>
              <w:kern w:val="2"/>
              <w:sz w:val="24"/>
              <w:szCs w:val="24"/>
            </w:rPr>
          </w:pPr>
          <w:hyperlink w:anchor="_Toc210900543" w:history="1">
            <w:r w:rsidR="005C1E80">
              <w:rPr>
                <w:rStyle w:val="Hiperveza"/>
                <w:rFonts w:eastAsia="Calibri"/>
                <w:i/>
              </w:rPr>
              <w:t>5.2.</w:t>
            </w:r>
            <w:r w:rsidR="005C1E80">
              <w:rPr>
                <w:rStyle w:val="Hiperveza"/>
                <w:rFonts w:ascii="Aptos" w:eastAsia="Calibri" w:hAnsi="Aptos"/>
              </w:rPr>
              <w:t xml:space="preserve"> Suradnja sa nadležnim tijelima na nacionalnoj razini</w:t>
            </w:r>
            <w:r w:rsidR="005C1E80">
              <w:tab/>
            </w:r>
            <w:r>
              <w:fldChar w:fldCharType="begin"/>
            </w:r>
            <w:r w:rsidR="005C1E80">
              <w:instrText xml:space="preserve"> PAGEREF _Toc210900543 \h </w:instrText>
            </w:r>
            <w:r>
              <w:fldChar w:fldCharType="separate"/>
            </w:r>
            <w:r w:rsidR="005C1E80">
              <w:t>24</w:t>
            </w:r>
            <w:r>
              <w:fldChar w:fldCharType="end"/>
            </w:r>
          </w:hyperlink>
        </w:p>
        <w:p w:rsidR="005C1E80" w:rsidRPr="005C1E80" w:rsidRDefault="00DD1C99" w:rsidP="005C1E80">
          <w:pPr>
            <w:pStyle w:val="Sadraj2"/>
            <w:rPr>
              <w:caps w:val="0"/>
              <w:kern w:val="2"/>
              <w:sz w:val="24"/>
              <w:szCs w:val="24"/>
            </w:rPr>
          </w:pPr>
          <w:hyperlink w:anchor="_Toc210900544" w:history="1">
            <w:r w:rsidR="005C1E80">
              <w:rPr>
                <w:rStyle w:val="Hiperveza"/>
                <w:i/>
              </w:rPr>
              <w:t>5.3.</w:t>
            </w:r>
            <w:r w:rsidR="005C1E80">
              <w:rPr>
                <w:rStyle w:val="Hiperveza"/>
                <w:rFonts w:ascii="Aptos" w:hAnsi="Aptos"/>
              </w:rPr>
              <w:t xml:space="preserve"> Suradnja sa znanstvenim ustanovama</w:t>
            </w:r>
            <w:r w:rsidR="005C1E80">
              <w:tab/>
            </w:r>
            <w:r>
              <w:fldChar w:fldCharType="begin"/>
            </w:r>
            <w:r w:rsidR="005C1E80">
              <w:instrText xml:space="preserve"> PAGEREF _Toc210900544 \h </w:instrText>
            </w:r>
            <w:r>
              <w:fldChar w:fldCharType="separate"/>
            </w:r>
            <w:r w:rsidR="005C1E80">
              <w:t>25</w:t>
            </w:r>
            <w:r>
              <w:fldChar w:fldCharType="end"/>
            </w:r>
          </w:hyperlink>
        </w:p>
        <w:p w:rsidR="005C1E80" w:rsidRPr="005C1E80" w:rsidRDefault="00DD1C99" w:rsidP="005C1E80">
          <w:pPr>
            <w:pStyle w:val="Sadraj2"/>
            <w:rPr>
              <w:caps w:val="0"/>
              <w:kern w:val="2"/>
              <w:sz w:val="24"/>
              <w:szCs w:val="24"/>
            </w:rPr>
          </w:pPr>
          <w:hyperlink w:anchor="_Toc210900545" w:history="1">
            <w:r w:rsidR="005C1E80">
              <w:rPr>
                <w:rStyle w:val="Hiperveza"/>
                <w:i/>
                <w:iCs/>
              </w:rPr>
              <w:t>5.4. Suradnja sa stručnjacima za prirodne nepogode</w:t>
            </w:r>
            <w:r w:rsidR="005C1E80">
              <w:tab/>
            </w:r>
            <w:r>
              <w:fldChar w:fldCharType="begin"/>
            </w:r>
            <w:r w:rsidR="005C1E80">
              <w:instrText xml:space="preserve"> PAGEREF _Toc210900545 \h </w:instrText>
            </w:r>
            <w:r>
              <w:fldChar w:fldCharType="separate"/>
            </w:r>
            <w:r w:rsidR="005C1E80">
              <w:t>25</w:t>
            </w:r>
            <w:r>
              <w:fldChar w:fldCharType="end"/>
            </w:r>
          </w:hyperlink>
        </w:p>
        <w:p w:rsidR="005C1E80" w:rsidRPr="005C1E80" w:rsidRDefault="00DD1C99" w:rsidP="005C1E80">
          <w:pPr>
            <w:pStyle w:val="Sadraj1"/>
            <w:rPr>
              <w:caps w:val="0"/>
              <w:kern w:val="2"/>
              <w:sz w:val="24"/>
              <w:szCs w:val="24"/>
            </w:rPr>
          </w:pPr>
          <w:hyperlink w:anchor="_Toc210900546" w:history="1">
            <w:r w:rsidR="005C1E80">
              <w:rPr>
                <w:rStyle w:val="Hiperveza"/>
              </w:rPr>
              <w:t>6. POPIS MJERA ZA DJELOVANJE U PODRUČJU PRIRODNIH NEPOGODA</w:t>
            </w:r>
            <w:r w:rsidR="005C1E80">
              <w:tab/>
            </w:r>
            <w:r>
              <w:fldChar w:fldCharType="begin"/>
            </w:r>
            <w:r w:rsidR="005C1E80">
              <w:instrText xml:space="preserve"> PAGEREF _Toc210900546 \h </w:instrText>
            </w:r>
            <w:r>
              <w:fldChar w:fldCharType="separate"/>
            </w:r>
            <w:r w:rsidR="005C1E80">
              <w:t>26</w:t>
            </w:r>
            <w:r>
              <w:fldChar w:fldCharType="end"/>
            </w:r>
          </w:hyperlink>
        </w:p>
        <w:p w:rsidR="005C1E80" w:rsidRPr="005C1E80" w:rsidRDefault="00DD1C99" w:rsidP="005C1E80">
          <w:pPr>
            <w:pStyle w:val="Sadraj2"/>
            <w:rPr>
              <w:caps w:val="0"/>
              <w:kern w:val="2"/>
              <w:sz w:val="24"/>
              <w:szCs w:val="24"/>
            </w:rPr>
          </w:pPr>
          <w:hyperlink w:anchor="_Toc210900547" w:history="1">
            <w:r w:rsidR="005C1E80">
              <w:rPr>
                <w:rStyle w:val="Hiperveza"/>
                <w:i/>
              </w:rPr>
              <w:t>6.1.</w:t>
            </w:r>
            <w:r w:rsidR="005C1E80">
              <w:rPr>
                <w:rStyle w:val="Hiperveza"/>
              </w:rPr>
              <w:t xml:space="preserve"> MJERE – KLIMATSKE PROMJENE</w:t>
            </w:r>
            <w:r w:rsidR="005C1E80">
              <w:tab/>
            </w:r>
            <w:r>
              <w:fldChar w:fldCharType="begin"/>
            </w:r>
            <w:r w:rsidR="005C1E80">
              <w:instrText xml:space="preserve"> PAGEREF _Toc210900547 \h </w:instrText>
            </w:r>
            <w:r>
              <w:fldChar w:fldCharType="separate"/>
            </w:r>
            <w:r w:rsidR="005C1E80">
              <w:t>26</w:t>
            </w:r>
            <w:r>
              <w:fldChar w:fldCharType="end"/>
            </w:r>
          </w:hyperlink>
        </w:p>
        <w:p w:rsidR="005C1E80" w:rsidRPr="005C1E80" w:rsidRDefault="00DD1C99" w:rsidP="005C1E80">
          <w:pPr>
            <w:pStyle w:val="Sadraj2"/>
            <w:rPr>
              <w:caps w:val="0"/>
              <w:kern w:val="2"/>
              <w:sz w:val="24"/>
              <w:szCs w:val="24"/>
            </w:rPr>
          </w:pPr>
          <w:hyperlink w:anchor="_Toc210900548" w:history="1">
            <w:r w:rsidR="005C1E80">
              <w:rPr>
                <w:rStyle w:val="Hiperveza"/>
                <w:i/>
              </w:rPr>
              <w:t>6.2.</w:t>
            </w:r>
            <w:r w:rsidR="005C1E80">
              <w:rPr>
                <w:rStyle w:val="Hiperveza"/>
              </w:rPr>
              <w:t xml:space="preserve"> DODATNE MJERE – POJEDINA PRIRODNA NEPOGODA</w:t>
            </w:r>
            <w:r w:rsidR="005C1E80">
              <w:tab/>
            </w:r>
            <w:r>
              <w:fldChar w:fldCharType="begin"/>
            </w:r>
            <w:r w:rsidR="005C1E80">
              <w:instrText xml:space="preserve"> PAGEREF _Toc210900548 \h </w:instrText>
            </w:r>
            <w:r>
              <w:fldChar w:fldCharType="separate"/>
            </w:r>
            <w:r w:rsidR="005C1E80">
              <w:t>31</w:t>
            </w:r>
            <w:r>
              <w:fldChar w:fldCharType="end"/>
            </w:r>
          </w:hyperlink>
        </w:p>
        <w:p w:rsidR="005C1E80" w:rsidRPr="005C1E80" w:rsidRDefault="00DD1C99" w:rsidP="005C1E80">
          <w:pPr>
            <w:pStyle w:val="Sadraj2"/>
            <w:rPr>
              <w:caps w:val="0"/>
              <w:kern w:val="2"/>
              <w:sz w:val="24"/>
              <w:szCs w:val="24"/>
            </w:rPr>
          </w:pPr>
          <w:hyperlink w:anchor="_Toc210900549" w:history="1">
            <w:r w:rsidR="005C1E80">
              <w:rPr>
                <w:rStyle w:val="Hiperveza"/>
                <w:i/>
              </w:rPr>
              <w:t>6.3.</w:t>
            </w:r>
            <w:r w:rsidR="005C1E80">
              <w:rPr>
                <w:rStyle w:val="Hiperveza"/>
              </w:rPr>
              <w:t xml:space="preserve"> DODATNE MJERE – SURADNJU S NADLEŽNIM TIJELIMA, ZNANSTVENIM USTANOVAMA I STRUČNJACIMA ZA PODRUČJE PRIRODNIH NEPOGODA</w:t>
            </w:r>
            <w:r w:rsidR="005C1E80">
              <w:tab/>
            </w:r>
            <w:r>
              <w:fldChar w:fldCharType="begin"/>
            </w:r>
            <w:r w:rsidR="005C1E80">
              <w:instrText xml:space="preserve"> PAGEREF _Toc210900549 \h </w:instrText>
            </w:r>
            <w:r>
              <w:fldChar w:fldCharType="separate"/>
            </w:r>
            <w:r w:rsidR="005C1E80">
              <w:t>34</w:t>
            </w:r>
            <w:r>
              <w:fldChar w:fldCharType="end"/>
            </w:r>
          </w:hyperlink>
        </w:p>
        <w:p w:rsidR="005C1E80" w:rsidRPr="005C1E80" w:rsidRDefault="00DD1C99" w:rsidP="005C1E80">
          <w:pPr>
            <w:pStyle w:val="Sadraj2"/>
            <w:rPr>
              <w:caps w:val="0"/>
              <w:kern w:val="2"/>
              <w:sz w:val="24"/>
              <w:szCs w:val="24"/>
            </w:rPr>
          </w:pPr>
          <w:hyperlink w:anchor="_Toc210900550" w:history="1">
            <w:r w:rsidR="005C1E80">
              <w:rPr>
                <w:rStyle w:val="Hiperveza"/>
                <w:i/>
              </w:rPr>
              <w:t>6.4.</w:t>
            </w:r>
            <w:r w:rsidR="005C1E80">
              <w:rPr>
                <w:rStyle w:val="Hiperveza"/>
              </w:rPr>
              <w:t xml:space="preserve"> DODATNE MJERE – PODIZANJE SVIJESTI GRAĐANA</w:t>
            </w:r>
            <w:r w:rsidR="005C1E80">
              <w:tab/>
            </w:r>
            <w:r>
              <w:fldChar w:fldCharType="begin"/>
            </w:r>
            <w:r w:rsidR="005C1E80">
              <w:instrText xml:space="preserve"> PAGEREF _Toc210900550 \h </w:instrText>
            </w:r>
            <w:r>
              <w:fldChar w:fldCharType="separate"/>
            </w:r>
            <w:r w:rsidR="005C1E80">
              <w:t>35</w:t>
            </w:r>
            <w:r>
              <w:fldChar w:fldCharType="end"/>
            </w:r>
          </w:hyperlink>
        </w:p>
        <w:p w:rsidR="005C1E80" w:rsidRPr="005C1E80" w:rsidRDefault="00DD1C99" w:rsidP="005C1E80">
          <w:pPr>
            <w:pStyle w:val="Sadraj3"/>
            <w:rPr>
              <w:caps w:val="0"/>
              <w:kern w:val="2"/>
              <w:sz w:val="24"/>
              <w:szCs w:val="24"/>
            </w:rPr>
          </w:pPr>
          <w:hyperlink w:anchor="_Toc210900551" w:history="1">
            <w:r w:rsidR="005C1E80">
              <w:rPr>
                <w:rStyle w:val="Hiperveza"/>
              </w:rPr>
              <w:t>6.4.1. Informativno edukativne aktivnosti za djecu i mlade</w:t>
            </w:r>
            <w:r w:rsidR="005C1E80">
              <w:tab/>
            </w:r>
            <w:r>
              <w:fldChar w:fldCharType="begin"/>
            </w:r>
            <w:r w:rsidR="005C1E80">
              <w:instrText xml:space="preserve"> PAGEREF _Toc210900551 \h </w:instrText>
            </w:r>
            <w:r>
              <w:fldChar w:fldCharType="separate"/>
            </w:r>
            <w:r w:rsidR="005C1E80">
              <w:t>35</w:t>
            </w:r>
            <w:r>
              <w:fldChar w:fldCharType="end"/>
            </w:r>
          </w:hyperlink>
        </w:p>
        <w:p w:rsidR="005C1E80" w:rsidRPr="005C1E80" w:rsidRDefault="00DD1C99" w:rsidP="005C1E80">
          <w:pPr>
            <w:pStyle w:val="Sadraj3"/>
            <w:rPr>
              <w:caps w:val="0"/>
              <w:kern w:val="2"/>
              <w:sz w:val="24"/>
              <w:szCs w:val="24"/>
            </w:rPr>
          </w:pPr>
          <w:hyperlink w:anchor="_Toc210900552" w:history="1">
            <w:r w:rsidR="005C1E80">
              <w:rPr>
                <w:rStyle w:val="Hiperveza"/>
              </w:rPr>
              <w:t>6.4.2. Informativno-edukativne aktivnosti odraslog stanovništva o utjecaju klimatskih promjena i postupanju u slučaju prirodnih nepogode</w:t>
            </w:r>
            <w:r w:rsidR="005C1E80">
              <w:tab/>
            </w:r>
            <w:r>
              <w:fldChar w:fldCharType="begin"/>
            </w:r>
            <w:r w:rsidR="005C1E80">
              <w:instrText xml:space="preserve"> PAGEREF _Toc210900552 \h </w:instrText>
            </w:r>
            <w:r>
              <w:fldChar w:fldCharType="separate"/>
            </w:r>
            <w:r w:rsidR="005C1E80">
              <w:t>36</w:t>
            </w:r>
            <w:r>
              <w:fldChar w:fldCharType="end"/>
            </w:r>
          </w:hyperlink>
        </w:p>
        <w:p w:rsidR="005C1E80" w:rsidRPr="005C1E80" w:rsidRDefault="00DD1C99" w:rsidP="005C1E80">
          <w:pPr>
            <w:pStyle w:val="Sadraj3"/>
            <w:rPr>
              <w:caps w:val="0"/>
              <w:kern w:val="2"/>
              <w:sz w:val="24"/>
              <w:szCs w:val="24"/>
            </w:rPr>
          </w:pPr>
          <w:hyperlink w:anchor="_Toc210900553" w:history="1">
            <w:r w:rsidR="005C1E80">
              <w:rPr>
                <w:rStyle w:val="Hiperveza"/>
              </w:rPr>
              <w:t>6.4.3. Podrška osobama s invaliditetom tijekom opasnosti, kriznih situacija i katastrofa</w:t>
            </w:r>
            <w:r w:rsidR="005C1E80">
              <w:tab/>
            </w:r>
            <w:r>
              <w:fldChar w:fldCharType="begin"/>
            </w:r>
            <w:r w:rsidR="005C1E80">
              <w:instrText xml:space="preserve"> PAGEREF _Toc210900553 \h </w:instrText>
            </w:r>
            <w:r>
              <w:fldChar w:fldCharType="separate"/>
            </w:r>
            <w:r w:rsidR="005C1E80">
              <w:t>37</w:t>
            </w:r>
            <w:r>
              <w:fldChar w:fldCharType="end"/>
            </w:r>
          </w:hyperlink>
        </w:p>
        <w:p w:rsidR="005C1E80" w:rsidRPr="005C1E80" w:rsidRDefault="00DD1C99" w:rsidP="005C1E80">
          <w:pPr>
            <w:pStyle w:val="Sadraj2"/>
            <w:rPr>
              <w:caps w:val="0"/>
              <w:kern w:val="2"/>
              <w:sz w:val="24"/>
              <w:szCs w:val="24"/>
            </w:rPr>
          </w:pPr>
          <w:hyperlink w:anchor="_Toc210900554" w:history="1">
            <w:r w:rsidR="005C1E80">
              <w:rPr>
                <w:rStyle w:val="Hiperveza"/>
                <w:i/>
              </w:rPr>
              <w:t>6.5.</w:t>
            </w:r>
            <w:r w:rsidR="005C1E80">
              <w:rPr>
                <w:rStyle w:val="Hiperveza"/>
              </w:rPr>
              <w:t xml:space="preserve"> KORIŠTENJE DIGITALNIH TEHNOLOGIJA U SVRHU JAČANJA ODGOVORA NA PRIRODNE NEPOGODE</w:t>
            </w:r>
            <w:r w:rsidR="005C1E80">
              <w:tab/>
            </w:r>
            <w:r>
              <w:fldChar w:fldCharType="begin"/>
            </w:r>
            <w:r w:rsidR="005C1E80">
              <w:instrText xml:space="preserve"> PAGEREF _Toc210900554 \h </w:instrText>
            </w:r>
            <w:r>
              <w:fldChar w:fldCharType="separate"/>
            </w:r>
            <w:r w:rsidR="005C1E80">
              <w:t>38</w:t>
            </w:r>
            <w:r>
              <w:fldChar w:fldCharType="end"/>
            </w:r>
          </w:hyperlink>
        </w:p>
        <w:p w:rsidR="005C1E80" w:rsidRPr="005C1E80" w:rsidRDefault="00DD1C99" w:rsidP="005C1E80">
          <w:pPr>
            <w:pStyle w:val="Sadraj1"/>
            <w:rPr>
              <w:caps w:val="0"/>
              <w:kern w:val="2"/>
              <w:sz w:val="24"/>
              <w:szCs w:val="24"/>
            </w:rPr>
          </w:pPr>
          <w:hyperlink w:anchor="_Toc210900555" w:history="1">
            <w:r w:rsidR="005C1E80">
              <w:rPr>
                <w:rStyle w:val="Hiperveza"/>
              </w:rPr>
              <w:t>7. IZVORI FINANCIRANJA</w:t>
            </w:r>
            <w:r w:rsidR="005C1E80">
              <w:tab/>
            </w:r>
            <w:r>
              <w:fldChar w:fldCharType="begin"/>
            </w:r>
            <w:r w:rsidR="005C1E80">
              <w:instrText xml:space="preserve"> PAGEREF _Toc210900555 \h </w:instrText>
            </w:r>
            <w:r>
              <w:fldChar w:fldCharType="separate"/>
            </w:r>
            <w:r w:rsidR="005C1E80">
              <w:t>39</w:t>
            </w:r>
            <w:r>
              <w:fldChar w:fldCharType="end"/>
            </w:r>
          </w:hyperlink>
        </w:p>
        <w:p w:rsidR="005C1E80" w:rsidRDefault="00DD1C99" w:rsidP="005C1E80">
          <w:pPr>
            <w:rPr>
              <w:rFonts w:ascii="Aptos" w:hAnsi="Aptos"/>
              <w:sz w:val="24"/>
              <w:szCs w:val="24"/>
            </w:rPr>
          </w:pPr>
          <w:r>
            <w:rPr>
              <w:rFonts w:ascii="Aptos" w:hAnsi="Aptos"/>
              <w:sz w:val="24"/>
              <w:szCs w:val="24"/>
            </w:rPr>
            <w:fldChar w:fldCharType="end"/>
          </w: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DD1C99" w:rsidP="005C1E80">
          <w:pPr>
            <w:rPr>
              <w:rFonts w:ascii="Aptos" w:hAnsi="Aptos"/>
              <w:sz w:val="24"/>
              <w:szCs w:val="24"/>
            </w:rPr>
          </w:pPr>
        </w:p>
      </w:sdtContent>
    </w:sdt>
    <w:p w:rsidR="005C1E80" w:rsidRDefault="005C1E80" w:rsidP="005C1E80">
      <w:pPr>
        <w:pStyle w:val="Razina1"/>
        <w:rPr>
          <w:rFonts w:ascii="Aptos" w:hAnsi="Aptos"/>
        </w:rPr>
      </w:pPr>
      <w:bookmarkStart w:id="38" w:name="_Toc54017745"/>
      <w:bookmarkStart w:id="39" w:name="_Toc210900532"/>
      <w:bookmarkEnd w:id="37"/>
      <w:bookmarkEnd w:id="36"/>
      <w:bookmarkEnd w:id="35"/>
      <w:r>
        <w:rPr>
          <w:rFonts w:ascii="Aptos" w:hAnsi="Aptos"/>
        </w:rPr>
        <w:t>UVOD</w:t>
      </w:r>
      <w:bookmarkEnd w:id="38"/>
      <w:bookmarkEnd w:id="39"/>
    </w:p>
    <w:p w:rsidR="005C1E80" w:rsidRDefault="005C1E80" w:rsidP="005C1E80">
      <w:pPr>
        <w:pStyle w:val="Bezproreda1"/>
        <w:rPr>
          <w:rFonts w:ascii="Aptos" w:hAnsi="Aptos"/>
          <w:sz w:val="24"/>
          <w:szCs w:val="24"/>
        </w:rPr>
      </w:pP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r>
        <w:rPr>
          <w:rFonts w:ascii="Aptos" w:hAnsi="Aptos" w:cstheme="minorHAnsi"/>
        </w:rPr>
        <w:lastRenderedPageBreak/>
        <w:t>Obveza izrade Plana djelovanja u području prirodnih nepogoda propisana je člankom 17. Zakona o ublažavanju i uklanjanju posljedica prirodnih nepogoda („Narodne novine“ 16/19). Planom djelovanja od prirodnih nepogoda uređuje se:</w:t>
      </w: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r>
        <w:rPr>
          <w:rFonts w:ascii="Aptos" w:hAnsi="Aptos" w:cstheme="minorHAnsi"/>
        </w:rPr>
        <w:t xml:space="preserve">- popis mjera i nositelja mjera u slučaju nastanka prirodne nepogode, </w:t>
      </w: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r>
        <w:rPr>
          <w:rFonts w:ascii="Aptos" w:hAnsi="Aptos" w:cstheme="minorHAnsi"/>
        </w:rPr>
        <w:t>- procjena osiguranja opreme i drugih sredstava za zaštitu i sprječavanje stradanja imovine, gospodarskih funkcija i stradanja stanovništva i</w:t>
      </w: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r>
        <w:rPr>
          <w:rFonts w:ascii="Aptos" w:hAnsi="Aptos" w:cstheme="minorHAnsi"/>
        </w:rPr>
        <w:t>- druge mjere koje uključuju suradnju s nadležnim tijelima određenim Zakonom o ublažavanju i uklanjanju posljedica prirodnih nepogoda i/ili drugih tijela, znanstvenih ustanova i stručnjaka za područje prirodnih nepogoda.</w:t>
      </w:r>
    </w:p>
    <w:p w:rsidR="005C1E80" w:rsidRDefault="005C1E80" w:rsidP="005C1E80">
      <w:pPr>
        <w:pStyle w:val="Bezproreda1"/>
        <w:spacing w:line="276" w:lineRule="auto"/>
        <w:rPr>
          <w:rFonts w:ascii="Aptos" w:hAnsi="Aptos" w:cstheme="minorHAnsi"/>
          <w:sz w:val="24"/>
          <w:szCs w:val="24"/>
        </w:rPr>
      </w:pP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r>
        <w:rPr>
          <w:rFonts w:ascii="Aptos" w:hAnsi="Aptos" w:cstheme="minorHAnsi"/>
        </w:rPr>
        <w:t>Plan djelovanja u području prirodnih nepogoda donosi predstavničko tijelo jedinice lokalne i područne (regionalne) samouprave do 30. studenog tekuće godine za sljedeću kalendarsku godinu radi određenja mjera i postupanja djelomične sanacije šteta od prirodnih nepogoda.</w:t>
      </w: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p>
    <w:p w:rsidR="005C1E80" w:rsidRDefault="005C1E80" w:rsidP="008140D1">
      <w:pPr>
        <w:pStyle w:val="box459727"/>
        <w:spacing w:beforeLines="30" w:beforeAutospacing="0" w:afterLines="30" w:afterAutospacing="0" w:line="276" w:lineRule="auto"/>
        <w:jc w:val="both"/>
        <w:textAlignment w:val="baseline"/>
        <w:rPr>
          <w:rFonts w:ascii="Aptos" w:hAnsi="Aptos" w:cstheme="minorHAnsi"/>
        </w:rPr>
      </w:pPr>
      <w:r>
        <w:rPr>
          <w:rFonts w:ascii="Aptos" w:hAnsi="Aptos" w:cstheme="minorHAnsi"/>
        </w:rPr>
        <w:t>Izvršno tijelo jedinice lokalne i područne (regionalne) samouprave podnosi predstavničkom tijelu jedinice lokalne i područne (regionalne) samouprave, do 31. ožujka tekuće godine, izvješće o izvršenju plana djelovanja za proteklu kalendarsku godinu.</w:t>
      </w:r>
    </w:p>
    <w:p w:rsidR="005C1E80" w:rsidRDefault="005C1E80" w:rsidP="005C1E80">
      <w:pPr>
        <w:pStyle w:val="Bezproreda1"/>
        <w:rPr>
          <w:rFonts w:ascii="Aptos" w:hAnsi="Aptos"/>
          <w:sz w:val="24"/>
          <w:szCs w:val="24"/>
        </w:rPr>
      </w:pPr>
    </w:p>
    <w:p w:rsidR="005C1E80" w:rsidRDefault="005C1E80" w:rsidP="005C1E80">
      <w:pPr>
        <w:spacing w:after="0" w:line="240" w:lineRule="auto"/>
        <w:jc w:val="both"/>
        <w:rPr>
          <w:rFonts w:ascii="Aptos" w:eastAsia="Times New Roman" w:hAnsi="Aptos" w:cs="Times New Roman"/>
          <w:sz w:val="24"/>
          <w:szCs w:val="24"/>
        </w:rPr>
      </w:pPr>
    </w:p>
    <w:p w:rsidR="005C1E80" w:rsidRDefault="005C1E80" w:rsidP="005C1E80">
      <w:pPr>
        <w:spacing w:after="0" w:line="240" w:lineRule="auto"/>
        <w:jc w:val="both"/>
        <w:rPr>
          <w:rFonts w:ascii="Aptos" w:eastAsia="Times New Roman" w:hAnsi="Aptos" w:cs="Times New Roman"/>
          <w:sz w:val="24"/>
          <w:szCs w:val="24"/>
        </w:rPr>
      </w:pPr>
    </w:p>
    <w:p w:rsidR="005C1E80" w:rsidRDefault="005C1E80" w:rsidP="005C1E80">
      <w:pPr>
        <w:spacing w:after="0" w:line="240" w:lineRule="auto"/>
        <w:jc w:val="both"/>
        <w:rPr>
          <w:rFonts w:ascii="Aptos" w:eastAsia="Times New Roman" w:hAnsi="Aptos" w:cs="Times New Roman"/>
          <w:sz w:val="24"/>
          <w:szCs w:val="24"/>
        </w:rPr>
      </w:pPr>
    </w:p>
    <w:p w:rsidR="005C1E80" w:rsidRDefault="005C1E80" w:rsidP="005C1E80">
      <w:pPr>
        <w:spacing w:after="0" w:line="240" w:lineRule="auto"/>
        <w:jc w:val="both"/>
        <w:rPr>
          <w:rFonts w:ascii="Aptos" w:eastAsia="Times New Roman" w:hAnsi="Aptos" w:cs="Times New Roman"/>
          <w:sz w:val="24"/>
          <w:szCs w:val="24"/>
        </w:rPr>
      </w:pPr>
    </w:p>
    <w:p w:rsidR="005C1E80" w:rsidRDefault="005C1E80" w:rsidP="005C1E80">
      <w:pPr>
        <w:spacing w:after="0" w:line="240" w:lineRule="auto"/>
        <w:jc w:val="both"/>
        <w:rPr>
          <w:rFonts w:ascii="Aptos" w:eastAsia="Times New Roman" w:hAnsi="Aptos" w:cs="Times New Roman"/>
          <w:sz w:val="24"/>
          <w:szCs w:val="24"/>
        </w:rPr>
      </w:pPr>
    </w:p>
    <w:p w:rsidR="005C1E80" w:rsidRDefault="005C1E80" w:rsidP="005C1E80">
      <w:pPr>
        <w:rPr>
          <w:rFonts w:ascii="Aptos" w:hAnsi="Aptos"/>
          <w:sz w:val="24"/>
          <w:szCs w:val="24"/>
        </w:rPr>
      </w:pPr>
      <w:r>
        <w:rPr>
          <w:rFonts w:ascii="Aptos" w:hAnsi="Aptos"/>
          <w:sz w:val="24"/>
          <w:szCs w:val="24"/>
        </w:rPr>
        <w:t>Zakonske odredbe:</w:t>
      </w:r>
    </w:p>
    <w:p w:rsidR="005C1E80" w:rsidRDefault="005C1E80" w:rsidP="00A66748">
      <w:pPr>
        <w:pStyle w:val="Bezproreda1"/>
        <w:numPr>
          <w:ilvl w:val="0"/>
          <w:numId w:val="67"/>
        </w:numPr>
        <w:shd w:val="clear" w:color="auto" w:fill="F2F2F2" w:themeFill="background1" w:themeFillShade="F2"/>
        <w:rPr>
          <w:rFonts w:ascii="Aptos" w:hAnsi="Aptos"/>
          <w:sz w:val="24"/>
          <w:szCs w:val="24"/>
        </w:rPr>
      </w:pPr>
      <w:r>
        <w:rPr>
          <w:rFonts w:ascii="Aptos" w:hAnsi="Aptos"/>
          <w:i/>
          <w:sz w:val="24"/>
          <w:szCs w:val="24"/>
        </w:rPr>
        <w:t>Zakon o ublažavanju i uklanjanju posljedica prirodnih nepogoda, NN 16/19</w:t>
      </w:r>
    </w:p>
    <w:p w:rsidR="005C1E80" w:rsidRDefault="005C1E80" w:rsidP="00A66748">
      <w:pPr>
        <w:pStyle w:val="Bezproreda1"/>
        <w:numPr>
          <w:ilvl w:val="0"/>
          <w:numId w:val="67"/>
        </w:numPr>
        <w:shd w:val="clear" w:color="auto" w:fill="F2F2F2" w:themeFill="background1" w:themeFillShade="F2"/>
        <w:rPr>
          <w:rFonts w:ascii="Aptos" w:hAnsi="Aptos"/>
          <w:sz w:val="24"/>
          <w:szCs w:val="24"/>
        </w:rPr>
        <w:sectPr w:rsidR="005C1E80" w:rsidSect="005C1E80">
          <w:headerReference w:type="default" r:id="rId58"/>
          <w:footerReference w:type="default" r:id="rId59"/>
          <w:pgSz w:w="11906" w:h="16838"/>
          <w:pgMar w:top="1418" w:right="1134" w:bottom="1418" w:left="1134" w:header="709" w:footer="709" w:gutter="0"/>
          <w:pgNumType w:start="0"/>
          <w:cols w:space="708"/>
          <w:titlePg/>
          <w:docGrid w:linePitch="360"/>
        </w:sectPr>
      </w:pPr>
      <w:r>
        <w:rPr>
          <w:rFonts w:ascii="Aptos" w:hAnsi="Aptos"/>
          <w:i/>
          <w:sz w:val="24"/>
          <w:szCs w:val="24"/>
        </w:rPr>
        <w:t>Pravilnik o registru šteta od prirodnih nepogoda, NN 65/19</w:t>
      </w:r>
    </w:p>
    <w:p w:rsidR="005C1E80" w:rsidRDefault="005C1E80" w:rsidP="005C1E80">
      <w:pPr>
        <w:pStyle w:val="Razina1"/>
        <w:rPr>
          <w:rFonts w:ascii="Aptos" w:hAnsi="Aptos"/>
        </w:rPr>
      </w:pPr>
      <w:bookmarkStart w:id="40" w:name="_Toc118886967"/>
      <w:bookmarkStart w:id="41" w:name="_Toc210900533"/>
      <w:bookmarkStart w:id="42" w:name="_Toc54017746"/>
      <w:bookmarkStart w:id="43" w:name="_Toc47017315"/>
      <w:r>
        <w:rPr>
          <w:rFonts w:ascii="Aptos" w:hAnsi="Aptos"/>
        </w:rPr>
        <w:lastRenderedPageBreak/>
        <w:t>ANALIZA POSTOJEĆEG STANJA I UTJECAJ KLIMATSKIH PROMJENA</w:t>
      </w:r>
      <w:bookmarkEnd w:id="40"/>
      <w:bookmarkEnd w:id="41"/>
    </w:p>
    <w:p w:rsidR="005C1E80" w:rsidRDefault="005C1E80" w:rsidP="005C1E80">
      <w:pPr>
        <w:rPr>
          <w:rFonts w:ascii="Aptos" w:hAnsi="Aptos"/>
        </w:rPr>
      </w:pPr>
    </w:p>
    <w:p w:rsidR="005C1E80" w:rsidRDefault="005C1E80" w:rsidP="00A66748">
      <w:pPr>
        <w:numPr>
          <w:ilvl w:val="1"/>
          <w:numId w:val="68"/>
        </w:numPr>
        <w:spacing w:after="0" w:line="240" w:lineRule="auto"/>
        <w:jc w:val="both"/>
        <w:outlineLvl w:val="1"/>
        <w:rPr>
          <w:rFonts w:ascii="Aptos" w:eastAsia="Times New Roman" w:hAnsi="Aptos" w:cs="Times New Roman"/>
          <w:b/>
          <w:color w:val="000000"/>
          <w:sz w:val="28"/>
          <w:szCs w:val="28"/>
          <w:lang w:eastAsia="zh-CN"/>
        </w:rPr>
      </w:pPr>
      <w:bookmarkStart w:id="44" w:name="_Toc132273476"/>
      <w:r>
        <w:rPr>
          <w:rFonts w:ascii="Aptos" w:eastAsia="Times New Roman" w:hAnsi="Aptos" w:cs="Times New Roman"/>
          <w:b/>
          <w:color w:val="000000"/>
          <w:sz w:val="28"/>
          <w:szCs w:val="28"/>
          <w:lang w:eastAsia="zh-CN"/>
        </w:rPr>
        <w:t>Povijesni pokazatelji</w:t>
      </w:r>
      <w:bookmarkEnd w:id="44"/>
      <w:r>
        <w:rPr>
          <w:rFonts w:ascii="Aptos" w:eastAsia="Times New Roman" w:hAnsi="Aptos" w:cs="Times New Roman"/>
          <w:b/>
          <w:color w:val="000000"/>
          <w:sz w:val="28"/>
          <w:szCs w:val="28"/>
          <w:lang w:eastAsia="zh-CN"/>
        </w:rPr>
        <w:t xml:space="preserve"> </w:t>
      </w:r>
    </w:p>
    <w:p w:rsidR="005C1E80" w:rsidRDefault="005C1E80" w:rsidP="005C1E80">
      <w:pPr>
        <w:rPr>
          <w:rFonts w:ascii="Aptos" w:hAnsi="Aptos"/>
          <w:lang w:eastAsia="zh-CN"/>
        </w:rPr>
      </w:pPr>
    </w:p>
    <w:p w:rsidR="005C1E80" w:rsidRDefault="005C1E80" w:rsidP="005C1E80">
      <w:pPr>
        <w:jc w:val="both"/>
        <w:rPr>
          <w:rFonts w:ascii="Aptos" w:hAnsi="Aptos"/>
          <w:color w:val="FF0000"/>
          <w:sz w:val="24"/>
          <w:szCs w:val="24"/>
        </w:rPr>
      </w:pPr>
      <w:r>
        <w:rPr>
          <w:rFonts w:ascii="Aptos" w:hAnsi="Aptos"/>
          <w:sz w:val="24"/>
          <w:szCs w:val="24"/>
          <w:lang w:eastAsia="zh-CN"/>
        </w:rPr>
        <w:t xml:space="preserve">U zadnjih deset godina na </w:t>
      </w:r>
      <w:r>
        <w:rPr>
          <w:rFonts w:ascii="Aptos" w:hAnsi="Aptos"/>
          <w:sz w:val="24"/>
          <w:szCs w:val="24"/>
        </w:rPr>
        <w:t>području Općine Gornji Bogićevci proglašen je niz različitih prirodnih nepogoda kao što su poplava, suša itd.  Prirodne nepogode najčešće uzrokuju financijske štete, ali neke od njih svojom rušilačkom snagom mogu imati utjecaj na život i zdravlje ljudi, gospodarstvo , ali utjecati i na rad kritične infrastrukture.</w:t>
      </w:r>
      <w:r>
        <w:rPr>
          <w:rFonts w:ascii="Aptos" w:hAnsi="Aptos"/>
          <w:color w:val="FF0000"/>
          <w:sz w:val="24"/>
          <w:szCs w:val="24"/>
        </w:rPr>
        <w:t xml:space="preserve"> </w:t>
      </w:r>
    </w:p>
    <w:p w:rsidR="005C1E80" w:rsidRDefault="005C1E80" w:rsidP="005C1E80">
      <w:pPr>
        <w:pStyle w:val="Opisslike"/>
        <w:jc w:val="center"/>
        <w:rPr>
          <w:rFonts w:ascii="Aptos" w:hAnsi="Aptos"/>
        </w:rPr>
      </w:pPr>
      <w:r>
        <w:t xml:space="preserve">Tablica </w:t>
      </w:r>
      <w:r w:rsidR="00DD1C99">
        <w:fldChar w:fldCharType="begin"/>
      </w:r>
      <w:r>
        <w:instrText xml:space="preserve"> SEQ Tablica \* ARABIC </w:instrText>
      </w:r>
      <w:r w:rsidR="00DD1C99">
        <w:fldChar w:fldCharType="separate"/>
      </w:r>
      <w:r>
        <w:t>1</w:t>
      </w:r>
      <w:r w:rsidR="00DD1C99">
        <w:fldChar w:fldCharType="end"/>
      </w:r>
      <w:r>
        <w:rPr>
          <w:rFonts w:ascii="Aptos" w:hAnsi="Aptos"/>
        </w:rPr>
        <w:t>: Prirodne nepogode 2014. – 2024.</w:t>
      </w: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437"/>
        <w:gridCol w:w="3544"/>
        <w:gridCol w:w="3114"/>
      </w:tblGrid>
      <w:tr w:rsidR="005C1E80" w:rsidTr="00F57898">
        <w:trPr>
          <w:trHeight w:val="315"/>
          <w:jc w:val="center"/>
        </w:trPr>
        <w:tc>
          <w:tcPr>
            <w:tcW w:w="960" w:type="dxa"/>
            <w:shd w:val="clear" w:color="auto" w:fill="F2F2F2"/>
            <w:noWrap/>
            <w:vAlign w:val="bottom"/>
          </w:tcPr>
          <w:p w:rsidR="005C1E80" w:rsidRDefault="005C1E80" w:rsidP="00F57898">
            <w:pPr>
              <w:spacing w:after="0" w:line="240" w:lineRule="auto"/>
              <w:rPr>
                <w:rFonts w:ascii="Calibri" w:eastAsia="Times New Roman" w:hAnsi="Calibri" w:cs="Times New Roman"/>
                <w:i/>
                <w:iCs/>
                <w:sz w:val="24"/>
                <w:szCs w:val="24"/>
              </w:rPr>
            </w:pPr>
            <w:r>
              <w:rPr>
                <w:rFonts w:ascii="Calibri" w:eastAsia="Times New Roman" w:hAnsi="Calibri" w:cs="Times New Roman"/>
                <w:i/>
                <w:iCs/>
                <w:sz w:val="24"/>
                <w:szCs w:val="24"/>
              </w:rPr>
              <w:t>godina</w:t>
            </w:r>
          </w:p>
        </w:tc>
        <w:tc>
          <w:tcPr>
            <w:tcW w:w="2437" w:type="dxa"/>
            <w:shd w:val="clear" w:color="auto" w:fill="F2F2F2"/>
            <w:vAlign w:val="bottom"/>
          </w:tcPr>
          <w:p w:rsidR="005C1E80" w:rsidRDefault="005C1E80" w:rsidP="00F57898">
            <w:pPr>
              <w:spacing w:after="0" w:line="240" w:lineRule="auto"/>
              <w:jc w:val="center"/>
              <w:rPr>
                <w:rFonts w:ascii="Calibri" w:eastAsia="Times New Roman" w:hAnsi="Calibri" w:cs="Times New Roman"/>
                <w:i/>
                <w:iCs/>
                <w:sz w:val="24"/>
                <w:szCs w:val="24"/>
              </w:rPr>
            </w:pPr>
            <w:r>
              <w:rPr>
                <w:rFonts w:ascii="Calibri" w:eastAsia="Times New Roman" w:hAnsi="Calibri" w:cs="Times New Roman"/>
                <w:i/>
                <w:iCs/>
                <w:sz w:val="24"/>
                <w:szCs w:val="24"/>
              </w:rPr>
              <w:t>elementarna nepogoda</w:t>
            </w:r>
          </w:p>
        </w:tc>
        <w:tc>
          <w:tcPr>
            <w:tcW w:w="3544" w:type="dxa"/>
            <w:shd w:val="clear" w:color="auto" w:fill="F2F2F2"/>
            <w:noWrap/>
            <w:vAlign w:val="bottom"/>
          </w:tcPr>
          <w:p w:rsidR="005C1E80" w:rsidRDefault="005C1E80" w:rsidP="00F57898">
            <w:pPr>
              <w:spacing w:after="0" w:line="240" w:lineRule="auto"/>
              <w:jc w:val="center"/>
              <w:rPr>
                <w:rFonts w:ascii="Calibri" w:eastAsia="Times New Roman" w:hAnsi="Calibri" w:cs="Times New Roman"/>
                <w:i/>
                <w:iCs/>
                <w:sz w:val="24"/>
                <w:szCs w:val="24"/>
              </w:rPr>
            </w:pPr>
            <w:r>
              <w:rPr>
                <w:rFonts w:ascii="Calibri" w:eastAsia="Times New Roman" w:hAnsi="Calibri" w:cs="Times New Roman"/>
                <w:i/>
                <w:iCs/>
                <w:sz w:val="24"/>
                <w:szCs w:val="24"/>
              </w:rPr>
              <w:t>područje štete</w:t>
            </w:r>
          </w:p>
        </w:tc>
        <w:tc>
          <w:tcPr>
            <w:tcW w:w="3114" w:type="dxa"/>
            <w:shd w:val="clear" w:color="auto" w:fill="F2F2F2"/>
            <w:noWrap/>
            <w:vAlign w:val="bottom"/>
          </w:tcPr>
          <w:p w:rsidR="005C1E80" w:rsidRDefault="005C1E80" w:rsidP="00F57898">
            <w:pPr>
              <w:spacing w:after="0" w:line="240" w:lineRule="auto"/>
              <w:jc w:val="center"/>
              <w:rPr>
                <w:rFonts w:ascii="Calibri" w:eastAsia="Times New Roman" w:hAnsi="Calibri" w:cs="Times New Roman"/>
                <w:i/>
                <w:iCs/>
                <w:sz w:val="24"/>
                <w:szCs w:val="24"/>
              </w:rPr>
            </w:pPr>
            <w:r>
              <w:rPr>
                <w:rFonts w:ascii="Calibri" w:eastAsia="Times New Roman" w:hAnsi="Calibri" w:cs="Times New Roman"/>
                <w:i/>
                <w:iCs/>
                <w:sz w:val="24"/>
                <w:szCs w:val="24"/>
              </w:rPr>
              <w:t>iznos štete</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2014.</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Poplava</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2.085.631,70 kn poljoprivreda</w:t>
            </w:r>
          </w:p>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246.106,97 kn infrastruktura</w:t>
            </w:r>
          </w:p>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88.710,00 kn građ. objekti</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 xml:space="preserve">2015. </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Suša</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2.271.039,13 kn</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2016.</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Mraz</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910.348,54 kn</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2017.</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Suša</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1.445.186,43 kn</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2020.</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Mraz</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2021.</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Mraz</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1.119.189,48 kn</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2022.</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Suša</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331.080,96 EUR</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2023.</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Olujno nevrijeme vjetar</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83.721,36 EUR</w:t>
            </w:r>
          </w:p>
        </w:tc>
      </w:tr>
      <w:tr w:rsidR="005C1E80" w:rsidTr="00F57898">
        <w:trPr>
          <w:trHeight w:val="300"/>
          <w:jc w:val="center"/>
        </w:trPr>
        <w:tc>
          <w:tcPr>
            <w:tcW w:w="960"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2024.</w:t>
            </w:r>
          </w:p>
        </w:tc>
        <w:tc>
          <w:tcPr>
            <w:tcW w:w="2437" w:type="dxa"/>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Suša</w:t>
            </w:r>
          </w:p>
        </w:tc>
        <w:tc>
          <w:tcPr>
            <w:tcW w:w="354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Područje Općine</w:t>
            </w:r>
          </w:p>
        </w:tc>
        <w:tc>
          <w:tcPr>
            <w:tcW w:w="3114" w:type="dxa"/>
            <w:noWrap/>
            <w:vAlign w:val="bottom"/>
          </w:tcPr>
          <w:p w:rsidR="005C1E80" w:rsidRDefault="005C1E80" w:rsidP="00F57898">
            <w:pPr>
              <w:spacing w:after="0" w:line="240" w:lineRule="auto"/>
              <w:rPr>
                <w:rFonts w:ascii="Calibri" w:eastAsia="Times New Roman" w:hAnsi="Calibri" w:cs="Times New Roman"/>
                <w:sz w:val="18"/>
                <w:szCs w:val="18"/>
              </w:rPr>
            </w:pPr>
            <w:r>
              <w:rPr>
                <w:rFonts w:ascii="Calibri" w:eastAsia="Times New Roman" w:hAnsi="Calibri" w:cs="Times New Roman"/>
                <w:sz w:val="18"/>
                <w:szCs w:val="18"/>
              </w:rPr>
              <w:t>128.801,83 EUR</w:t>
            </w:r>
          </w:p>
        </w:tc>
      </w:tr>
    </w:tbl>
    <w:p w:rsidR="005C1E80" w:rsidRDefault="005C1E80" w:rsidP="005C1E80">
      <w:pPr>
        <w:pStyle w:val="Branko"/>
        <w:rPr>
          <w:rFonts w:ascii="Aptos" w:hAnsi="Aptos"/>
        </w:rPr>
      </w:pPr>
      <w:r>
        <w:rPr>
          <w:rFonts w:ascii="Aptos" w:hAnsi="Aptos"/>
        </w:rPr>
        <w:t>Izvor: PROCJENA RIZIKA OD VELIKIH NESREĆA</w:t>
      </w:r>
    </w:p>
    <w:p w:rsidR="005C1E80" w:rsidRDefault="005C1E80" w:rsidP="005C1E80">
      <w:pPr>
        <w:pStyle w:val="Branko"/>
        <w:jc w:val="left"/>
        <w:rPr>
          <w:rFonts w:ascii="Aptos" w:hAnsi="Aptos"/>
        </w:rPr>
      </w:pPr>
    </w:p>
    <w:p w:rsidR="005C1E80" w:rsidRDefault="005C1E80" w:rsidP="005C1E80">
      <w:pPr>
        <w:pStyle w:val="Branko"/>
        <w:jc w:val="left"/>
        <w:rPr>
          <w:rFonts w:ascii="Aptos" w:hAnsi="Aptos"/>
        </w:rPr>
      </w:pPr>
    </w:p>
    <w:p w:rsidR="005C1E80" w:rsidRDefault="005C1E80" w:rsidP="005C1E80">
      <w:pPr>
        <w:pStyle w:val="Branko"/>
        <w:jc w:val="both"/>
        <w:rPr>
          <w:rFonts w:ascii="Aptos" w:hAnsi="Aptos"/>
          <w:b w:val="0"/>
          <w:bCs w:val="0"/>
          <w:caps w:val="0"/>
          <w:sz w:val="24"/>
          <w:szCs w:val="24"/>
        </w:rPr>
      </w:pPr>
      <w:r>
        <w:rPr>
          <w:rFonts w:ascii="Aptos" w:hAnsi="Aptos"/>
          <w:b w:val="0"/>
          <w:bCs w:val="0"/>
          <w:caps w:val="0"/>
          <w:sz w:val="24"/>
          <w:szCs w:val="24"/>
        </w:rPr>
        <w:t>U tekućoj godini, do izrade dokumenta proglašena je jedna prirodna nepogoda:</w:t>
      </w:r>
    </w:p>
    <w:p w:rsidR="005C1E80" w:rsidRDefault="005C1E80" w:rsidP="005C1E80">
      <w:pPr>
        <w:pStyle w:val="Branko"/>
        <w:jc w:val="both"/>
        <w:rPr>
          <w:rFonts w:ascii="Aptos" w:hAnsi="Aptos"/>
          <w:b w:val="0"/>
          <w:bCs w:val="0"/>
          <w:caps w:val="0"/>
          <w:sz w:val="24"/>
          <w:szCs w:val="24"/>
        </w:rPr>
      </w:pPr>
    </w:p>
    <w:p w:rsidR="005C1E80" w:rsidRDefault="005C1E80" w:rsidP="005C1E80">
      <w:pPr>
        <w:pStyle w:val="Branko"/>
        <w:jc w:val="both"/>
        <w:rPr>
          <w:rFonts w:ascii="Aptos" w:hAnsi="Aptos"/>
          <w:b w:val="0"/>
          <w:bCs w:val="0"/>
          <w:caps w:val="0"/>
          <w:sz w:val="24"/>
          <w:szCs w:val="24"/>
        </w:rPr>
      </w:pPr>
      <w:r>
        <w:rPr>
          <w:rFonts w:ascii="Aptos" w:hAnsi="Aptos"/>
          <w:b w:val="0"/>
          <w:bCs w:val="0"/>
          <w:caps w:val="0"/>
          <w:sz w:val="24"/>
          <w:szCs w:val="24"/>
        </w:rPr>
        <w:t>- suša</w:t>
      </w:r>
    </w:p>
    <w:p w:rsidR="005C1E80" w:rsidRDefault="005C1E80" w:rsidP="005C1E80">
      <w:pPr>
        <w:pStyle w:val="Branko"/>
        <w:jc w:val="left"/>
        <w:rPr>
          <w:rFonts w:ascii="Aptos" w:hAnsi="Aptos"/>
        </w:rPr>
      </w:pPr>
      <w:r>
        <w:rPr>
          <w:rFonts w:ascii="Aptos" w:hAnsi="Aptos"/>
        </w:rPr>
        <w:t xml:space="preserve"> </w:t>
      </w:r>
    </w:p>
    <w:p w:rsidR="005C1E80" w:rsidRDefault="005C1E80" w:rsidP="005C1E80">
      <w:pPr>
        <w:pStyle w:val="Branko"/>
        <w:jc w:val="left"/>
        <w:rPr>
          <w:rFonts w:ascii="Aptos" w:hAnsi="Aptos"/>
        </w:rPr>
      </w:pPr>
    </w:p>
    <w:p w:rsidR="005C1E80" w:rsidRDefault="005C1E80" w:rsidP="005C1E80">
      <w:pPr>
        <w:pStyle w:val="Branko"/>
        <w:rPr>
          <w:rFonts w:ascii="Aptos" w:hAnsi="Aptos"/>
        </w:rPr>
      </w:pPr>
    </w:p>
    <w:p w:rsidR="005C1E80" w:rsidRDefault="005C1E80" w:rsidP="005C1E80">
      <w:pPr>
        <w:pStyle w:val="Razina2"/>
        <w:rPr>
          <w:rFonts w:ascii="Aptos" w:hAnsi="Aptos"/>
          <w:color w:val="auto"/>
        </w:rPr>
      </w:pPr>
      <w:bookmarkStart w:id="45" w:name="_Toc210900534"/>
      <w:bookmarkStart w:id="46" w:name="_Hlk176868917"/>
      <w:bookmarkStart w:id="47" w:name="_Toc132273477"/>
      <w:bookmarkStart w:id="48" w:name="_Hlk148683610"/>
      <w:r>
        <w:rPr>
          <w:rFonts w:ascii="Aptos" w:hAnsi="Aptos"/>
          <w:color w:val="auto"/>
        </w:rPr>
        <w:t>Dokumenti od  posebnog značaja u odgovoru na prirodne nepogode</w:t>
      </w:r>
      <w:bookmarkEnd w:id="45"/>
    </w:p>
    <w:bookmarkEnd w:id="46"/>
    <w:p w:rsidR="005C1E80" w:rsidRDefault="005C1E80" w:rsidP="005C1E80">
      <w:pPr>
        <w:rPr>
          <w:rFonts w:ascii="Aptos" w:hAnsi="Aptos"/>
          <w:lang w:eastAsia="zh-CN"/>
        </w:rPr>
      </w:pPr>
    </w:p>
    <w:p w:rsidR="005C1E80" w:rsidRDefault="005C1E80" w:rsidP="005C1E80">
      <w:pPr>
        <w:jc w:val="both"/>
        <w:rPr>
          <w:rFonts w:ascii="Aptos" w:hAnsi="Aptos"/>
          <w:sz w:val="24"/>
          <w:szCs w:val="24"/>
          <w:lang w:eastAsia="zh-CN"/>
        </w:rPr>
      </w:pPr>
      <w:r>
        <w:rPr>
          <w:rFonts w:ascii="Aptos" w:hAnsi="Aptos"/>
          <w:sz w:val="24"/>
          <w:szCs w:val="24"/>
          <w:lang w:eastAsia="zh-CN"/>
        </w:rPr>
        <w:t>Zadnjih godina na nacionalnoj razini doneseni su značajni strateški dokumenti i procjena koje imaju za cilj postići kvalitetan odgovor na prirodne nepogode, ali i klimatske promjene koje značajno utječu na njihovu jačinu.</w:t>
      </w:r>
    </w:p>
    <w:p w:rsidR="005C1E80" w:rsidRDefault="005C1E80" w:rsidP="005C1E80">
      <w:pPr>
        <w:jc w:val="both"/>
        <w:rPr>
          <w:rFonts w:ascii="Aptos" w:hAnsi="Aptos"/>
          <w:sz w:val="24"/>
          <w:szCs w:val="24"/>
          <w:lang w:eastAsia="zh-CN"/>
        </w:rPr>
      </w:pPr>
      <w:r>
        <w:rPr>
          <w:rFonts w:ascii="Aptos" w:hAnsi="Aptos"/>
          <w:sz w:val="24"/>
          <w:szCs w:val="24"/>
          <w:lang w:eastAsia="zh-CN"/>
        </w:rPr>
        <w:t xml:space="preserve">Na temelju članka 14. stavka 3. Zakona o klimatskim promjenama i zaštiti ozonskog sloja (»Narodne novine«, br. 127/19.) donesena je 2020. godine Strategija prilagodbe klimatskim promjenama u Republici  Hrvatskoj za razdoblje do 2040. godine s pogledom na 2070. godinu. Strategijom su određeni ciljevi i prioriteti za provedbu mjera prilagodbe klimatskim promjenama u Republici Hrvatskoj. </w:t>
      </w:r>
    </w:p>
    <w:p w:rsidR="005C1E80" w:rsidRDefault="005C1E80" w:rsidP="005C1E80">
      <w:pPr>
        <w:jc w:val="both"/>
        <w:rPr>
          <w:rFonts w:ascii="Aptos" w:hAnsi="Aptos"/>
          <w:sz w:val="24"/>
          <w:szCs w:val="24"/>
          <w:lang w:eastAsia="zh-CN"/>
        </w:rPr>
      </w:pPr>
    </w:p>
    <w:p w:rsidR="005C1E80" w:rsidRDefault="005C1E80" w:rsidP="005C1E80">
      <w:pPr>
        <w:jc w:val="both"/>
        <w:rPr>
          <w:rFonts w:ascii="Aptos" w:hAnsi="Aptos"/>
          <w:sz w:val="24"/>
          <w:szCs w:val="24"/>
          <w:lang w:eastAsia="zh-CN"/>
        </w:rPr>
      </w:pPr>
      <w:r>
        <w:rPr>
          <w:rFonts w:ascii="Aptos" w:hAnsi="Aptos"/>
          <w:sz w:val="24"/>
          <w:szCs w:val="24"/>
          <w:lang w:eastAsia="zh-CN"/>
        </w:rPr>
        <w:t>Strategija sadrži:</w:t>
      </w:r>
    </w:p>
    <w:p w:rsidR="005C1E80" w:rsidRDefault="005C1E80" w:rsidP="005C1E80">
      <w:pPr>
        <w:pStyle w:val="Bezproreda11"/>
        <w:jc w:val="both"/>
        <w:rPr>
          <w:rFonts w:ascii="Aptos" w:hAnsi="Aptos"/>
          <w:sz w:val="24"/>
          <w:szCs w:val="24"/>
        </w:rPr>
      </w:pPr>
      <w:r>
        <w:rPr>
          <w:rFonts w:ascii="Aptos" w:hAnsi="Aptos"/>
          <w:sz w:val="24"/>
          <w:szCs w:val="24"/>
        </w:rPr>
        <w:t>1. klimatske modele i projekcije buduće klime</w:t>
      </w:r>
    </w:p>
    <w:p w:rsidR="005C1E80" w:rsidRDefault="005C1E80" w:rsidP="005C1E80">
      <w:pPr>
        <w:pStyle w:val="Bezproreda11"/>
        <w:jc w:val="both"/>
        <w:rPr>
          <w:rFonts w:ascii="Aptos" w:hAnsi="Aptos"/>
          <w:sz w:val="24"/>
          <w:szCs w:val="24"/>
        </w:rPr>
      </w:pPr>
      <w:r>
        <w:rPr>
          <w:rFonts w:ascii="Aptos" w:hAnsi="Aptos"/>
          <w:sz w:val="24"/>
          <w:szCs w:val="24"/>
        </w:rPr>
        <w:t>2. procjenu utjecaja klimatskih promjena na društvo i okoliš</w:t>
      </w:r>
    </w:p>
    <w:p w:rsidR="005C1E80" w:rsidRDefault="005C1E80" w:rsidP="005C1E80">
      <w:pPr>
        <w:pStyle w:val="Bezproreda11"/>
        <w:jc w:val="both"/>
        <w:rPr>
          <w:rFonts w:ascii="Aptos" w:hAnsi="Aptos"/>
          <w:sz w:val="24"/>
          <w:szCs w:val="24"/>
        </w:rPr>
      </w:pPr>
      <w:r>
        <w:rPr>
          <w:rFonts w:ascii="Aptos" w:hAnsi="Aptos"/>
          <w:sz w:val="24"/>
          <w:szCs w:val="24"/>
        </w:rPr>
        <w:lastRenderedPageBreak/>
        <w:t>3. procjenu ranjivosti i rizika</w:t>
      </w:r>
    </w:p>
    <w:p w:rsidR="005C1E80" w:rsidRDefault="005C1E80" w:rsidP="005C1E80">
      <w:pPr>
        <w:pStyle w:val="Bezproreda11"/>
        <w:jc w:val="both"/>
        <w:rPr>
          <w:rFonts w:ascii="Aptos" w:hAnsi="Aptos"/>
          <w:sz w:val="24"/>
          <w:szCs w:val="24"/>
        </w:rPr>
      </w:pPr>
      <w:r>
        <w:rPr>
          <w:rFonts w:ascii="Aptos" w:hAnsi="Aptos"/>
          <w:sz w:val="24"/>
          <w:szCs w:val="24"/>
        </w:rPr>
        <w:t>4. prioritetne mjere i aktivnosti</w:t>
      </w:r>
    </w:p>
    <w:p w:rsidR="005C1E80" w:rsidRDefault="005C1E80" w:rsidP="005C1E80">
      <w:pPr>
        <w:pStyle w:val="Bezproreda11"/>
        <w:jc w:val="both"/>
        <w:rPr>
          <w:rFonts w:ascii="Aptos" w:hAnsi="Aptos"/>
          <w:sz w:val="24"/>
          <w:szCs w:val="24"/>
        </w:rPr>
      </w:pPr>
      <w:r>
        <w:rPr>
          <w:rFonts w:ascii="Aptos" w:hAnsi="Aptos"/>
          <w:sz w:val="24"/>
          <w:szCs w:val="24"/>
        </w:rPr>
        <w:t>5. međunarodne obveze i međunarodnu suradnju Republike Hrvatske</w:t>
      </w:r>
    </w:p>
    <w:p w:rsidR="005C1E80" w:rsidRDefault="005C1E80" w:rsidP="005C1E80">
      <w:pPr>
        <w:pStyle w:val="Bezproreda11"/>
        <w:jc w:val="both"/>
        <w:rPr>
          <w:rFonts w:ascii="Aptos" w:hAnsi="Aptos"/>
          <w:sz w:val="24"/>
          <w:szCs w:val="24"/>
        </w:rPr>
      </w:pPr>
      <w:r>
        <w:rPr>
          <w:rFonts w:ascii="Aptos" w:hAnsi="Aptos"/>
          <w:sz w:val="24"/>
          <w:szCs w:val="24"/>
        </w:rPr>
        <w:t>6. smjernice za znanstvena istraživanja iz područja procjene utjecaja i prilagodbe klimatskim promjenama</w:t>
      </w:r>
    </w:p>
    <w:p w:rsidR="005C1E80" w:rsidRDefault="005C1E80" w:rsidP="005C1E80">
      <w:pPr>
        <w:pStyle w:val="Bezproreda11"/>
        <w:jc w:val="both"/>
        <w:rPr>
          <w:rFonts w:ascii="Aptos" w:hAnsi="Aptos"/>
          <w:sz w:val="24"/>
          <w:szCs w:val="24"/>
        </w:rPr>
      </w:pPr>
      <w:r>
        <w:rPr>
          <w:rFonts w:ascii="Aptos" w:hAnsi="Aptos"/>
          <w:sz w:val="24"/>
          <w:szCs w:val="24"/>
        </w:rPr>
        <w:t>7. procjenu sredstava za provedbu</w:t>
      </w:r>
    </w:p>
    <w:p w:rsidR="005C1E80" w:rsidRDefault="005C1E80" w:rsidP="005C1E80">
      <w:pPr>
        <w:pStyle w:val="Bezproreda11"/>
        <w:jc w:val="both"/>
        <w:rPr>
          <w:rFonts w:ascii="Aptos" w:hAnsi="Aptos"/>
          <w:sz w:val="24"/>
          <w:szCs w:val="24"/>
        </w:rPr>
      </w:pPr>
      <w:r>
        <w:rPr>
          <w:rFonts w:ascii="Aptos" w:hAnsi="Aptos"/>
          <w:sz w:val="24"/>
          <w:szCs w:val="24"/>
        </w:rPr>
        <w:t>8. analizu troškova i koristi provedbe mjera prilagodbe klimatskim promjenama</w:t>
      </w:r>
    </w:p>
    <w:p w:rsidR="005C1E80" w:rsidRDefault="005C1E80" w:rsidP="005C1E80">
      <w:pPr>
        <w:pStyle w:val="Bezproreda11"/>
        <w:jc w:val="both"/>
        <w:rPr>
          <w:rFonts w:ascii="Aptos" w:hAnsi="Aptos"/>
          <w:sz w:val="24"/>
          <w:szCs w:val="24"/>
        </w:rPr>
      </w:pPr>
      <w:r>
        <w:rPr>
          <w:rFonts w:ascii="Aptos" w:hAnsi="Aptos"/>
          <w:sz w:val="24"/>
          <w:szCs w:val="24"/>
        </w:rPr>
        <w:t>9. okvir za praćenje i vrednovanje s pokazateljima.</w:t>
      </w:r>
    </w:p>
    <w:p w:rsidR="005C1E80" w:rsidRDefault="005C1E80" w:rsidP="005C1E80">
      <w:pPr>
        <w:pStyle w:val="Bezproreda11"/>
        <w:rPr>
          <w:rFonts w:ascii="Aptos" w:hAnsi="Aptos"/>
        </w:rPr>
      </w:pPr>
    </w:p>
    <w:p w:rsidR="005C1E80" w:rsidRDefault="005C1E80" w:rsidP="005C1E80">
      <w:pPr>
        <w:jc w:val="both"/>
        <w:rPr>
          <w:rFonts w:ascii="Aptos" w:hAnsi="Aptos"/>
          <w:sz w:val="24"/>
          <w:szCs w:val="24"/>
          <w:lang w:eastAsia="zh-CN"/>
        </w:rPr>
      </w:pPr>
      <w:r>
        <w:rPr>
          <w:rFonts w:ascii="Aptos" w:hAnsi="Aptos"/>
          <w:sz w:val="24"/>
          <w:szCs w:val="24"/>
          <w:lang w:eastAsia="zh-CN"/>
        </w:rPr>
        <w:t>Dokument se po potrebi ažurira svakih pet godina, stoga se u bližoj budućnosti može očekivati njegova revizija koja će svakako imati utjecaj na sustav pripreme i ublažavanja posljedica od prirodnih nepogoda.</w:t>
      </w:r>
    </w:p>
    <w:p w:rsidR="005C1E80" w:rsidRDefault="005C1E80" w:rsidP="005C1E80">
      <w:pPr>
        <w:jc w:val="both"/>
        <w:rPr>
          <w:rFonts w:ascii="Aptos" w:hAnsi="Aptos"/>
          <w:sz w:val="24"/>
          <w:szCs w:val="24"/>
          <w:lang w:eastAsia="zh-CN"/>
        </w:rPr>
      </w:pPr>
      <w:r>
        <w:rPr>
          <w:rFonts w:ascii="Aptos" w:hAnsi="Aptos"/>
          <w:sz w:val="24"/>
          <w:szCs w:val="24"/>
          <w:lang w:eastAsia="zh-CN"/>
        </w:rPr>
        <w:t>Na temelju članka 10. stavka 1. podstavka 2. Zakona o sustavu civilne zaštite (»Narodne novine«, br. 82/15., 118/18., 31/20., 20/21 i 114/22.) donesena je 2022. godine Strategije upravljanja rizicima od katastrofa do 2030. Godine i Akcijski plan upravljanja rizicima od katastrofa za razdoblje do 2024. godine. Krajnji cilj  dokumenta je postizanja sveobuhvatnog, održivog i dugoročno opravdanog upravljanja rizicima od katastrofa.</w:t>
      </w:r>
    </w:p>
    <w:p w:rsidR="005C1E80" w:rsidRDefault="005C1E80" w:rsidP="005C1E80">
      <w:pPr>
        <w:jc w:val="both"/>
        <w:rPr>
          <w:rFonts w:ascii="Aptos" w:hAnsi="Aptos"/>
          <w:sz w:val="24"/>
          <w:szCs w:val="24"/>
        </w:rPr>
      </w:pPr>
      <w:r>
        <w:rPr>
          <w:rFonts w:ascii="Aptos" w:hAnsi="Aptos"/>
          <w:sz w:val="24"/>
          <w:szCs w:val="24"/>
        </w:rPr>
        <w:t>Na temelju članka 10. stavka 1. podstavka 1. Zakona o sustavu civilne zaštite („Narodne novine“, br. 82/15., 118/18., 31/20., 20/21. i 114/22.) donesena je 2024. godine Procjena rizika od katastrofa za Republiku Hrvatsku.</w:t>
      </w:r>
    </w:p>
    <w:p w:rsidR="005C1E80" w:rsidRDefault="005C1E80" w:rsidP="005C1E80">
      <w:pPr>
        <w:rPr>
          <w:rFonts w:ascii="Aptos" w:hAnsi="Aptos"/>
          <w:sz w:val="24"/>
          <w:szCs w:val="24"/>
        </w:rPr>
      </w:pPr>
      <w:r>
        <w:rPr>
          <w:rFonts w:ascii="Aptos" w:hAnsi="Aptos"/>
          <w:sz w:val="24"/>
          <w:szCs w:val="24"/>
        </w:rPr>
        <w:t>U travnju 2025. godine stupio je na snagu  Zakon o klimatskim promjenama i zaštiti ozonskog omotača (NN 67/25) koji je također vrlo značajan za odgovor na prirodne nepogode.</w:t>
      </w:r>
    </w:p>
    <w:p w:rsidR="005C1E80" w:rsidRDefault="005C1E80" w:rsidP="005C1E80">
      <w:pPr>
        <w:jc w:val="both"/>
        <w:rPr>
          <w:rFonts w:ascii="Aptos" w:hAnsi="Aptos"/>
          <w:sz w:val="24"/>
          <w:szCs w:val="24"/>
          <w:lang w:eastAsia="zh-CN"/>
        </w:rPr>
      </w:pPr>
      <w:r>
        <w:rPr>
          <w:rFonts w:ascii="Aptos" w:hAnsi="Aptos"/>
          <w:sz w:val="24"/>
          <w:szCs w:val="24"/>
          <w:lang w:eastAsia="zh-CN"/>
        </w:rPr>
        <w:t xml:space="preserve"> </w:t>
      </w:r>
      <w:bookmarkStart w:id="49" w:name="_Hlk209087138"/>
      <w:r>
        <w:rPr>
          <w:rFonts w:ascii="Aptos" w:hAnsi="Aptos"/>
          <w:sz w:val="24"/>
          <w:szCs w:val="24"/>
          <w:lang w:eastAsia="zh-CN"/>
        </w:rPr>
        <w:t>Kroz planski dokument uzet će se i obzir navedeni dokumenti, kao i dokumenti doneseni na razini Općine:</w:t>
      </w:r>
    </w:p>
    <w:p w:rsidR="005C1E80" w:rsidRDefault="005C1E80" w:rsidP="005C1E80">
      <w:pPr>
        <w:jc w:val="both"/>
        <w:rPr>
          <w:rFonts w:ascii="Aptos" w:hAnsi="Aptos"/>
          <w:sz w:val="24"/>
          <w:szCs w:val="24"/>
          <w:lang w:eastAsia="zh-CN"/>
        </w:rPr>
      </w:pPr>
      <w:r>
        <w:rPr>
          <w:rFonts w:ascii="Aptos" w:hAnsi="Aptos"/>
          <w:sz w:val="24"/>
          <w:szCs w:val="24"/>
          <w:lang w:eastAsia="zh-CN"/>
        </w:rPr>
        <w:t>- Procjena rizika od velikih nesreća za Općinu Gornji Bogićevci, revizija 2025.</w:t>
      </w:r>
    </w:p>
    <w:p w:rsidR="005C1E80" w:rsidRDefault="005C1E80" w:rsidP="005C1E80">
      <w:pPr>
        <w:jc w:val="both"/>
        <w:rPr>
          <w:rFonts w:ascii="Aptos" w:hAnsi="Aptos"/>
          <w:sz w:val="24"/>
          <w:szCs w:val="24"/>
          <w:lang w:eastAsia="zh-CN"/>
        </w:rPr>
      </w:pPr>
      <w:r>
        <w:rPr>
          <w:rFonts w:ascii="Aptos" w:hAnsi="Aptos"/>
          <w:sz w:val="24"/>
          <w:szCs w:val="24"/>
          <w:lang w:eastAsia="zh-CN"/>
        </w:rPr>
        <w:t>-Prostorni plan općine Gornji Bogićevci</w:t>
      </w:r>
    </w:p>
    <w:bookmarkEnd w:id="49"/>
    <w:p w:rsidR="005C1E80" w:rsidRDefault="005C1E80" w:rsidP="005C1E80">
      <w:pPr>
        <w:jc w:val="both"/>
        <w:rPr>
          <w:rFonts w:ascii="Aptos" w:hAnsi="Aptos"/>
          <w:sz w:val="24"/>
          <w:szCs w:val="24"/>
          <w:lang w:eastAsia="zh-CN"/>
        </w:rPr>
      </w:pPr>
      <w:r>
        <w:rPr>
          <w:rFonts w:ascii="Aptos" w:hAnsi="Aptos"/>
          <w:sz w:val="24"/>
          <w:szCs w:val="24"/>
          <w:lang w:eastAsia="zh-CN"/>
        </w:rPr>
        <w:t>Uočava se kako jedinice lokalne i područne  samouprave izrađuju i donose brojne strateške i planske dokumente u različitim sektorima poput zdravstva, socijalne skrbi, graditeljstva, gospodarenja otpadom i dr. koji izravno ili neizravno utječu na kvalitetu života građana. Ipak, primjetno je da se u tim dokumentima preventivne mjere i postupci reagiranja na prirodne nepogode još uvijek nedovoljno sustavno integriraju, unatoč sve većem značaju ove tematike u kontekstu održivog razvoja i otpornosti zajednice.</w:t>
      </w:r>
    </w:p>
    <w:p w:rsidR="005C1E80" w:rsidRDefault="005C1E80" w:rsidP="005C1E80">
      <w:pPr>
        <w:rPr>
          <w:rFonts w:ascii="Aptos" w:hAnsi="Aptos"/>
          <w:color w:val="FF0000"/>
          <w:lang w:eastAsia="zh-CN"/>
        </w:rPr>
      </w:pPr>
    </w:p>
    <w:p w:rsidR="005C1E80" w:rsidRDefault="005C1E80" w:rsidP="005C1E80">
      <w:pPr>
        <w:rPr>
          <w:rFonts w:ascii="Aptos" w:hAnsi="Aptos"/>
          <w:color w:val="FF0000"/>
          <w:lang w:eastAsia="zh-CN"/>
        </w:rPr>
      </w:pPr>
    </w:p>
    <w:p w:rsidR="005C1E80" w:rsidRDefault="005C1E80" w:rsidP="005C1E80">
      <w:pPr>
        <w:pStyle w:val="Razina2"/>
        <w:rPr>
          <w:rFonts w:ascii="Aptos" w:hAnsi="Aptos"/>
        </w:rPr>
      </w:pPr>
      <w:bookmarkStart w:id="50" w:name="_Toc210900535"/>
      <w:r>
        <w:rPr>
          <w:rFonts w:ascii="Aptos" w:hAnsi="Aptos"/>
        </w:rPr>
        <w:t>Utjecaj klimatskih promjena</w:t>
      </w:r>
      <w:bookmarkEnd w:id="47"/>
      <w:bookmarkEnd w:id="50"/>
    </w:p>
    <w:p w:rsidR="005C1E80" w:rsidRDefault="005C1E80" w:rsidP="005C1E80">
      <w:pPr>
        <w:rPr>
          <w:rFonts w:ascii="Aptos" w:hAnsi="Aptos"/>
          <w:sz w:val="16"/>
          <w:szCs w:val="16"/>
          <w:lang w:eastAsia="zh-CN"/>
        </w:rPr>
      </w:pPr>
    </w:p>
    <w:p w:rsidR="005C1E80" w:rsidRDefault="005C1E80" w:rsidP="005C1E80">
      <w:pPr>
        <w:pStyle w:val="Opisslike"/>
        <w:jc w:val="both"/>
        <w:rPr>
          <w:rFonts w:ascii="Aptos" w:hAnsi="Aptos"/>
          <w:b/>
          <w:bCs/>
          <w:sz w:val="24"/>
          <w:szCs w:val="24"/>
        </w:rPr>
      </w:pPr>
      <w:r>
        <w:rPr>
          <w:rFonts w:ascii="Aptos" w:hAnsi="Aptos"/>
          <w:sz w:val="24"/>
          <w:szCs w:val="24"/>
        </w:rPr>
        <w:t>Klimatske promjene su promjene klime koje se izravno ili neizravno pripisuju ljudskom djelovanju, koje mijenjaju sastav globalne atmosfere i koje nastaju povrh prirodne promjenjivosti klime uočene tijekom usporedivih vremenskih razdoblja.</w:t>
      </w:r>
      <w:r>
        <w:rPr>
          <w:rStyle w:val="Referencafusnote"/>
          <w:rFonts w:ascii="Aptos" w:hAnsi="Aptos"/>
          <w:sz w:val="24"/>
          <w:szCs w:val="24"/>
        </w:rPr>
        <w:footnoteReference w:id="2"/>
      </w:r>
      <w:r>
        <w:rPr>
          <w:rFonts w:ascii="Aptos" w:hAnsi="Aptos"/>
          <w:sz w:val="24"/>
          <w:szCs w:val="24"/>
        </w:rPr>
        <w:t xml:space="preserve">  Glavni uzrok </w:t>
      </w:r>
      <w:r>
        <w:rPr>
          <w:rFonts w:ascii="Aptos" w:hAnsi="Aptos"/>
          <w:sz w:val="24"/>
          <w:szCs w:val="24"/>
        </w:rPr>
        <w:lastRenderedPageBreak/>
        <w:t>klimatskih promjena su staklenički plinovi koji zadržavaju toplinu u atmosferi. Republika Hrvatska izradila je Strategiju prilagodbe klimatskim promjenama u kojoj je prezentirana projekcija klime do 2040. godine, s pogledom na 2070.</w:t>
      </w:r>
    </w:p>
    <w:p w:rsidR="005C1E80" w:rsidRDefault="005C1E80" w:rsidP="005C1E80"/>
    <w:p w:rsidR="005C1E80" w:rsidRDefault="005C1E80" w:rsidP="005C1E80">
      <w:pPr>
        <w:pStyle w:val="Opisslike"/>
        <w:jc w:val="center"/>
        <w:rPr>
          <w:rFonts w:ascii="Aptos" w:eastAsia="Times New Roman" w:hAnsi="Aptos" w:cstheme="minorHAnsi"/>
          <w:b/>
          <w:bCs/>
          <w:lang w:eastAsia="zh-CN"/>
        </w:rPr>
      </w:pPr>
      <w:r>
        <w:rPr>
          <w:rFonts w:ascii="Aptos" w:hAnsi="Aptos"/>
        </w:rPr>
        <w:t xml:space="preserve">Tablica </w:t>
      </w:r>
      <w:r w:rsidR="00DD1C99">
        <w:rPr>
          <w:rFonts w:ascii="Aptos" w:hAnsi="Aptos"/>
        </w:rPr>
        <w:fldChar w:fldCharType="begin"/>
      </w:r>
      <w:r>
        <w:rPr>
          <w:rFonts w:ascii="Aptos" w:hAnsi="Aptos"/>
        </w:rPr>
        <w:instrText xml:space="preserve"> SEQ Tablica \* ARABIC </w:instrText>
      </w:r>
      <w:r w:rsidR="00DD1C99">
        <w:rPr>
          <w:rFonts w:ascii="Aptos" w:hAnsi="Aptos"/>
        </w:rPr>
        <w:fldChar w:fldCharType="separate"/>
      </w:r>
      <w:r>
        <w:rPr>
          <w:rFonts w:ascii="Aptos" w:hAnsi="Aptos"/>
        </w:rPr>
        <w:t>2</w:t>
      </w:r>
      <w:r w:rsidR="00DD1C99">
        <w:rPr>
          <w:rFonts w:ascii="Aptos" w:hAnsi="Aptos"/>
        </w:rPr>
        <w:fldChar w:fldCharType="end"/>
      </w:r>
      <w:r>
        <w:rPr>
          <w:rFonts w:ascii="Aptos" w:eastAsia="Times New Roman" w:hAnsi="Aptos" w:cs="Times New Roman"/>
          <w:lang w:eastAsia="zh-CN"/>
        </w:rPr>
        <w:t xml:space="preserve">. </w:t>
      </w:r>
      <w:r>
        <w:rPr>
          <w:rFonts w:ascii="Aptos" w:eastAsia="Times New Roman" w:hAnsi="Aptos" w:cstheme="minorHAnsi"/>
          <w:lang w:eastAsia="zh-CN"/>
        </w:rPr>
        <w:t>Projekcije klimatskih parametara za Republiku Hrvatsku prema scenariju RCP4.5 u odnosu na razdoblje 1971. – 2000.</w:t>
      </w:r>
    </w:p>
    <w:tbl>
      <w:tblPr>
        <w:tblW w:w="9631" w:type="dxa"/>
        <w:shd w:val="clear" w:color="auto" w:fill="FFFFFF"/>
        <w:tblCellMar>
          <w:left w:w="0" w:type="dxa"/>
          <w:right w:w="0" w:type="dxa"/>
        </w:tblCellMar>
        <w:tblLook w:val="04A0"/>
      </w:tblPr>
      <w:tblGrid>
        <w:gridCol w:w="1615"/>
        <w:gridCol w:w="1278"/>
        <w:gridCol w:w="3547"/>
        <w:gridCol w:w="3191"/>
      </w:tblGrid>
      <w:tr w:rsidR="005C1E80" w:rsidTr="00F57898">
        <w:tc>
          <w:tcPr>
            <w:tcW w:w="0" w:type="auto"/>
            <w:gridSpan w:val="2"/>
            <w:vMerge w:val="restart"/>
            <w:tcBorders>
              <w:top w:val="single" w:sz="6" w:space="0" w:color="auto"/>
              <w:left w:val="single" w:sz="6" w:space="0" w:color="auto"/>
              <w:bottom w:val="single" w:sz="6" w:space="0" w:color="auto"/>
              <w:right w:val="single" w:sz="6" w:space="0" w:color="auto"/>
            </w:tcBorders>
            <w:shd w:val="clear" w:color="auto" w:fill="92D050"/>
            <w:tcMar>
              <w:top w:w="96" w:type="dxa"/>
              <w:left w:w="96" w:type="dxa"/>
              <w:bottom w:w="120" w:type="dxa"/>
              <w:right w:w="96" w:type="dxa"/>
            </w:tcMar>
            <w:vAlign w:val="center"/>
          </w:tcPr>
          <w:p w:rsidR="005C1E80" w:rsidRDefault="005C1E80" w:rsidP="00F57898">
            <w:pPr>
              <w:spacing w:after="0" w:line="240" w:lineRule="auto"/>
              <w:jc w:val="center"/>
              <w:rPr>
                <w:rFonts w:ascii="Aptos" w:eastAsia="Times New Roman" w:hAnsi="Aptos" w:cstheme="minorHAnsi"/>
                <w:sz w:val="18"/>
                <w:szCs w:val="18"/>
              </w:rPr>
            </w:pPr>
            <w:r>
              <w:rPr>
                <w:rFonts w:ascii="Aptos" w:eastAsia="Times New Roman" w:hAnsi="Aptos" w:cstheme="minorHAnsi"/>
                <w:b/>
                <w:bCs/>
                <w:sz w:val="18"/>
                <w:szCs w:val="18"/>
              </w:rPr>
              <w:t>Klimatski parametar</w:t>
            </w:r>
          </w:p>
        </w:tc>
        <w:tc>
          <w:tcPr>
            <w:tcW w:w="6936" w:type="dxa"/>
            <w:gridSpan w:val="2"/>
            <w:tcBorders>
              <w:top w:val="single" w:sz="6" w:space="0" w:color="auto"/>
              <w:left w:val="single" w:sz="6" w:space="0" w:color="auto"/>
              <w:bottom w:val="single" w:sz="6" w:space="0" w:color="auto"/>
              <w:right w:val="single" w:sz="6" w:space="0" w:color="auto"/>
            </w:tcBorders>
            <w:shd w:val="clear" w:color="auto" w:fill="92D050"/>
            <w:tcMar>
              <w:top w:w="96" w:type="dxa"/>
              <w:left w:w="96" w:type="dxa"/>
              <w:bottom w:w="120" w:type="dxa"/>
              <w:right w:w="96" w:type="dxa"/>
            </w:tcMar>
            <w:vAlign w:val="center"/>
          </w:tcPr>
          <w:p w:rsidR="005C1E80" w:rsidRDefault="005C1E80" w:rsidP="00F57898">
            <w:pPr>
              <w:spacing w:after="0" w:line="240" w:lineRule="auto"/>
              <w:jc w:val="center"/>
              <w:rPr>
                <w:rFonts w:ascii="Aptos" w:eastAsia="Times New Roman" w:hAnsi="Aptos" w:cstheme="minorHAnsi"/>
                <w:sz w:val="18"/>
                <w:szCs w:val="18"/>
              </w:rPr>
            </w:pPr>
            <w:r>
              <w:rPr>
                <w:rFonts w:ascii="Aptos" w:eastAsia="Times New Roman" w:hAnsi="Aptos" w:cstheme="minorHAnsi"/>
                <w:b/>
                <w:bCs/>
                <w:sz w:val="18"/>
                <w:szCs w:val="18"/>
              </w:rPr>
              <w:t>Projekcije buduće klime prema scenariju RCP4.5 u odnosu na razdoblje 1971. – 2000. godine dobivene klimatskim modeliranjem</w:t>
            </w:r>
          </w:p>
        </w:tc>
      </w:tr>
      <w:tr w:rsidR="005C1E80" w:rsidTr="00F57898">
        <w:tc>
          <w:tcPr>
            <w:tcW w:w="0" w:type="auto"/>
            <w:gridSpan w:val="2"/>
            <w:vMerge/>
            <w:tcBorders>
              <w:top w:val="single" w:sz="6" w:space="0" w:color="auto"/>
              <w:left w:val="single" w:sz="6" w:space="0" w:color="auto"/>
              <w:bottom w:val="single" w:sz="6" w:space="0" w:color="auto"/>
              <w:right w:val="single" w:sz="6" w:space="0" w:color="auto"/>
            </w:tcBorders>
            <w:shd w:val="clear" w:color="auto" w:fill="92D050"/>
            <w:vAlign w:val="bottom"/>
          </w:tcPr>
          <w:p w:rsidR="005C1E80" w:rsidRDefault="005C1E80" w:rsidP="00F57898">
            <w:pPr>
              <w:spacing w:after="0" w:line="240" w:lineRule="auto"/>
              <w:jc w:val="center"/>
              <w:rPr>
                <w:rFonts w:ascii="Aptos" w:eastAsia="Times New Roman" w:hAnsi="Apto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shd w:val="clear" w:color="auto" w:fill="92D050"/>
            <w:tcMar>
              <w:top w:w="96" w:type="dxa"/>
              <w:left w:w="96" w:type="dxa"/>
              <w:bottom w:w="120" w:type="dxa"/>
              <w:right w:w="96" w:type="dxa"/>
            </w:tcMar>
            <w:vAlign w:val="center"/>
          </w:tcPr>
          <w:p w:rsidR="005C1E80" w:rsidRDefault="005C1E80" w:rsidP="00F57898">
            <w:pPr>
              <w:spacing w:after="0" w:line="240" w:lineRule="auto"/>
              <w:jc w:val="center"/>
              <w:rPr>
                <w:rFonts w:ascii="Aptos" w:eastAsia="Times New Roman" w:hAnsi="Aptos" w:cstheme="minorHAnsi"/>
                <w:sz w:val="18"/>
                <w:szCs w:val="18"/>
              </w:rPr>
            </w:pPr>
            <w:r>
              <w:rPr>
                <w:rFonts w:ascii="Aptos" w:eastAsia="Times New Roman" w:hAnsi="Aptos" w:cstheme="minorHAnsi"/>
                <w:b/>
                <w:bCs/>
                <w:sz w:val="18"/>
                <w:szCs w:val="18"/>
              </w:rPr>
              <w:t>2011. – 2040.</w:t>
            </w:r>
          </w:p>
        </w:tc>
        <w:tc>
          <w:tcPr>
            <w:tcW w:w="3191" w:type="dxa"/>
            <w:tcBorders>
              <w:top w:val="single" w:sz="6" w:space="0" w:color="auto"/>
              <w:left w:val="single" w:sz="6" w:space="0" w:color="auto"/>
              <w:bottom w:val="single" w:sz="6" w:space="0" w:color="auto"/>
              <w:right w:val="single" w:sz="6" w:space="0" w:color="auto"/>
            </w:tcBorders>
            <w:shd w:val="clear" w:color="auto" w:fill="92D050"/>
            <w:tcMar>
              <w:top w:w="96" w:type="dxa"/>
              <w:left w:w="96" w:type="dxa"/>
              <w:bottom w:w="120" w:type="dxa"/>
              <w:right w:w="96" w:type="dxa"/>
            </w:tcMar>
            <w:vAlign w:val="center"/>
          </w:tcPr>
          <w:p w:rsidR="005C1E80" w:rsidRDefault="005C1E80" w:rsidP="00F57898">
            <w:pPr>
              <w:spacing w:after="0" w:line="240" w:lineRule="auto"/>
              <w:jc w:val="center"/>
              <w:rPr>
                <w:rFonts w:ascii="Aptos" w:eastAsia="Times New Roman" w:hAnsi="Aptos" w:cstheme="minorHAnsi"/>
                <w:sz w:val="18"/>
                <w:szCs w:val="18"/>
              </w:rPr>
            </w:pPr>
            <w:r>
              <w:rPr>
                <w:rFonts w:ascii="Aptos" w:eastAsia="Times New Roman" w:hAnsi="Aptos" w:cstheme="minorHAnsi"/>
                <w:b/>
                <w:bCs/>
                <w:sz w:val="18"/>
                <w:szCs w:val="18"/>
              </w:rPr>
              <w:t>2041. – 2070.</w:t>
            </w:r>
          </w:p>
        </w:tc>
      </w:tr>
      <w:tr w:rsidR="005C1E80" w:rsidTr="00F57898">
        <w:trPr>
          <w:trHeight w:val="162"/>
        </w:trPr>
        <w:tc>
          <w:tcPr>
            <w:tcW w:w="0" w:type="auto"/>
            <w:gridSpan w:val="2"/>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rPr>
                <w:rFonts w:ascii="Aptos" w:eastAsia="Times New Roman" w:hAnsi="Aptos" w:cstheme="minorHAnsi"/>
                <w:sz w:val="18"/>
                <w:szCs w:val="18"/>
              </w:rPr>
            </w:pPr>
            <w:r>
              <w:rPr>
                <w:rFonts w:ascii="Aptos" w:eastAsia="Times New Roman" w:hAnsi="Aptos" w:cstheme="minorHAnsi"/>
                <w:sz w:val="18"/>
                <w:szCs w:val="18"/>
              </w:rPr>
              <w:t>OBORINE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Srednja godišnja količina: malo smanjenje (osim manji porast u SZ Hrvatskoj)</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Srednja godišnja količina: daljnji trend smanjenja (do 5 %) u gotovo cijeloj Hrvatskoj osim u SZ dijelovima</w:t>
            </w:r>
          </w:p>
        </w:tc>
      </w:tr>
      <w:tr w:rsidR="005C1E80" w:rsidTr="00F57898">
        <w:tc>
          <w:tcPr>
            <w:tcW w:w="0" w:type="auto"/>
            <w:gridSpan w:val="2"/>
            <w:vMerge/>
            <w:tcBorders>
              <w:top w:val="single" w:sz="6" w:space="0" w:color="auto"/>
              <w:left w:val="single" w:sz="6" w:space="0" w:color="auto"/>
              <w:bottom w:val="single" w:sz="6" w:space="0" w:color="auto"/>
              <w:right w:val="single" w:sz="6" w:space="0" w:color="auto"/>
            </w:tcBorders>
            <w:shd w:val="clear" w:color="auto" w:fill="FFFFFF"/>
            <w:vAlign w:val="bottom"/>
          </w:tcPr>
          <w:p w:rsidR="005C1E80" w:rsidRDefault="005C1E80" w:rsidP="00F57898">
            <w:pPr>
              <w:spacing w:after="0" w:line="240" w:lineRule="auto"/>
              <w:rPr>
                <w:rFonts w:ascii="Aptos" w:eastAsia="Times New Roman" w:hAnsi="Apto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Sezone: različit predznak; zima i proljeće u većem dijelu Hrvatske manji porast + 5 – 10 %, a ljeto i jesen smanjenje (najviše – 5 – 10 % u J Lici i S Dalmaciji)</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Sezone: smanjenje u svim sezonama (do 10 % gorje i S Dalmacija) osim zimi (povećanje 5 – 10 % S Hrvatska)</w:t>
            </w:r>
          </w:p>
        </w:tc>
      </w:tr>
      <w:tr w:rsidR="005C1E80" w:rsidTr="00F57898">
        <w:trPr>
          <w:trHeight w:val="857"/>
        </w:trPr>
        <w:tc>
          <w:tcPr>
            <w:tcW w:w="0" w:type="auto"/>
            <w:gridSpan w:val="2"/>
            <w:vMerge/>
            <w:tcBorders>
              <w:top w:val="single" w:sz="6" w:space="0" w:color="auto"/>
              <w:left w:val="single" w:sz="6" w:space="0" w:color="auto"/>
              <w:bottom w:val="single" w:sz="6" w:space="0" w:color="auto"/>
              <w:right w:val="single" w:sz="6" w:space="0" w:color="auto"/>
            </w:tcBorders>
            <w:shd w:val="clear" w:color="auto" w:fill="FFFFFF"/>
            <w:vAlign w:val="bottom"/>
          </w:tcPr>
          <w:p w:rsidR="005C1E80" w:rsidRDefault="005C1E80" w:rsidP="00F57898">
            <w:pPr>
              <w:spacing w:after="0" w:line="240" w:lineRule="auto"/>
              <w:rPr>
                <w:rFonts w:ascii="Aptos" w:eastAsia="Times New Roman" w:hAnsi="Apto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Smanjenje broja kišnih razdoblja (osim u središnjoj Hrvatskoj gdje bi se malo povećao). Broj sušnih razdoblja bi se povećao</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Broj sušnih razdoblja bi se povećao</w:t>
            </w:r>
          </w:p>
        </w:tc>
      </w:tr>
      <w:tr w:rsidR="005C1E80" w:rsidTr="00F57898">
        <w:tc>
          <w:tcPr>
            <w:tcW w:w="0" w:type="auto"/>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rPr>
                <w:rFonts w:ascii="Aptos" w:eastAsia="Times New Roman" w:hAnsi="Aptos" w:cstheme="minorHAnsi"/>
                <w:sz w:val="18"/>
                <w:szCs w:val="18"/>
              </w:rPr>
            </w:pPr>
            <w:r>
              <w:rPr>
                <w:rFonts w:ascii="Aptos" w:eastAsia="Times New Roman" w:hAnsi="Aptos" w:cstheme="minorHAnsi"/>
                <w:sz w:val="18"/>
                <w:szCs w:val="18"/>
              </w:rPr>
              <w:t>SNJEŽNI POKROV</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Smanjenje (najveće u Gorskom kotaru, do 50 %)</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Daljnje smanjenje (naročito planinski krajevi)</w:t>
            </w:r>
          </w:p>
        </w:tc>
      </w:tr>
      <w:tr w:rsidR="005C1E80" w:rsidTr="00F57898">
        <w:tc>
          <w:tcPr>
            <w:tcW w:w="0" w:type="auto"/>
            <w:gridSpan w:val="2"/>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rPr>
                <w:rFonts w:ascii="Aptos" w:eastAsia="Times New Roman" w:hAnsi="Aptos" w:cstheme="minorHAnsi"/>
                <w:sz w:val="18"/>
                <w:szCs w:val="18"/>
              </w:rPr>
            </w:pPr>
            <w:r>
              <w:rPr>
                <w:rFonts w:ascii="Aptos" w:eastAsia="Times New Roman" w:hAnsi="Aptos" w:cstheme="minorHAnsi"/>
                <w:sz w:val="18"/>
                <w:szCs w:val="18"/>
              </w:rPr>
              <w:t>POVRŠINSKO OTJECANJE</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Nema većih promjena u većini krajeva; no u gorskim predjelima i zaleđu Dalmacije smanjenje do 10 %</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Smanjenje otjecanja u cijeloj Hrvatskoj (osobito u proljeće)</w:t>
            </w:r>
          </w:p>
        </w:tc>
      </w:tr>
      <w:tr w:rsidR="005C1E80" w:rsidTr="00F57898">
        <w:tc>
          <w:tcPr>
            <w:tcW w:w="0" w:type="auto"/>
            <w:gridSpan w:val="2"/>
            <w:vMerge w:val="restart"/>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rPr>
                <w:rFonts w:ascii="Aptos" w:eastAsia="Times New Roman" w:hAnsi="Aptos" w:cstheme="minorHAnsi"/>
                <w:sz w:val="18"/>
                <w:szCs w:val="18"/>
              </w:rPr>
            </w:pPr>
            <w:r>
              <w:rPr>
                <w:rFonts w:ascii="Aptos" w:eastAsia="Times New Roman" w:hAnsi="Aptos" w:cstheme="minorHAnsi"/>
                <w:sz w:val="18"/>
                <w:szCs w:val="18"/>
              </w:rPr>
              <w:t>TEMPERATURA ZRAKA</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Srednja: porast 1 – 1,4 °C (sve sezone, cijela Hrvatska)</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Srednja: porast 1,5 – 2,2 °C (sve sezone, cijela Hrvatska – naročito kontinent)</w:t>
            </w:r>
          </w:p>
        </w:tc>
      </w:tr>
      <w:tr w:rsidR="005C1E80" w:rsidTr="00F57898">
        <w:tc>
          <w:tcPr>
            <w:tcW w:w="0" w:type="auto"/>
            <w:gridSpan w:val="2"/>
            <w:vMerge/>
            <w:tcBorders>
              <w:top w:val="single" w:sz="6" w:space="0" w:color="auto"/>
              <w:left w:val="single" w:sz="6" w:space="0" w:color="auto"/>
              <w:bottom w:val="single" w:sz="6" w:space="0" w:color="auto"/>
              <w:right w:val="single" w:sz="6" w:space="0" w:color="auto"/>
            </w:tcBorders>
            <w:shd w:val="clear" w:color="auto" w:fill="FFFFFF"/>
            <w:vAlign w:val="bottom"/>
          </w:tcPr>
          <w:p w:rsidR="005C1E80" w:rsidRDefault="005C1E80" w:rsidP="00F57898">
            <w:pPr>
              <w:spacing w:after="0" w:line="240" w:lineRule="auto"/>
              <w:rPr>
                <w:rFonts w:ascii="Aptos" w:eastAsia="Times New Roman" w:hAnsi="Apto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Maksimalna: porast u svim sezonama 1 – 1,5 °C</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Maksimalna: porast do 2,2 °C u ljeto (do 2,3 °C na otocima)</w:t>
            </w:r>
          </w:p>
        </w:tc>
      </w:tr>
      <w:tr w:rsidR="005C1E80" w:rsidTr="00F57898">
        <w:tc>
          <w:tcPr>
            <w:tcW w:w="0" w:type="auto"/>
            <w:gridSpan w:val="2"/>
            <w:vMerge/>
            <w:tcBorders>
              <w:top w:val="single" w:sz="6" w:space="0" w:color="auto"/>
              <w:left w:val="single" w:sz="6" w:space="0" w:color="auto"/>
              <w:bottom w:val="single" w:sz="6" w:space="0" w:color="auto"/>
              <w:right w:val="single" w:sz="6" w:space="0" w:color="auto"/>
            </w:tcBorders>
            <w:shd w:val="clear" w:color="auto" w:fill="FFFFFF"/>
            <w:vAlign w:val="bottom"/>
          </w:tcPr>
          <w:p w:rsidR="005C1E80" w:rsidRDefault="005C1E80" w:rsidP="00F57898">
            <w:pPr>
              <w:spacing w:after="0" w:line="240" w:lineRule="auto"/>
              <w:rPr>
                <w:rFonts w:ascii="Aptos" w:eastAsia="Times New Roman" w:hAnsi="Aptos" w:cstheme="minorHAnsi"/>
                <w:sz w:val="18"/>
                <w:szCs w:val="18"/>
              </w:rPr>
            </w:pP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Minimalna: najveći porast zimi, 1,2 – 1,4 °C</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Minimalna: najveći porast na kontinentu zimi 2,1 – 2,4 °C; a 1,8 – 2 °C primorski krajevi</w:t>
            </w:r>
          </w:p>
        </w:tc>
      </w:tr>
      <w:tr w:rsidR="005C1E80" w:rsidTr="00F57898">
        <w:trPr>
          <w:trHeight w:val="1001"/>
        </w:trPr>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rPr>
                <w:rFonts w:ascii="Aptos" w:eastAsia="Times New Roman" w:hAnsi="Aptos" w:cstheme="minorHAnsi"/>
                <w:sz w:val="18"/>
                <w:szCs w:val="18"/>
              </w:rPr>
            </w:pPr>
            <w:r>
              <w:rPr>
                <w:rFonts w:ascii="Aptos" w:eastAsia="Times New Roman" w:hAnsi="Aptos" w:cstheme="minorHAnsi"/>
                <w:sz w:val="18"/>
                <w:szCs w:val="18"/>
              </w:rPr>
              <w:t>EKSTREMNI VREMENSKI UVJETI</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rPr>
                <w:rFonts w:ascii="Aptos" w:eastAsia="Times New Roman" w:hAnsi="Aptos" w:cstheme="minorHAnsi"/>
                <w:sz w:val="18"/>
                <w:szCs w:val="18"/>
              </w:rPr>
            </w:pPr>
            <w:r>
              <w:rPr>
                <w:rFonts w:ascii="Aptos" w:eastAsia="Times New Roman" w:hAnsi="Aptos" w:cstheme="minorHAnsi"/>
                <w:sz w:val="18"/>
                <w:szCs w:val="18"/>
              </w:rPr>
              <w:t>Vrućina (broj dana s Tmax &gt; +30 °C)</w:t>
            </w:r>
          </w:p>
        </w:tc>
        <w:tc>
          <w:tcPr>
            <w:tcW w:w="0" w:type="auto"/>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6 do 8 dana više od referentnog razdoblja (referentno razdoblje: 15 – 25 dana godišnje)</w:t>
            </w:r>
          </w:p>
        </w:tc>
        <w:tc>
          <w:tcPr>
            <w:tcW w:w="3191" w:type="dxa"/>
            <w:tcBorders>
              <w:top w:val="single" w:sz="6" w:space="0" w:color="auto"/>
              <w:left w:val="single" w:sz="6" w:space="0" w:color="auto"/>
              <w:bottom w:val="single" w:sz="6" w:space="0" w:color="auto"/>
              <w:right w:val="single" w:sz="6" w:space="0" w:color="auto"/>
            </w:tcBorders>
            <w:shd w:val="clear" w:color="auto" w:fill="FFFFFF"/>
            <w:tcMar>
              <w:top w:w="96" w:type="dxa"/>
              <w:left w:w="96" w:type="dxa"/>
              <w:bottom w:w="120" w:type="dxa"/>
              <w:right w:w="96" w:type="dxa"/>
            </w:tcMar>
            <w:vAlign w:val="center"/>
          </w:tcPr>
          <w:p w:rsidR="005C1E80" w:rsidRDefault="005C1E80" w:rsidP="00F57898">
            <w:pPr>
              <w:spacing w:after="0" w:line="240" w:lineRule="auto"/>
              <w:jc w:val="both"/>
              <w:rPr>
                <w:rFonts w:ascii="Aptos" w:eastAsia="Times New Roman" w:hAnsi="Aptos" w:cstheme="minorHAnsi"/>
                <w:sz w:val="18"/>
                <w:szCs w:val="18"/>
              </w:rPr>
            </w:pPr>
          </w:p>
          <w:p w:rsidR="005C1E80" w:rsidRDefault="005C1E80" w:rsidP="00F57898">
            <w:pPr>
              <w:spacing w:after="0" w:line="240" w:lineRule="auto"/>
              <w:jc w:val="both"/>
              <w:rPr>
                <w:rFonts w:ascii="Aptos" w:eastAsia="Times New Roman" w:hAnsi="Aptos" w:cstheme="minorHAnsi"/>
                <w:sz w:val="18"/>
                <w:szCs w:val="18"/>
              </w:rPr>
            </w:pPr>
            <w:r>
              <w:rPr>
                <w:rFonts w:ascii="Aptos" w:eastAsia="Times New Roman" w:hAnsi="Aptos" w:cstheme="minorHAnsi"/>
                <w:sz w:val="18"/>
                <w:szCs w:val="18"/>
              </w:rPr>
              <w:t>Do 12 dana više od referentnog razdoblja</w:t>
            </w:r>
          </w:p>
          <w:p w:rsidR="005C1E80" w:rsidRDefault="005C1E80" w:rsidP="00F57898">
            <w:pPr>
              <w:spacing w:after="0" w:line="240" w:lineRule="auto"/>
              <w:jc w:val="both"/>
              <w:rPr>
                <w:rFonts w:ascii="Aptos" w:eastAsia="Times New Roman" w:hAnsi="Aptos" w:cstheme="minorHAnsi"/>
                <w:sz w:val="18"/>
                <w:szCs w:val="18"/>
              </w:rPr>
            </w:pPr>
          </w:p>
          <w:p w:rsidR="005C1E80" w:rsidRDefault="005C1E80" w:rsidP="00F57898">
            <w:pPr>
              <w:spacing w:after="0" w:line="240" w:lineRule="auto"/>
              <w:jc w:val="both"/>
              <w:rPr>
                <w:rFonts w:ascii="Aptos" w:eastAsia="Times New Roman" w:hAnsi="Aptos" w:cstheme="minorHAnsi"/>
                <w:sz w:val="18"/>
                <w:szCs w:val="18"/>
              </w:rPr>
            </w:pPr>
          </w:p>
          <w:p w:rsidR="005C1E80" w:rsidRDefault="005C1E80" w:rsidP="00F57898">
            <w:pPr>
              <w:spacing w:after="0" w:line="240" w:lineRule="auto"/>
              <w:jc w:val="both"/>
              <w:rPr>
                <w:rFonts w:ascii="Aptos" w:eastAsia="Times New Roman" w:hAnsi="Aptos" w:cstheme="minorHAnsi"/>
                <w:sz w:val="18"/>
                <w:szCs w:val="18"/>
              </w:rPr>
            </w:pPr>
          </w:p>
        </w:tc>
      </w:tr>
    </w:tbl>
    <w:p w:rsidR="005C1E80" w:rsidRDefault="005C1E80" w:rsidP="005C1E80">
      <w:pPr>
        <w:pStyle w:val="Opisslike"/>
        <w:jc w:val="center"/>
        <w:rPr>
          <w:rFonts w:ascii="Aptos" w:hAnsi="Aptos"/>
        </w:rPr>
      </w:pPr>
      <w:r>
        <w:rPr>
          <w:rFonts w:ascii="Aptos" w:hAnsi="Aptos"/>
        </w:rPr>
        <w:t>Izvor: Strategija prilagodbe klimatskim promjenama u Republici Hrvatskoj za razdoblje do 2040. godine s pogledom na 2070. godinu</w:t>
      </w:r>
    </w:p>
    <w:p w:rsidR="005C1E80" w:rsidRDefault="005C1E80" w:rsidP="005C1E80">
      <w:pPr>
        <w:jc w:val="both"/>
        <w:rPr>
          <w:rFonts w:ascii="Aptos" w:hAnsi="Aptos"/>
          <w:sz w:val="24"/>
          <w:szCs w:val="24"/>
        </w:rPr>
      </w:pPr>
      <w:r>
        <w:rPr>
          <w:rFonts w:ascii="Aptos" w:hAnsi="Aptos"/>
          <w:sz w:val="24"/>
          <w:szCs w:val="24"/>
        </w:rPr>
        <w:t>Klimatske promjene već sada  znatno utječu, ali će i u budućnosti utjecati na učestalost i intenzitet ekstremnih vremenskih nepogoda (ekstremne padaline, poplave i bujice, erozije, oluje, suša, toplinski valovi, požari) i na postepene klimatske promjene (porast temperature zraka, tla i vodenih površina, širenje sušnih područja).</w:t>
      </w:r>
    </w:p>
    <w:p w:rsidR="005C1E80" w:rsidRDefault="005C1E80" w:rsidP="00A66748">
      <w:pPr>
        <w:numPr>
          <w:ilvl w:val="2"/>
          <w:numId w:val="54"/>
        </w:numPr>
        <w:spacing w:after="0" w:line="240" w:lineRule="auto"/>
        <w:ind w:left="142"/>
        <w:jc w:val="both"/>
        <w:outlineLvl w:val="2"/>
        <w:rPr>
          <w:rFonts w:eastAsia="Times New Roman" w:cstheme="minorHAnsi"/>
          <w:i/>
          <w:sz w:val="24"/>
          <w:szCs w:val="24"/>
        </w:rPr>
      </w:pPr>
      <w:bookmarkStart w:id="51" w:name="_Toc208190508"/>
      <w:r>
        <w:rPr>
          <w:rFonts w:eastAsia="Times New Roman" w:cstheme="minorHAnsi"/>
          <w:i/>
          <w:sz w:val="24"/>
          <w:szCs w:val="24"/>
        </w:rPr>
        <w:lastRenderedPageBreak/>
        <w:t>Očekivani utjecaj klimatskih promjena na pojedinu prirodnu nepogodu</w:t>
      </w:r>
      <w:r>
        <w:rPr>
          <w:rFonts w:eastAsia="Times New Roman" w:cstheme="minorHAnsi"/>
          <w:i/>
          <w:sz w:val="24"/>
          <w:szCs w:val="24"/>
          <w:vertAlign w:val="superscript"/>
        </w:rPr>
        <w:footnoteReference w:id="3"/>
      </w:r>
      <w:bookmarkEnd w:id="51"/>
    </w:p>
    <w:p w:rsidR="005C1E80" w:rsidRDefault="005C1E80" w:rsidP="005C1E80">
      <w:pPr>
        <w:spacing w:after="0" w:line="240" w:lineRule="auto"/>
        <w:ind w:left="142"/>
        <w:jc w:val="both"/>
        <w:outlineLvl w:val="2"/>
        <w:rPr>
          <w:rFonts w:eastAsia="Times New Roman" w:cstheme="minorHAnsi"/>
          <w:i/>
          <w:sz w:val="24"/>
          <w:szCs w:val="24"/>
        </w:rPr>
      </w:pPr>
    </w:p>
    <w:tbl>
      <w:tblPr>
        <w:tblStyle w:val="Reetkatablice"/>
        <w:tblW w:w="5000" w:type="pct"/>
        <w:tblLook w:val="04A0"/>
      </w:tblPr>
      <w:tblGrid>
        <w:gridCol w:w="9854"/>
      </w:tblGrid>
      <w:tr w:rsidR="005C1E80" w:rsidTr="00F57898">
        <w:tc>
          <w:tcPr>
            <w:tcW w:w="5000" w:type="pct"/>
            <w:shd w:val="clear" w:color="auto" w:fill="92D050"/>
          </w:tcPr>
          <w:p w:rsidR="005C1E80" w:rsidRDefault="005C1E80" w:rsidP="00F57898">
            <w:pPr>
              <w:jc w:val="center"/>
              <w:rPr>
                <w:rFonts w:ascii="Aptos" w:hAnsi="Aptos"/>
                <w:color w:val="FFFFFF" w:themeColor="background1"/>
                <w:sz w:val="24"/>
                <w:szCs w:val="24"/>
              </w:rPr>
            </w:pPr>
            <w:r>
              <w:rPr>
                <w:rFonts w:ascii="Aptos" w:hAnsi="Aptos"/>
                <w:color w:val="FFFFFF" w:themeColor="background1"/>
                <w:sz w:val="24"/>
                <w:szCs w:val="24"/>
              </w:rPr>
              <w:t>UTJECAJ KLIMATSKIH PROMJENA NA PRIRODNU NEPOGODU – POPLAVE</w:t>
            </w:r>
          </w:p>
          <w:p w:rsidR="005C1E80" w:rsidRDefault="005C1E80" w:rsidP="00F57898">
            <w:pPr>
              <w:jc w:val="center"/>
              <w:rPr>
                <w:rFonts w:ascii="Aptos" w:hAnsi="Aptos"/>
                <w:color w:val="FFFFFF" w:themeColor="background1"/>
                <w:sz w:val="24"/>
                <w:szCs w:val="24"/>
              </w:rPr>
            </w:pPr>
          </w:p>
        </w:tc>
      </w:tr>
      <w:tr w:rsidR="005C1E80" w:rsidTr="00F57898">
        <w:tc>
          <w:tcPr>
            <w:tcW w:w="5000" w:type="pct"/>
          </w:tcPr>
          <w:p w:rsidR="005C1E80" w:rsidRDefault="005C1E80" w:rsidP="00F57898">
            <w:pPr>
              <w:jc w:val="both"/>
              <w:rPr>
                <w:rFonts w:ascii="Aptos" w:hAnsi="Aptos" w:cstheme="minorHAnsi"/>
                <w:sz w:val="24"/>
                <w:szCs w:val="24"/>
              </w:rPr>
            </w:pPr>
            <w:r>
              <w:rPr>
                <w:rFonts w:ascii="Aptos" w:hAnsi="Aptos" w:cstheme="minorHAnsi"/>
                <w:sz w:val="24"/>
                <w:szCs w:val="24"/>
              </w:rPr>
              <w:t>U sljedećim razdobljima očekuje se ranjivost u segmentu poljoprivrede ( poplave mogu smanjiti ili posve uništiti  prinose), energetike (mogu dovesti do oštećenja energetskih postrojenja i infrastrukture) i izgrađenog okoliša (poplave u naseljima kao posljedice veće učestalosti  i intenziteta ekstremnih vremenskih prilika koje obilježavaju velike količine oborine u kratkom razdoblju).</w:t>
            </w:r>
          </w:p>
          <w:p w:rsidR="005C1E80" w:rsidRDefault="005C1E80" w:rsidP="00F57898">
            <w:pPr>
              <w:jc w:val="both"/>
              <w:rPr>
                <w:rFonts w:ascii="Aptos" w:hAnsi="Aptos" w:cstheme="minorHAnsi"/>
                <w:sz w:val="24"/>
                <w:szCs w:val="24"/>
              </w:rPr>
            </w:pPr>
            <w:r>
              <w:rPr>
                <w:rFonts w:ascii="Aptos" w:hAnsi="Aptos" w:cstheme="minorHAnsi"/>
                <w:sz w:val="24"/>
                <w:szCs w:val="24"/>
              </w:rPr>
              <w:t>Klimatske promjene posebno utječu na pojavu urbanih poplava.</w:t>
            </w:r>
            <w:r>
              <w:t xml:space="preserve"> S</w:t>
            </w:r>
            <w:r>
              <w:rPr>
                <w:rFonts w:ascii="Aptos" w:hAnsi="Aptos" w:cstheme="minorHAnsi"/>
                <w:sz w:val="24"/>
                <w:szCs w:val="24"/>
              </w:rPr>
              <w:t xml:space="preserve">ve češće dolazi do dugih sušnih razdoblja, pa zatim kratkih, ali obilnih kiša koje izazivaju urbane poplave jer tlo ne može brzo upiti vodu, gradska infrastruktura često nije dizajnirana za toliku količinu vode u kratkom vremenu zbog čega dolazi do naglog prelijevanja sustava odvodnje. </w:t>
            </w:r>
          </w:p>
          <w:p w:rsidR="005C1E80" w:rsidRDefault="005C1E80" w:rsidP="00F57898">
            <w:pPr>
              <w:jc w:val="both"/>
              <w:rPr>
                <w:rFonts w:ascii="Aptos" w:hAnsi="Aptos" w:cstheme="minorHAnsi"/>
                <w:sz w:val="24"/>
                <w:szCs w:val="24"/>
              </w:rPr>
            </w:pPr>
          </w:p>
          <w:p w:rsidR="005C1E80" w:rsidRDefault="005C1E80" w:rsidP="00F57898">
            <w:pPr>
              <w:jc w:val="both"/>
              <w:rPr>
                <w:rFonts w:ascii="Aptos" w:hAnsi="Aptos" w:cstheme="minorHAnsi"/>
                <w:sz w:val="24"/>
                <w:szCs w:val="24"/>
              </w:rPr>
            </w:pPr>
            <w:r>
              <w:rPr>
                <w:rFonts w:ascii="Aptos" w:hAnsi="Aptos" w:cstheme="minorHAnsi"/>
                <w:sz w:val="24"/>
                <w:szCs w:val="24"/>
              </w:rPr>
              <w:t>Općine imaju puno nepropusnih površina (asfalt, beton), što znači da voda ne može prodrijeti u tlo.</w:t>
            </w:r>
          </w:p>
          <w:p w:rsidR="005C1E80" w:rsidRDefault="005C1E80" w:rsidP="00F57898">
            <w:pPr>
              <w:jc w:val="both"/>
              <w:rPr>
                <w:rFonts w:ascii="Aptos" w:hAnsi="Aptos" w:cstheme="minorHAnsi"/>
                <w:sz w:val="24"/>
                <w:szCs w:val="24"/>
              </w:rPr>
            </w:pPr>
          </w:p>
          <w:p w:rsidR="005C1E80" w:rsidRDefault="005C1E80" w:rsidP="00F57898">
            <w:pPr>
              <w:jc w:val="both"/>
              <w:rPr>
                <w:rFonts w:ascii="Aptos" w:hAnsi="Aptos" w:cstheme="minorHAnsi"/>
                <w:sz w:val="24"/>
                <w:szCs w:val="24"/>
              </w:rPr>
            </w:pPr>
            <w:r>
              <w:rPr>
                <w:rFonts w:ascii="Aptos" w:hAnsi="Aptos" w:cstheme="minorHAnsi"/>
                <w:sz w:val="24"/>
                <w:szCs w:val="24"/>
              </w:rPr>
              <w:t>Umjesto da se infiltrira, voda otječe površinski, nakuplja se i stvara plavljenje ulica, podruma, garaža.</w:t>
            </w:r>
          </w:p>
        </w:tc>
      </w:tr>
    </w:tbl>
    <w:p w:rsidR="005C1E80" w:rsidRDefault="005C1E80" w:rsidP="005C1E80"/>
    <w:tbl>
      <w:tblPr>
        <w:tblStyle w:val="Reetkatablice"/>
        <w:tblW w:w="5000" w:type="pct"/>
        <w:tblLook w:val="04A0"/>
      </w:tblPr>
      <w:tblGrid>
        <w:gridCol w:w="9854"/>
      </w:tblGrid>
      <w:tr w:rsidR="005C1E80" w:rsidTr="00F57898">
        <w:tc>
          <w:tcPr>
            <w:tcW w:w="5000" w:type="pct"/>
            <w:shd w:val="clear" w:color="auto" w:fill="92D050"/>
          </w:tcPr>
          <w:p w:rsidR="005C1E80" w:rsidRDefault="005C1E80" w:rsidP="00F57898">
            <w:pPr>
              <w:jc w:val="center"/>
              <w:rPr>
                <w:color w:val="FFFFFF" w:themeColor="background1"/>
                <w:sz w:val="24"/>
                <w:szCs w:val="24"/>
              </w:rPr>
            </w:pPr>
            <w:r>
              <w:rPr>
                <w:color w:val="FFFFFF" w:themeColor="background1"/>
                <w:sz w:val="24"/>
                <w:szCs w:val="24"/>
              </w:rPr>
              <w:t xml:space="preserve">UTJECAJ KLIMATSKIH PROMJENA NA PRIRODNU NEPOGODU – SUŠU </w:t>
            </w:r>
          </w:p>
        </w:tc>
      </w:tr>
      <w:tr w:rsidR="005C1E80" w:rsidTr="00F57898">
        <w:tc>
          <w:tcPr>
            <w:tcW w:w="5000" w:type="pct"/>
          </w:tcPr>
          <w:p w:rsidR="005C1E80" w:rsidRDefault="005C1E80" w:rsidP="00F57898">
            <w:pPr>
              <w:jc w:val="both"/>
              <w:rPr>
                <w:rFonts w:ascii="Aptos" w:hAnsi="Aptos" w:cstheme="minorHAnsi"/>
                <w:color w:val="000000"/>
                <w:sz w:val="24"/>
                <w:szCs w:val="24"/>
                <w:vertAlign w:val="superscript"/>
              </w:rPr>
            </w:pPr>
            <w:r>
              <w:rPr>
                <w:rFonts w:ascii="Aptos" w:hAnsi="Aptos" w:cstheme="minorHAnsi"/>
                <w:color w:val="000000"/>
                <w:sz w:val="24"/>
                <w:szCs w:val="24"/>
              </w:rPr>
              <w:t>U razdoblju od 2011. – 2040. godine broj sušnih razdoblja mogao bi se povećati u jesen u gotovo čitavoj zemlji. U razdoblju od 2011. do 2040. godine ljeti se očekuje porast broja vrućih dana, što bi moglo prouzročiti i produžena razdoblja s visokom temperaturom zraka. Povećanje broja vrućih dana s prosjekom od 15 do 25 dana u razdoblju referentne klime  bilo bi više od 8 dana u istočnoj Hrvatskoj. U budućem klimatskom razdoblju 2011. do 2040. u većini se krajeva očekuje povećanje evapotranspiracije, kao smanje vlažnosti tla. Glavni očekivani utjecaj klimatskih promjene i povećanja suša u području poljoprivrede su u promjeni vegetacijskog razdoblja, nižim prinosima  svih kultura i većoj potrebi za vodom.</w:t>
            </w:r>
            <w:r>
              <w:rPr>
                <w:rFonts w:ascii="Aptos" w:hAnsi="Aptos" w:cstheme="minorHAnsi"/>
                <w:color w:val="000000"/>
                <w:sz w:val="24"/>
                <w:szCs w:val="24"/>
                <w:vertAlign w:val="superscript"/>
              </w:rPr>
              <w:t xml:space="preserve"> </w:t>
            </w:r>
            <w:r>
              <w:rPr>
                <w:rFonts w:ascii="Aptos" w:hAnsi="Aptos" w:cstheme="minorHAnsi"/>
                <w:color w:val="000000"/>
                <w:sz w:val="24"/>
                <w:szCs w:val="24"/>
                <w:vertAlign w:val="superscript"/>
              </w:rPr>
              <w:footnoteReference w:id="4"/>
            </w:r>
          </w:p>
        </w:tc>
      </w:tr>
    </w:tbl>
    <w:p w:rsidR="005C1E80" w:rsidRDefault="005C1E80" w:rsidP="005C1E80"/>
    <w:p w:rsidR="005C1E80" w:rsidRDefault="005C1E80" w:rsidP="005C1E80"/>
    <w:tbl>
      <w:tblPr>
        <w:tblStyle w:val="Reetkatablice"/>
        <w:tblW w:w="5000" w:type="pct"/>
        <w:tblLook w:val="04A0"/>
      </w:tblPr>
      <w:tblGrid>
        <w:gridCol w:w="9854"/>
      </w:tblGrid>
      <w:tr w:rsidR="005C1E80" w:rsidTr="00F57898">
        <w:tc>
          <w:tcPr>
            <w:tcW w:w="5000" w:type="pct"/>
            <w:shd w:val="clear" w:color="auto" w:fill="92D050"/>
          </w:tcPr>
          <w:p w:rsidR="005C1E80" w:rsidRDefault="005C1E80" w:rsidP="00F57898">
            <w:pPr>
              <w:jc w:val="center"/>
              <w:rPr>
                <w:color w:val="FFFFFF" w:themeColor="background1"/>
                <w:sz w:val="24"/>
                <w:szCs w:val="24"/>
              </w:rPr>
            </w:pPr>
            <w:bookmarkStart w:id="52" w:name="_Hlk208159348"/>
            <w:r>
              <w:rPr>
                <w:color w:val="FFFFFF" w:themeColor="background1"/>
                <w:sz w:val="24"/>
                <w:szCs w:val="24"/>
              </w:rPr>
              <w:t>UTJECAJ KLIMATSKIH PROMJENA NA PRIRODNU NEPOGODU – POŽARI</w:t>
            </w:r>
          </w:p>
        </w:tc>
      </w:tr>
      <w:tr w:rsidR="005C1E80" w:rsidTr="00F57898">
        <w:trPr>
          <w:trHeight w:val="920"/>
        </w:trPr>
        <w:tc>
          <w:tcPr>
            <w:tcW w:w="5000" w:type="pct"/>
          </w:tcPr>
          <w:p w:rsidR="005C1E80" w:rsidRDefault="005C1E80" w:rsidP="00F57898">
            <w:pPr>
              <w:jc w:val="both"/>
              <w:rPr>
                <w:rFonts w:ascii="Aptos" w:hAnsi="Aptos" w:cstheme="minorHAnsi"/>
                <w:color w:val="000000"/>
                <w:sz w:val="24"/>
                <w:szCs w:val="24"/>
              </w:rPr>
            </w:pPr>
            <w:r>
              <w:rPr>
                <w:rFonts w:ascii="Aptos" w:hAnsi="Aptos" w:cstheme="minorHAnsi"/>
                <w:color w:val="000000"/>
                <w:sz w:val="24"/>
                <w:szCs w:val="24"/>
              </w:rPr>
              <w:t>Klimatske promjene dovode i do povećanja područja izloženog riziku od šumskih požara. Regije koje trenutačno nisu izložene požarima mogle bi postati rizična područja.</w:t>
            </w:r>
          </w:p>
        </w:tc>
      </w:tr>
      <w:bookmarkEnd w:id="52"/>
    </w:tbl>
    <w:p w:rsidR="005C1E80" w:rsidRDefault="005C1E80" w:rsidP="005C1E80"/>
    <w:tbl>
      <w:tblPr>
        <w:tblStyle w:val="Reetkatablice"/>
        <w:tblW w:w="5003" w:type="pct"/>
        <w:tblInd w:w="-5" w:type="dxa"/>
        <w:tblLook w:val="04A0"/>
      </w:tblPr>
      <w:tblGrid>
        <w:gridCol w:w="9860"/>
      </w:tblGrid>
      <w:tr w:rsidR="005C1E80" w:rsidTr="00F57898">
        <w:tc>
          <w:tcPr>
            <w:tcW w:w="5000" w:type="pct"/>
            <w:shd w:val="clear" w:color="auto" w:fill="92D050"/>
          </w:tcPr>
          <w:p w:rsidR="005C1E80" w:rsidRDefault="005C1E80" w:rsidP="00F57898">
            <w:pPr>
              <w:jc w:val="center"/>
              <w:rPr>
                <w:color w:val="FFFFFF" w:themeColor="background1"/>
                <w:sz w:val="24"/>
                <w:szCs w:val="24"/>
              </w:rPr>
            </w:pPr>
            <w:r>
              <w:rPr>
                <w:color w:val="FFFFFF" w:themeColor="background1"/>
                <w:sz w:val="24"/>
                <w:szCs w:val="24"/>
              </w:rPr>
              <w:t>UTJECAJ KLIMATSKIH PROMJENA NA PRIRODNU NEPOGODU – OLUJNI, ORKANSKI VJETAR, TUČE</w:t>
            </w:r>
          </w:p>
        </w:tc>
      </w:tr>
      <w:tr w:rsidR="005C1E80" w:rsidTr="00F57898">
        <w:trPr>
          <w:trHeight w:val="2371"/>
        </w:trPr>
        <w:tc>
          <w:tcPr>
            <w:tcW w:w="5000" w:type="pct"/>
          </w:tcPr>
          <w:p w:rsidR="005C1E80" w:rsidRDefault="005C1E80" w:rsidP="00F57898">
            <w:pPr>
              <w:jc w:val="both"/>
              <w:rPr>
                <w:rFonts w:ascii="Aptos" w:hAnsi="Aptos" w:cstheme="minorHAnsi"/>
                <w:color w:val="000000"/>
                <w:sz w:val="24"/>
                <w:szCs w:val="24"/>
              </w:rPr>
            </w:pPr>
            <w:r>
              <w:rPr>
                <w:rFonts w:ascii="Aptos" w:hAnsi="Aptos" w:cstheme="minorHAnsi"/>
                <w:color w:val="000000"/>
                <w:sz w:val="24"/>
                <w:szCs w:val="24"/>
              </w:rPr>
              <w:lastRenderedPageBreak/>
              <w:t>Visoke temperature zraka, velika vlažnost i nestabilnost u atmosferi osnovni su preduvjeti za nastanak oluje. Uz promjenu jačine i smjera vjetra po visini dolazi do razvoja olujnog oblaka. Atmosfera je danas zagrijana u odnosu na predindustrijsko razdoblje za 1,1 °C i može sadržavati više vlage. Svaki stupanj porasta temperature znači 6 - 7 % više vlage. Ta dodatna vlaga je u produljenim toplim razdobljima (kao što smo imali proteklih dana) izvor za razvoj nestabilnosti i veće količine oborine. U uvjetima dodatnog globalnog zagrijavanja možemo očekivati češće oluje.</w:t>
            </w:r>
          </w:p>
        </w:tc>
      </w:tr>
    </w:tbl>
    <w:p w:rsidR="005C1E80" w:rsidRDefault="005C1E80" w:rsidP="005C1E80"/>
    <w:tbl>
      <w:tblPr>
        <w:tblStyle w:val="Reetkatablice"/>
        <w:tblW w:w="5003" w:type="pct"/>
        <w:jc w:val="center"/>
        <w:tblLook w:val="04A0"/>
      </w:tblPr>
      <w:tblGrid>
        <w:gridCol w:w="9860"/>
      </w:tblGrid>
      <w:tr w:rsidR="005C1E80" w:rsidTr="00F57898">
        <w:trPr>
          <w:jc w:val="center"/>
        </w:trPr>
        <w:tc>
          <w:tcPr>
            <w:tcW w:w="4997" w:type="pct"/>
            <w:shd w:val="clear" w:color="auto" w:fill="92D050"/>
          </w:tcPr>
          <w:p w:rsidR="005C1E80" w:rsidRDefault="005C1E80" w:rsidP="00F57898">
            <w:pPr>
              <w:jc w:val="center"/>
              <w:rPr>
                <w:color w:val="FFFFFF" w:themeColor="background1"/>
                <w:sz w:val="24"/>
                <w:szCs w:val="24"/>
              </w:rPr>
            </w:pPr>
            <w:r>
              <w:rPr>
                <w:color w:val="FFFFFF" w:themeColor="background1"/>
                <w:sz w:val="24"/>
                <w:szCs w:val="24"/>
              </w:rPr>
              <w:t xml:space="preserve">UTJECAJ KLIMATSKIH PROMJENA NA PRIRODNU NEPOGODU –  MRAZ </w:t>
            </w:r>
          </w:p>
        </w:tc>
      </w:tr>
      <w:tr w:rsidR="005C1E80" w:rsidTr="00F57898">
        <w:trPr>
          <w:jc w:val="center"/>
        </w:trPr>
        <w:tc>
          <w:tcPr>
            <w:tcW w:w="4997" w:type="pct"/>
          </w:tcPr>
          <w:p w:rsidR="005C1E80" w:rsidRDefault="005C1E80" w:rsidP="00F57898">
            <w:pPr>
              <w:jc w:val="both"/>
              <w:rPr>
                <w:rFonts w:ascii="Aptos" w:hAnsi="Aptos" w:cstheme="minorHAnsi"/>
                <w:sz w:val="24"/>
                <w:szCs w:val="24"/>
                <w:shd w:val="clear" w:color="auto" w:fill="FFFFFF"/>
              </w:rPr>
            </w:pPr>
            <w:r>
              <w:rPr>
                <w:rFonts w:ascii="Aptos" w:hAnsi="Aptos" w:cstheme="minorHAnsi"/>
                <w:sz w:val="24"/>
                <w:szCs w:val="24"/>
                <w:shd w:val="clear" w:color="auto" w:fill="FFFFFF"/>
              </w:rPr>
              <w:t xml:space="preserve">Klimatske promjene postale su veliki problem današnjice te se njihov utjecaj uočava u poljoprivrednoj proizvodnji, a isto tako i u voćarstvu. Javljaju se mnogi problemi vezani za mirovanje voćnih vrsta, prijevremenu cvatnju, pojavu raznih nepogoda (mraza, suše, poplava) i brojnih drugih stresnih čimbenika koji štetno djeluju na voćne vrste. U Republici Hrvatskoj prevladava umjerena klima te se posljednjih godina povećava srednja godišnja temperatura, zime postaju sve blaže, a u vegetaciji se javljaju mrazovi i ekstremne suše. </w:t>
            </w:r>
          </w:p>
        </w:tc>
      </w:tr>
    </w:tbl>
    <w:p w:rsidR="005C1E80" w:rsidRDefault="005C1E80" w:rsidP="005C1E80"/>
    <w:tbl>
      <w:tblPr>
        <w:tblStyle w:val="Reetkatablice"/>
        <w:tblW w:w="5000" w:type="pct"/>
        <w:jc w:val="center"/>
        <w:tblLook w:val="04A0"/>
      </w:tblPr>
      <w:tblGrid>
        <w:gridCol w:w="9854"/>
      </w:tblGrid>
      <w:tr w:rsidR="005C1E80" w:rsidTr="00F57898">
        <w:trPr>
          <w:jc w:val="center"/>
        </w:trPr>
        <w:tc>
          <w:tcPr>
            <w:tcW w:w="5000" w:type="pct"/>
            <w:shd w:val="clear" w:color="auto" w:fill="92D050"/>
          </w:tcPr>
          <w:p w:rsidR="005C1E80" w:rsidRDefault="005C1E80" w:rsidP="00F57898">
            <w:pPr>
              <w:jc w:val="center"/>
              <w:rPr>
                <w:color w:val="FFFFFF" w:themeColor="background1"/>
                <w:sz w:val="24"/>
                <w:szCs w:val="24"/>
              </w:rPr>
            </w:pPr>
            <w:r>
              <w:rPr>
                <w:color w:val="FFFFFF" w:themeColor="background1"/>
                <w:sz w:val="24"/>
                <w:szCs w:val="24"/>
              </w:rPr>
              <w:t xml:space="preserve">UTJECAJ KLIMATSKIH PROMJENA NA PRIRODNU NEPOGODU –  VELIKU VISINU SNIJEGA </w:t>
            </w:r>
          </w:p>
        </w:tc>
      </w:tr>
      <w:tr w:rsidR="005C1E80" w:rsidTr="00F57898">
        <w:trPr>
          <w:jc w:val="center"/>
        </w:trPr>
        <w:tc>
          <w:tcPr>
            <w:tcW w:w="5000" w:type="pct"/>
          </w:tcPr>
          <w:p w:rsidR="005C1E80" w:rsidRDefault="005C1E80" w:rsidP="00F57898">
            <w:pPr>
              <w:jc w:val="both"/>
              <w:rPr>
                <w:rFonts w:ascii="Aptos" w:hAnsi="Aptos" w:cstheme="minorHAnsi"/>
                <w:color w:val="252525"/>
                <w:sz w:val="24"/>
                <w:szCs w:val="24"/>
                <w:shd w:val="clear" w:color="auto" w:fill="FFFFFF"/>
              </w:rPr>
            </w:pPr>
            <w:r>
              <w:rPr>
                <w:rFonts w:ascii="Aptos" w:hAnsi="Aptos" w:cstheme="minorHAnsi"/>
                <w:color w:val="252525"/>
                <w:sz w:val="24"/>
                <w:szCs w:val="24"/>
                <w:shd w:val="clear" w:color="auto" w:fill="FFFFFF"/>
              </w:rPr>
              <w:t>Vrlo niske temperature (valovi hladnoće, mraz) mogle bi se prorijediti u Europi. Međutim, globalno zagrijavanje umanjuje predvidljivost događaja.</w:t>
            </w:r>
          </w:p>
        </w:tc>
      </w:tr>
    </w:tbl>
    <w:p w:rsidR="005C1E80" w:rsidRDefault="005C1E80" w:rsidP="005C1E80">
      <w:pPr>
        <w:rPr>
          <w:rFonts w:cstheme="minorHAnsi"/>
        </w:rPr>
      </w:pPr>
    </w:p>
    <w:tbl>
      <w:tblPr>
        <w:tblStyle w:val="Reetkatablice"/>
        <w:tblW w:w="5000" w:type="pct"/>
        <w:jc w:val="center"/>
        <w:tblLook w:val="04A0"/>
      </w:tblPr>
      <w:tblGrid>
        <w:gridCol w:w="9854"/>
      </w:tblGrid>
      <w:tr w:rsidR="005C1E80" w:rsidTr="00F57898">
        <w:trPr>
          <w:jc w:val="center"/>
        </w:trPr>
        <w:tc>
          <w:tcPr>
            <w:tcW w:w="5000" w:type="pct"/>
            <w:shd w:val="clear" w:color="auto" w:fill="92D050"/>
            <w:vAlign w:val="center"/>
          </w:tcPr>
          <w:p w:rsidR="005C1E80" w:rsidRDefault="005C1E80" w:rsidP="00F57898">
            <w:pPr>
              <w:jc w:val="center"/>
              <w:rPr>
                <w:rFonts w:ascii="Aptos" w:hAnsi="Aptos"/>
                <w:color w:val="FFFFFF" w:themeColor="background1"/>
                <w:sz w:val="24"/>
                <w:szCs w:val="24"/>
              </w:rPr>
            </w:pPr>
            <w:bookmarkStart w:id="53" w:name="_Hlk208160305"/>
            <w:r>
              <w:rPr>
                <w:rFonts w:ascii="Aptos" w:hAnsi="Aptos"/>
                <w:color w:val="FFFFFF" w:themeColor="background1"/>
                <w:sz w:val="24"/>
                <w:szCs w:val="24"/>
              </w:rPr>
              <w:t>UTJECAJ KLIMATSKIH PROMJENA NA PRIRODNU NEPOGODU –  KLIZANJE, TEČENJE, ODRONJAVANJE I PREVRTANJE ZEMLJIŠTA</w:t>
            </w:r>
          </w:p>
        </w:tc>
      </w:tr>
      <w:tr w:rsidR="005C1E80" w:rsidTr="00F57898">
        <w:trPr>
          <w:jc w:val="center"/>
        </w:trPr>
        <w:tc>
          <w:tcPr>
            <w:tcW w:w="5000" w:type="pct"/>
          </w:tcPr>
          <w:p w:rsidR="005C1E80" w:rsidRDefault="005C1E80" w:rsidP="00F57898">
            <w:pPr>
              <w:jc w:val="both"/>
              <w:rPr>
                <w:rFonts w:ascii="Aptos" w:hAnsi="Aptos" w:cstheme="minorHAnsi"/>
                <w:sz w:val="24"/>
                <w:szCs w:val="24"/>
              </w:rPr>
            </w:pPr>
            <w:r>
              <w:rPr>
                <w:rFonts w:ascii="Aptos" w:hAnsi="Aptos" w:cstheme="minorHAnsi"/>
                <w:sz w:val="24"/>
                <w:szCs w:val="24"/>
              </w:rPr>
              <w:t xml:space="preserve">Prema Strategiji povećanje klizišta utjecat će na prostorno uređenje, povećati opseg zdravstvenog i socioekonomskog opterećenja zajednice zbog kontaminacije hrane i onečišćenja okoliša nakon prirodne nepogode. </w:t>
            </w:r>
          </w:p>
        </w:tc>
      </w:tr>
      <w:bookmarkEnd w:id="53"/>
    </w:tbl>
    <w:p w:rsidR="005C1E80" w:rsidRDefault="005C1E80" w:rsidP="005C1E80"/>
    <w:tbl>
      <w:tblPr>
        <w:tblStyle w:val="Reetkatablice"/>
        <w:tblW w:w="5000" w:type="pct"/>
        <w:jc w:val="center"/>
        <w:tblLook w:val="04A0"/>
      </w:tblPr>
      <w:tblGrid>
        <w:gridCol w:w="9854"/>
      </w:tblGrid>
      <w:tr w:rsidR="005C1E80" w:rsidTr="00F57898">
        <w:trPr>
          <w:jc w:val="center"/>
        </w:trPr>
        <w:tc>
          <w:tcPr>
            <w:tcW w:w="5000" w:type="pct"/>
            <w:shd w:val="clear" w:color="auto" w:fill="92D050"/>
            <w:vAlign w:val="center"/>
          </w:tcPr>
          <w:p w:rsidR="005C1E80" w:rsidRDefault="005C1E80" w:rsidP="00F57898">
            <w:pPr>
              <w:jc w:val="center"/>
              <w:rPr>
                <w:rFonts w:ascii="Aptos" w:hAnsi="Aptos"/>
                <w:color w:val="FFFFFF" w:themeColor="background1"/>
                <w:sz w:val="24"/>
                <w:szCs w:val="24"/>
              </w:rPr>
            </w:pPr>
            <w:r>
              <w:rPr>
                <w:rFonts w:ascii="Aptos" w:hAnsi="Aptos"/>
                <w:color w:val="FFFFFF" w:themeColor="background1"/>
                <w:sz w:val="24"/>
                <w:szCs w:val="24"/>
              </w:rPr>
              <w:t>UTJECAJ KLIMATSKIH PROMJENA NA PRIRODNU NEPOGODU –  EKSTREMNE TEMPERATURE</w:t>
            </w:r>
          </w:p>
        </w:tc>
      </w:tr>
      <w:tr w:rsidR="005C1E80" w:rsidTr="00F57898">
        <w:trPr>
          <w:jc w:val="center"/>
        </w:trPr>
        <w:tc>
          <w:tcPr>
            <w:tcW w:w="5000" w:type="pct"/>
          </w:tcPr>
          <w:p w:rsidR="005C1E80" w:rsidRDefault="005C1E80" w:rsidP="00F57898">
            <w:pPr>
              <w:jc w:val="both"/>
              <w:rPr>
                <w:rFonts w:ascii="Aptos" w:hAnsi="Aptos" w:cstheme="minorHAnsi"/>
                <w:sz w:val="24"/>
                <w:szCs w:val="24"/>
              </w:rPr>
            </w:pPr>
            <w:r>
              <w:rPr>
                <w:rFonts w:ascii="Aptos" w:hAnsi="Aptos" w:cstheme="minorHAnsi"/>
                <w:sz w:val="24"/>
                <w:szCs w:val="24"/>
              </w:rPr>
              <w:t>Očekuje se da će više temperature uzrokovati i promjenu geografske rasprostranjenosti klimatskih zona, a zbog tih se promjena mijenja i rasprostranjenost i brojnost mnogih biljnih i životinjskih vrsta, koje su već pod pritiskom zbog gubitka staništa i onečišćenja. Porast temperature vjerojatno će donijeti i fenološke promjene - promjene u ponašanju i životnom ciklusu životinjskih i biljnih vrsta. To bi pak moglo dovesti do porasta broja štetnih organizama i invazivnih vrsta te veće učestalosti određenih bolesti kod ljudi. Uz to, mogli bi se smanjiti prinosi i održivost poljoprivrede i stočarstva, kao i kapacitet ekosustava za pružanje važnih usluga i dobara (kao što su čista voda i svježi zrak).</w:t>
            </w:r>
            <w:r>
              <w:rPr>
                <w:rFonts w:ascii="Aptos" w:hAnsi="Aptos"/>
              </w:rPr>
              <w:t xml:space="preserve"> </w:t>
            </w:r>
          </w:p>
        </w:tc>
      </w:tr>
    </w:tbl>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Opaženo je da zbog klimatskih promjena dolazi i do kombinacija određenih prirodnih nepogoda.</w:t>
      </w:r>
    </w:p>
    <w:p w:rsidR="005C1E80" w:rsidRDefault="005C1E80" w:rsidP="005C1E80">
      <w:pPr>
        <w:jc w:val="both"/>
        <w:rPr>
          <w:rFonts w:ascii="Aptos" w:hAnsi="Aptos"/>
          <w:sz w:val="24"/>
          <w:szCs w:val="24"/>
        </w:rPr>
      </w:pPr>
    </w:p>
    <w:p w:rsidR="005C1E80" w:rsidRDefault="005C1E80" w:rsidP="00A66748">
      <w:pPr>
        <w:numPr>
          <w:ilvl w:val="2"/>
          <w:numId w:val="54"/>
        </w:numPr>
        <w:spacing w:after="0" w:line="240" w:lineRule="auto"/>
        <w:ind w:left="142"/>
        <w:jc w:val="both"/>
        <w:outlineLvl w:val="2"/>
        <w:rPr>
          <w:rFonts w:ascii="Aptos" w:eastAsia="Times New Roman" w:hAnsi="Aptos" w:cstheme="minorHAnsi"/>
          <w:i/>
          <w:sz w:val="24"/>
          <w:szCs w:val="24"/>
        </w:rPr>
      </w:pPr>
      <w:bookmarkStart w:id="54" w:name="_Toc208190509"/>
      <w:r>
        <w:rPr>
          <w:rFonts w:ascii="Aptos" w:eastAsia="Times New Roman" w:hAnsi="Aptos" w:cstheme="minorHAnsi"/>
          <w:i/>
          <w:sz w:val="24"/>
          <w:szCs w:val="24"/>
        </w:rPr>
        <w:t>Očekivane posljedice</w:t>
      </w:r>
      <w:bookmarkEnd w:id="54"/>
    </w:p>
    <w:p w:rsidR="005C1E80" w:rsidRDefault="005C1E80" w:rsidP="005C1E80"/>
    <w:p w:rsidR="005C1E80" w:rsidRDefault="005C1E80" w:rsidP="005C1E80">
      <w:pPr>
        <w:rPr>
          <w:rFonts w:ascii="Aptos" w:hAnsi="Aptos"/>
          <w:sz w:val="24"/>
          <w:szCs w:val="24"/>
        </w:rPr>
      </w:pPr>
      <w:r>
        <w:rPr>
          <w:rFonts w:ascii="Aptos" w:hAnsi="Aptos"/>
          <w:sz w:val="24"/>
          <w:szCs w:val="24"/>
        </w:rPr>
        <w:t>Učinak prirodnih nepogoda obično se promatra kroz posljedice koje će prouzročiti na:</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lastRenderedPageBreak/>
        <w:t>život i zdravlja ljudi (promatra se realno moguće ugrožavanje života - poginuli, ozlijeđeni, oboljeli, sklonjeni, evakuirani i zbrinute osobe)</w:t>
      </w:r>
    </w:p>
    <w:p w:rsidR="005C1E80" w:rsidRDefault="005C1E80" w:rsidP="00A66748">
      <w:pPr>
        <w:numPr>
          <w:ilvl w:val="0"/>
          <w:numId w:val="69"/>
        </w:numPr>
        <w:spacing w:after="200" w:line="276" w:lineRule="auto"/>
        <w:contextualSpacing/>
        <w:rPr>
          <w:rFonts w:ascii="Aptos" w:hAnsi="Aptos"/>
          <w:sz w:val="24"/>
          <w:szCs w:val="24"/>
        </w:rPr>
      </w:pPr>
      <w:r>
        <w:rPr>
          <w:rFonts w:ascii="Aptos" w:hAnsi="Aptos"/>
          <w:sz w:val="24"/>
          <w:szCs w:val="24"/>
        </w:rPr>
        <w:t>gospodarstvo</w:t>
      </w:r>
    </w:p>
    <w:p w:rsidR="005C1E80" w:rsidRDefault="005C1E80" w:rsidP="00A66748">
      <w:pPr>
        <w:numPr>
          <w:ilvl w:val="0"/>
          <w:numId w:val="69"/>
        </w:numPr>
        <w:spacing w:after="200" w:line="276" w:lineRule="auto"/>
        <w:contextualSpacing/>
        <w:rPr>
          <w:rFonts w:ascii="Aptos" w:hAnsi="Aptos"/>
          <w:sz w:val="24"/>
          <w:szCs w:val="24"/>
        </w:rPr>
      </w:pPr>
      <w:r>
        <w:rPr>
          <w:rFonts w:ascii="Aptos" w:hAnsi="Aptos"/>
          <w:sz w:val="24"/>
          <w:szCs w:val="24"/>
        </w:rPr>
        <w:t>ugroženu infrastrukturu, sa naglaskom na kritičnu infrastrukturu.</w:t>
      </w:r>
    </w:p>
    <w:p w:rsidR="005C1E80" w:rsidRDefault="005C1E80" w:rsidP="005C1E80">
      <w:pPr>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Postoji konsenzus kako će posljedice biti sve intenzivnije i utjecat će na sve segmente koji su navedeni, a posebno se očekuje:</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t>utjecaj na zdravlje, povećanje smrtnost</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t>povećanje socioekonomske nejednakosti (</w:t>
      </w:r>
      <w:r>
        <w:rPr>
          <w:rFonts w:ascii="Aptos" w:hAnsi="Aptos"/>
          <w:i/>
          <w:iCs/>
          <w:sz w:val="24"/>
          <w:szCs w:val="24"/>
        </w:rPr>
        <w:t>npr. siromašniji dijelove društva tijekom toplinskih valova ne mogu osigurati adekvatno hlađenja prostora</w:t>
      </w:r>
      <w:r>
        <w:rPr>
          <w:rFonts w:ascii="Aptos" w:hAnsi="Aptos"/>
          <w:sz w:val="24"/>
          <w:szCs w:val="24"/>
        </w:rPr>
        <w:t>)</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t>isključenost ranjivih skupina  kao što su osobe s kroničnim bolestima, stariji građani i osobe s invaliditetom posebice tijekom dugotrajnih toplinskih valova</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t xml:space="preserve">utjecaj na zaposlene (otežani radni uvjeti), </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t>veće štete na imovini, moguće poskupljene osiguranja,</w:t>
      </w:r>
    </w:p>
    <w:p w:rsidR="005C1E80" w:rsidRDefault="005C1E80" w:rsidP="00A66748">
      <w:pPr>
        <w:numPr>
          <w:ilvl w:val="0"/>
          <w:numId w:val="69"/>
        </w:numPr>
        <w:spacing w:after="200" w:line="276" w:lineRule="auto"/>
        <w:contextualSpacing/>
        <w:jc w:val="both"/>
        <w:rPr>
          <w:rFonts w:ascii="Aptos" w:hAnsi="Aptos"/>
          <w:sz w:val="24"/>
          <w:szCs w:val="24"/>
        </w:rPr>
      </w:pPr>
      <w:r>
        <w:rPr>
          <w:rFonts w:ascii="Aptos" w:hAnsi="Aptos"/>
          <w:sz w:val="24"/>
          <w:szCs w:val="24"/>
        </w:rPr>
        <w:t>otežan rad žurnih službi.</w:t>
      </w:r>
    </w:p>
    <w:p w:rsidR="005C1E80" w:rsidRDefault="005C1E80" w:rsidP="005C1E80">
      <w:pPr>
        <w:rPr>
          <w:rFonts w:ascii="Aptos" w:hAnsi="Aptos"/>
          <w:sz w:val="24"/>
          <w:szCs w:val="24"/>
        </w:rPr>
      </w:pPr>
    </w:p>
    <w:p w:rsidR="005C1E80" w:rsidRDefault="005C1E80" w:rsidP="005C1E80">
      <w:pPr>
        <w:pStyle w:val="Razina3"/>
        <w:rPr>
          <w:rFonts w:ascii="Aptos" w:hAnsi="Aptos"/>
        </w:rPr>
      </w:pPr>
      <w:bookmarkStart w:id="55" w:name="_Toc118886969"/>
      <w:bookmarkStart w:id="56" w:name="_Toc210900536"/>
      <w:bookmarkStart w:id="57" w:name="_Hlk176868979"/>
      <w:bookmarkEnd w:id="48"/>
      <w:r>
        <w:rPr>
          <w:rFonts w:ascii="Aptos" w:hAnsi="Aptos"/>
        </w:rPr>
        <w:t>Matrica rizika sa uspoređenim rizicima (2018. i 2025. godina)</w:t>
      </w:r>
      <w:bookmarkEnd w:id="55"/>
      <w:bookmarkEnd w:id="56"/>
    </w:p>
    <w:bookmarkEnd w:id="57"/>
    <w:p w:rsidR="005C1E80" w:rsidRDefault="005C1E80" w:rsidP="005C1E80">
      <w:pPr>
        <w:rPr>
          <w:rFonts w:ascii="Aptos" w:hAnsi="Aptos"/>
          <w:lang w:val="en-US"/>
        </w:rPr>
      </w:pPr>
    </w:p>
    <w:p w:rsidR="005C1E80" w:rsidRDefault="005C1E80" w:rsidP="005C1E80">
      <w:pPr>
        <w:shd w:val="clear" w:color="auto" w:fill="FFFFFF" w:themeFill="background1"/>
        <w:jc w:val="both"/>
        <w:rPr>
          <w:rFonts w:ascii="Aptos" w:hAnsi="Aptos"/>
          <w:sz w:val="24"/>
          <w:szCs w:val="24"/>
        </w:rPr>
      </w:pPr>
      <w:r>
        <w:rPr>
          <w:rFonts w:ascii="Aptos" w:hAnsi="Aptos"/>
          <w:sz w:val="24"/>
          <w:szCs w:val="24"/>
        </w:rPr>
        <w:t xml:space="preserve">Osnovna podloga za izradu plana djelovanja u području prirodnih nepogoda predstavljaju utvrđeni rizici od velikih nesreća za područje Općine. </w:t>
      </w:r>
    </w:p>
    <w:p w:rsidR="005C1E80" w:rsidRDefault="005C1E80" w:rsidP="005C1E80">
      <w:pPr>
        <w:shd w:val="clear" w:color="auto" w:fill="FFFFFF" w:themeFill="background1"/>
        <w:jc w:val="both"/>
        <w:rPr>
          <w:rFonts w:ascii="Aptos" w:hAnsi="Aptos"/>
          <w:sz w:val="24"/>
          <w:szCs w:val="24"/>
        </w:rPr>
      </w:pPr>
      <w:r>
        <w:rPr>
          <w:rFonts w:ascii="Aptos" w:hAnsi="Aptos"/>
          <w:sz w:val="24"/>
          <w:szCs w:val="24"/>
        </w:rPr>
        <w:t xml:space="preserve">Prva procjena rizika od velikih nesreća za područje Općine izrađena je 2018. godine. </w:t>
      </w:r>
    </w:p>
    <w:p w:rsidR="005C1E80" w:rsidRDefault="005C1E80" w:rsidP="005C1E80">
      <w:pPr>
        <w:shd w:val="clear" w:color="auto" w:fill="FFFFFF" w:themeFill="background1"/>
        <w:spacing w:after="240"/>
        <w:rPr>
          <w:rFonts w:eastAsia="Times New Roman" w:cstheme="minorHAnsi"/>
          <w:sz w:val="24"/>
          <w:szCs w:val="24"/>
          <w:lang w:eastAsia="zh-CN"/>
        </w:rPr>
      </w:pPr>
      <w:r>
        <w:rPr>
          <w:rFonts w:ascii="Aptos" w:hAnsi="Aptos"/>
          <w:sz w:val="24"/>
          <w:szCs w:val="24"/>
        </w:rPr>
        <w:t>Navedena procjena izrađena je sukladno Smjernicama za izradu procjene rizika od velikih nesreća Brodsko-posavske županije, Klasa:</w:t>
      </w:r>
      <w:r>
        <w:rPr>
          <w:rFonts w:ascii="Aptos" w:eastAsia="Times New Roman" w:hAnsi="Aptos" w:cstheme="minorHAnsi"/>
          <w:lang w:eastAsia="zh-CN"/>
        </w:rPr>
        <w:t xml:space="preserve"> </w:t>
      </w:r>
      <w:r>
        <w:rPr>
          <w:rFonts w:ascii="Aptos" w:eastAsia="Times New Roman" w:hAnsi="Aptos" w:cstheme="minorHAnsi"/>
          <w:sz w:val="24"/>
          <w:szCs w:val="24"/>
          <w:lang w:eastAsia="zh-CN"/>
        </w:rPr>
        <w:t>KLASA: 810- 01/17-01/06, URBROJ: 2178/1-11-01-17-3 od  16.  ožujka  2017. godine</w:t>
      </w:r>
      <w:r>
        <w:rPr>
          <w:rFonts w:ascii="Aptos" w:hAnsi="Aptos"/>
          <w:sz w:val="24"/>
          <w:szCs w:val="24"/>
        </w:rPr>
        <w:t>. te je služila kao Podloga za donošenje Plana djelovanja od prirodnih nepogoda.</w:t>
      </w:r>
    </w:p>
    <w:p w:rsidR="005C1E80" w:rsidRDefault="005C1E80" w:rsidP="005C1E80">
      <w:pPr>
        <w:shd w:val="clear" w:color="auto" w:fill="FFFFFF" w:themeFill="background1"/>
        <w:spacing w:after="240"/>
        <w:jc w:val="both"/>
        <w:rPr>
          <w:rFonts w:ascii="Aptos" w:hAnsi="Aptos" w:cstheme="minorHAnsi"/>
          <w:sz w:val="24"/>
          <w:szCs w:val="24"/>
        </w:rPr>
      </w:pPr>
      <w:r>
        <w:rPr>
          <w:rFonts w:ascii="Aptos" w:hAnsi="Aptos" w:cstheme="minorHAnsi"/>
          <w:sz w:val="24"/>
          <w:szCs w:val="24"/>
        </w:rPr>
        <w:t xml:space="preserve">U skladu sa člancima 8. st. 2 i 3. Pravilnika o smjernicama za izradu procjena rizika od katastrofa i velikih nesreća za područje Republike Hrvatske i jedinica lokalne i područne (regionalne) samouprave (''Narodne novine'' broj 65/16), procjena rizika od velikih nesreća za područja jedinica lokalne samouprave izrađuju se najmanje jednom u tri godine te se njihovo usklađivanje i usvajanje mora provesti do kraja mjeseca ožujka, a županijskih do početka rujna u svakom trogodišnjem ciklusu. </w:t>
      </w:r>
    </w:p>
    <w:p w:rsidR="005C1E80" w:rsidRDefault="005C1E80" w:rsidP="005C1E80">
      <w:pPr>
        <w:shd w:val="clear" w:color="auto" w:fill="FFFFFF" w:themeFill="background1"/>
        <w:spacing w:after="240"/>
        <w:jc w:val="both"/>
        <w:rPr>
          <w:rFonts w:ascii="Aptos" w:hAnsi="Aptos" w:cstheme="minorHAnsi"/>
          <w:sz w:val="24"/>
          <w:szCs w:val="24"/>
        </w:rPr>
      </w:pPr>
      <w:bookmarkStart w:id="58" w:name="_Hlk176869040"/>
      <w:r>
        <w:rPr>
          <w:rFonts w:ascii="Aptos" w:hAnsi="Aptos" w:cstheme="minorHAnsi"/>
          <w:sz w:val="24"/>
          <w:szCs w:val="24"/>
        </w:rPr>
        <w:t>U skladu sa navedenom obvezom, Općina je 2018. i 2025 godine pristupila izradi procjeni rizika od velikih nesreća.</w:t>
      </w:r>
      <w:r>
        <w:rPr>
          <w:rFonts w:ascii="Aptos" w:hAnsi="Aptos"/>
        </w:rPr>
        <w:t xml:space="preserve"> </w:t>
      </w:r>
      <w:r>
        <w:rPr>
          <w:rFonts w:ascii="Aptos" w:hAnsi="Aptos" w:cstheme="minorHAnsi"/>
          <w:sz w:val="24"/>
          <w:szCs w:val="24"/>
        </w:rPr>
        <w:t>Vrijednost obrađenih rizika nije se promijenila, i svi rizici i dalje se nalaze u razredu tolerantnih rizika.</w:t>
      </w:r>
      <w:bookmarkEnd w:id="58"/>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pStyle w:val="Opisslike"/>
        <w:jc w:val="center"/>
        <w:rPr>
          <w:rFonts w:ascii="Aptos" w:hAnsi="Aptos"/>
        </w:rPr>
      </w:pPr>
      <w:r>
        <w:rPr>
          <w:rFonts w:ascii="Aptos" w:hAnsi="Aptos"/>
        </w:rPr>
        <w:t xml:space="preserve">Grafički prikaz </w:t>
      </w:r>
      <w:r w:rsidR="00DD1C99">
        <w:rPr>
          <w:rFonts w:ascii="Aptos" w:hAnsi="Aptos"/>
        </w:rPr>
        <w:fldChar w:fldCharType="begin"/>
      </w:r>
      <w:r>
        <w:rPr>
          <w:rFonts w:ascii="Aptos" w:hAnsi="Aptos"/>
        </w:rPr>
        <w:instrText xml:space="preserve"> SEQ Grafički_prikaz \* ARABIC </w:instrText>
      </w:r>
      <w:r w:rsidR="00DD1C99">
        <w:rPr>
          <w:rFonts w:ascii="Aptos" w:hAnsi="Aptos"/>
        </w:rPr>
        <w:fldChar w:fldCharType="separate"/>
      </w:r>
      <w:r>
        <w:rPr>
          <w:rFonts w:ascii="Aptos" w:hAnsi="Aptos"/>
        </w:rPr>
        <w:t>1</w:t>
      </w:r>
      <w:r w:rsidR="00DD1C99">
        <w:rPr>
          <w:rFonts w:ascii="Aptos" w:hAnsi="Aptos"/>
        </w:rPr>
        <w:fldChar w:fldCharType="end"/>
      </w:r>
      <w:r>
        <w:rPr>
          <w:rFonts w:ascii="Aptos" w:hAnsi="Aptos"/>
        </w:rPr>
        <w:t>:  Matrica rizika sa uspoređenim rizicima 2018. godine</w:t>
      </w:r>
    </w:p>
    <w:tbl>
      <w:tblPr>
        <w:tblW w:w="998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42"/>
        <w:gridCol w:w="426"/>
        <w:gridCol w:w="637"/>
        <w:gridCol w:w="1615"/>
        <w:gridCol w:w="1433"/>
        <w:gridCol w:w="1701"/>
        <w:gridCol w:w="1559"/>
        <w:gridCol w:w="1475"/>
      </w:tblGrid>
      <w:tr w:rsidR="005C1E80" w:rsidTr="00F57898">
        <w:trPr>
          <w:trHeight w:val="1107"/>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Katastrofalne </w:t>
            </w:r>
          </w:p>
        </w:tc>
        <w:tc>
          <w:tcPr>
            <w:tcW w:w="426" w:type="dxa"/>
            <w:vMerge w:val="restart"/>
            <w:tcBorders>
              <w:top w:val="single" w:sz="6" w:space="0" w:color="auto"/>
              <w:left w:val="single" w:sz="6" w:space="0" w:color="auto"/>
              <w:bottom w:val="nil"/>
              <w:right w:val="single" w:sz="6" w:space="0" w:color="auto"/>
            </w:tcBorders>
            <w:shd w:val="clear" w:color="auto" w:fill="BFBFBF" w:themeFill="background1" w:themeFillShade="BF"/>
            <w:textDirection w:val="btLr"/>
            <w:vAlign w:val="center"/>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i/>
                <w:iCs/>
              </w:rPr>
              <w:t>Posljedice</w:t>
            </w:r>
            <w:r>
              <w:rPr>
                <w:rFonts w:ascii="Calibri" w:hAnsi="Calibri"/>
              </w:rPr>
              <w:t> </w:t>
            </w: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5</w:t>
            </w:r>
          </w:p>
        </w:tc>
        <w:tc>
          <w:tcPr>
            <w:tcW w:w="1615"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701"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559"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75"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r>
      <w:tr w:rsidR="005C1E80" w:rsidTr="00F57898">
        <w:trPr>
          <w:trHeight w:val="1123"/>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Značajne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4</w:t>
            </w:r>
          </w:p>
        </w:tc>
        <w:tc>
          <w:tcPr>
            <w:tcW w:w="1615"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Calibri" w:hAnsi="Calibri"/>
                <w:b/>
                <w:sz w:val="16"/>
                <w:szCs w:val="16"/>
              </w:rPr>
            </w:pP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Potres</w:t>
            </w:r>
          </w:p>
          <w:p w:rsidR="005C1E80" w:rsidRDefault="005C1E80" w:rsidP="00F57898">
            <w:pPr>
              <w:spacing w:beforeAutospacing="1" w:afterAutospacing="1"/>
              <w:textAlignment w:val="baseline"/>
              <w:rPr>
                <w:rFonts w:ascii="Times New Roman" w:hAnsi="Times New Roman"/>
              </w:rPr>
            </w:pPr>
          </w:p>
        </w:tc>
        <w:tc>
          <w:tcPr>
            <w:tcW w:w="1433"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rsidR="005C1E80" w:rsidRDefault="005C1E80" w:rsidP="00F57898">
            <w:pPr>
              <w:spacing w:beforeAutospacing="1" w:afterAutospacing="1"/>
              <w:textAlignment w:val="baseline"/>
            </w:pPr>
          </w:p>
        </w:tc>
        <w:tc>
          <w:tcPr>
            <w:tcW w:w="1559" w:type="dxa"/>
            <w:tcBorders>
              <w:top w:val="single" w:sz="6" w:space="0" w:color="auto"/>
              <w:left w:val="single" w:sz="6" w:space="0" w:color="auto"/>
              <w:bottom w:val="single" w:sz="6" w:space="0" w:color="auto"/>
              <w:right w:val="single" w:sz="6" w:space="0" w:color="auto"/>
            </w:tcBorders>
            <w:shd w:val="clear" w:color="auto" w:fill="FF0000"/>
            <w:vAlign w:val="center"/>
          </w:tcPr>
          <w:p w:rsidR="005C1E80" w:rsidRDefault="005C1E80" w:rsidP="00F57898">
            <w:pPr>
              <w:spacing w:beforeAutospacing="1" w:afterAutospacing="1"/>
              <w:textAlignment w:val="baseline"/>
              <w:rPr>
                <w:rFonts w:ascii="Times New Roman" w:hAnsi="Times New Roman"/>
              </w:rPr>
            </w:pPr>
          </w:p>
        </w:tc>
        <w:tc>
          <w:tcPr>
            <w:tcW w:w="1475"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p>
        </w:tc>
      </w:tr>
      <w:tr w:rsidR="005C1E80" w:rsidTr="00F57898">
        <w:trPr>
          <w:trHeight w:val="1239"/>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Umjerene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3</w:t>
            </w:r>
          </w:p>
        </w:tc>
        <w:tc>
          <w:tcPr>
            <w:tcW w:w="1615"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Nesreće s opasnim tvarima industrijske nesreće</w:t>
            </w: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Nesreće s opasnim tvarima željeznički promet</w:t>
            </w: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Nesreće s opasnim tvarima cestovni promet</w:t>
            </w:r>
          </w:p>
        </w:tc>
        <w:tc>
          <w:tcPr>
            <w:tcW w:w="1433"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Times New Roman" w:hAnsi="Times New Roman"/>
                <w:sz w:val="16"/>
                <w:szCs w:val="16"/>
              </w:rPr>
            </w:pPr>
          </w:p>
        </w:tc>
        <w:tc>
          <w:tcPr>
            <w:tcW w:w="1701"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Poplave izazvane izlijevanjem kopnenih vodenih tijela</w:t>
            </w: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Epidemija i pandemija</w:t>
            </w:r>
          </w:p>
          <w:p w:rsidR="005C1E80" w:rsidRDefault="005C1E80" w:rsidP="00F57898">
            <w:pPr>
              <w:spacing w:beforeAutospacing="1" w:afterAutospacing="1"/>
              <w:textAlignment w:val="baseline"/>
              <w:rPr>
                <w:rFonts w:ascii="Times New Roman" w:hAnsi="Times New Roman"/>
                <w:sz w:val="16"/>
                <w:szCs w:val="16"/>
              </w:rPr>
            </w:pPr>
            <w:r>
              <w:rPr>
                <w:rFonts w:ascii="Calibri" w:hAnsi="Calibri"/>
                <w:b/>
                <w:sz w:val="16"/>
                <w:szCs w:val="16"/>
              </w:rPr>
              <w:t>X Tuča</w:t>
            </w:r>
          </w:p>
        </w:tc>
        <w:tc>
          <w:tcPr>
            <w:tcW w:w="1559"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sz w:val="16"/>
                <w:szCs w:val="16"/>
              </w:rPr>
              <w:t> </w:t>
            </w:r>
            <w:r>
              <w:rPr>
                <w:rFonts w:ascii="Calibri" w:hAnsi="Calibri"/>
                <w:b/>
                <w:sz w:val="16"/>
                <w:szCs w:val="16"/>
              </w:rPr>
              <w:t>X Toplinski val</w:t>
            </w:r>
          </w:p>
          <w:p w:rsidR="005C1E80" w:rsidRDefault="005C1E80" w:rsidP="00F57898">
            <w:pPr>
              <w:spacing w:beforeAutospacing="1" w:afterAutospacing="1"/>
              <w:textAlignment w:val="baseline"/>
              <w:rPr>
                <w:rFonts w:ascii="Times New Roman" w:hAnsi="Times New Roman"/>
                <w:sz w:val="16"/>
                <w:szCs w:val="16"/>
              </w:rPr>
            </w:pPr>
          </w:p>
        </w:tc>
        <w:tc>
          <w:tcPr>
            <w:tcW w:w="1475"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cstheme="minorHAnsi"/>
                <w:sz w:val="18"/>
                <w:szCs w:val="18"/>
              </w:rPr>
            </w:pPr>
          </w:p>
        </w:tc>
      </w:tr>
      <w:tr w:rsidR="005C1E80" w:rsidTr="00F57898">
        <w:trPr>
          <w:trHeight w:val="1257"/>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Malene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2</w:t>
            </w:r>
          </w:p>
        </w:tc>
        <w:tc>
          <w:tcPr>
            <w:tcW w:w="1615" w:type="dxa"/>
            <w:tcBorders>
              <w:top w:val="single" w:sz="6" w:space="0" w:color="auto"/>
              <w:left w:val="single" w:sz="6" w:space="0" w:color="auto"/>
              <w:bottom w:val="single" w:sz="6" w:space="0" w:color="auto"/>
              <w:right w:val="single" w:sz="6" w:space="0" w:color="auto"/>
            </w:tcBorders>
            <w:shd w:val="clear" w:color="auto" w:fill="00B050"/>
            <w:vAlign w:val="center"/>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Times New Roman" w:hAnsi="Times New Roman"/>
                <w:b/>
              </w:rPr>
            </w:pPr>
            <w:r>
              <w:rPr>
                <w:rFonts w:ascii="Calibri" w:hAnsi="Calibri"/>
                <w:b/>
                <w:sz w:val="28"/>
                <w:szCs w:val="28"/>
              </w:rPr>
              <w:t> </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Mraz</w:t>
            </w:r>
          </w:p>
          <w:p w:rsidR="005C1E80" w:rsidRDefault="005C1E80" w:rsidP="00F57898">
            <w:pPr>
              <w:spacing w:beforeAutospacing="1" w:afterAutospacing="1"/>
              <w:textAlignment w:val="baseline"/>
              <w:rPr>
                <w:rFonts w:ascii="Times New Roman" w:hAnsi="Times New Roman"/>
                <w:b/>
              </w:rPr>
            </w:pPr>
            <w:r>
              <w:rPr>
                <w:rFonts w:ascii="Calibri" w:hAnsi="Calibri"/>
                <w:b/>
                <w:sz w:val="16"/>
                <w:szCs w:val="16"/>
              </w:rPr>
              <w:t>X Suša</w:t>
            </w:r>
          </w:p>
        </w:tc>
        <w:tc>
          <w:tcPr>
            <w:tcW w:w="1559"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Times New Roman" w:hAnsi="Times New Roman"/>
                <w:b/>
              </w:rPr>
            </w:pPr>
            <w:r>
              <w:rPr>
                <w:rFonts w:ascii="Calibri" w:hAnsi="Calibri"/>
                <w:b/>
                <w:sz w:val="16"/>
                <w:szCs w:val="16"/>
              </w:rPr>
              <w:t> </w:t>
            </w:r>
          </w:p>
        </w:tc>
        <w:tc>
          <w:tcPr>
            <w:tcW w:w="1475"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p>
        </w:tc>
      </w:tr>
      <w:tr w:rsidR="005C1E80" w:rsidTr="00F57898">
        <w:trPr>
          <w:trHeight w:val="1431"/>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lastRenderedPageBreak/>
              <w:t>Neznatne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1</w:t>
            </w:r>
          </w:p>
        </w:tc>
        <w:tc>
          <w:tcPr>
            <w:tcW w:w="1615"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r>
              <w:rPr>
                <w:rFonts w:ascii="Calibri" w:hAnsi="Calibri"/>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tc>
        <w:tc>
          <w:tcPr>
            <w:tcW w:w="1559"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75"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r>
      <w:tr w:rsidR="005C1E80" w:rsidTr="00F57898">
        <w:trPr>
          <w:trHeight w:val="405"/>
          <w:jc w:val="center"/>
        </w:trPr>
        <w:tc>
          <w:tcPr>
            <w:tcW w:w="1142"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5C1E80" w:rsidRDefault="005C1E80" w:rsidP="00F57898">
            <w:pPr>
              <w:spacing w:beforeAutospacing="1" w:afterAutospacing="1"/>
              <w:textAlignment w:val="baseline"/>
              <w:rPr>
                <w:rFonts w:ascii="Times New Roman" w:hAnsi="Times New Roman"/>
              </w:rPr>
            </w:pPr>
            <w:r>
              <w:rPr>
                <w:rFonts w:ascii="Calibri" w:hAnsi="Calibri"/>
                <w:b/>
                <w:bCs/>
                <w:i/>
                <w:iCs/>
                <w:sz w:val="28"/>
                <w:szCs w:val="28"/>
              </w:rPr>
              <w:t>Rizik</w:t>
            </w:r>
            <w:r>
              <w:rPr>
                <w:rFonts w:ascii="Calibri" w:hAnsi="Calibri"/>
                <w:sz w:val="28"/>
                <w:szCs w:val="28"/>
              </w:rPr>
              <w:t>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615"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1</w:t>
            </w:r>
          </w:p>
        </w:tc>
        <w:tc>
          <w:tcPr>
            <w:tcW w:w="1433"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2</w:t>
            </w:r>
          </w:p>
        </w:tc>
        <w:tc>
          <w:tcPr>
            <w:tcW w:w="1701"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3</w:t>
            </w:r>
          </w:p>
        </w:tc>
        <w:tc>
          <w:tcPr>
            <w:tcW w:w="1559"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4</w:t>
            </w:r>
          </w:p>
        </w:tc>
        <w:tc>
          <w:tcPr>
            <w:tcW w:w="1475"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5</w:t>
            </w:r>
          </w:p>
        </w:tc>
      </w:tr>
      <w:tr w:rsidR="005C1E80" w:rsidTr="00F57898">
        <w:trPr>
          <w:trHeight w:val="268"/>
          <w:jc w:val="center"/>
        </w:trPr>
        <w:tc>
          <w:tcPr>
            <w:tcW w:w="1142"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8846" w:type="dxa"/>
            <w:gridSpan w:val="7"/>
            <w:tcBorders>
              <w:top w:val="nil"/>
              <w:left w:val="single" w:sz="6" w:space="0" w:color="auto"/>
              <w:bottom w:val="single" w:sz="6" w:space="0" w:color="auto"/>
              <w:right w:val="single" w:sz="6" w:space="0" w:color="auto"/>
            </w:tcBorders>
            <w:shd w:val="clear" w:color="auto" w:fill="BFBFBF" w:themeFill="background1" w:themeFillShade="BF"/>
          </w:tcPr>
          <w:p w:rsidR="005C1E80" w:rsidRDefault="005C1E80" w:rsidP="00F57898">
            <w:pPr>
              <w:spacing w:beforeAutospacing="1" w:afterAutospacing="1"/>
              <w:jc w:val="center"/>
              <w:textAlignment w:val="baseline"/>
              <w:rPr>
                <w:rFonts w:ascii="Times New Roman" w:hAnsi="Times New Roman"/>
              </w:rPr>
            </w:pPr>
            <w:r>
              <w:rPr>
                <w:rFonts w:ascii="Calibri" w:hAnsi="Calibri"/>
                <w:i/>
                <w:iCs/>
              </w:rPr>
              <w:t>Vjerojatnost</w:t>
            </w:r>
            <w:r>
              <w:rPr>
                <w:rFonts w:ascii="Calibri" w:hAnsi="Calibri"/>
              </w:rPr>
              <w:t> </w:t>
            </w: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0"/>
              </w:rPr>
              <w:t>Vrlo visok  </w:t>
            </w:r>
          </w:p>
        </w:tc>
        <w:tc>
          <w:tcPr>
            <w:tcW w:w="1063"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615"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Iznimno mala </w:t>
            </w:r>
          </w:p>
        </w:tc>
        <w:tc>
          <w:tcPr>
            <w:tcW w:w="1433"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Mala </w:t>
            </w:r>
          </w:p>
        </w:tc>
        <w:tc>
          <w:tcPr>
            <w:tcW w:w="1701"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Umjerena  </w:t>
            </w:r>
          </w:p>
        </w:tc>
        <w:tc>
          <w:tcPr>
            <w:tcW w:w="1559"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Velika </w:t>
            </w:r>
          </w:p>
        </w:tc>
        <w:tc>
          <w:tcPr>
            <w:tcW w:w="1475"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Iznimno velika </w:t>
            </w: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Times New Roman" w:hAnsi="Times New Roman"/>
              </w:rPr>
            </w:pPr>
            <w:r>
              <w:rPr>
                <w:rFonts w:ascii="Calibri" w:hAnsi="Calibri"/>
                <w:sz w:val="20"/>
              </w:rPr>
              <w:t>Visok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r>
              <w:rPr>
                <w:rFonts w:ascii="Calibri" w:hAnsi="Calibri"/>
                <w:sz w:val="20"/>
              </w:rPr>
              <w:t>Umjeren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r w:rsidR="005C1E80" w:rsidTr="00F57898">
        <w:trPr>
          <w:trHeight w:val="273"/>
          <w:jc w:val="center"/>
        </w:trPr>
        <w:tc>
          <w:tcPr>
            <w:tcW w:w="1142"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0"/>
              </w:rPr>
              <w:t>Nizak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bl>
    <w:p w:rsidR="005C1E80" w:rsidRDefault="005C1E80" w:rsidP="005C1E80">
      <w:pPr>
        <w:pStyle w:val="Opisslike"/>
        <w:jc w:val="center"/>
        <w:rPr>
          <w:rFonts w:ascii="Aptos" w:hAnsi="Aptos"/>
          <w:lang w:val="en-US"/>
        </w:rPr>
      </w:pPr>
      <w:r>
        <w:rPr>
          <w:rFonts w:ascii="Aptos" w:hAnsi="Aptos"/>
          <w:lang w:val="en-US"/>
        </w:rPr>
        <w:t>Izvor: Procjena rizika od velikih nesreća, 2018. Godina</w:t>
      </w:r>
    </w:p>
    <w:p w:rsidR="005C1E80" w:rsidRDefault="005C1E80" w:rsidP="005C1E80"/>
    <w:p w:rsidR="005C1E80" w:rsidRDefault="005C1E80" w:rsidP="005C1E80"/>
    <w:p w:rsidR="005C1E80" w:rsidRDefault="005C1E80" w:rsidP="005C1E80"/>
    <w:p w:rsidR="005C1E80" w:rsidRDefault="005C1E80" w:rsidP="005C1E80"/>
    <w:p w:rsidR="005C1E80" w:rsidRDefault="005C1E80" w:rsidP="005C1E80"/>
    <w:p w:rsidR="005C1E80" w:rsidRDefault="005C1E80" w:rsidP="005C1E80">
      <w:pPr>
        <w:rPr>
          <w:lang w:val="en-US"/>
        </w:rPr>
      </w:pPr>
    </w:p>
    <w:p w:rsidR="005C1E80" w:rsidRDefault="005C1E80" w:rsidP="005C1E80">
      <w:pPr>
        <w:rPr>
          <w:lang w:val="en-US"/>
        </w:rPr>
      </w:pPr>
    </w:p>
    <w:p w:rsidR="005C1E80" w:rsidRDefault="005C1E80" w:rsidP="005C1E80">
      <w:pPr>
        <w:pStyle w:val="Opisslike"/>
        <w:jc w:val="center"/>
        <w:rPr>
          <w:rFonts w:ascii="Aptos" w:hAnsi="Aptos" w:cstheme="minorHAnsi"/>
          <w:color w:val="FFC000"/>
          <w:sz w:val="24"/>
          <w:szCs w:val="24"/>
        </w:rPr>
      </w:pPr>
      <w:r>
        <w:rPr>
          <w:rFonts w:ascii="Aptos" w:hAnsi="Aptos"/>
        </w:rPr>
        <w:t xml:space="preserve">Grafički prikaz </w:t>
      </w:r>
      <w:r w:rsidR="00DD1C99">
        <w:rPr>
          <w:rFonts w:ascii="Aptos" w:hAnsi="Aptos"/>
        </w:rPr>
        <w:fldChar w:fldCharType="begin"/>
      </w:r>
      <w:r>
        <w:rPr>
          <w:rFonts w:ascii="Aptos" w:hAnsi="Aptos"/>
        </w:rPr>
        <w:instrText xml:space="preserve"> SEQ Grafički_prikaz \* ARABIC </w:instrText>
      </w:r>
      <w:r w:rsidR="00DD1C99">
        <w:rPr>
          <w:rFonts w:ascii="Aptos" w:hAnsi="Aptos"/>
        </w:rPr>
        <w:fldChar w:fldCharType="separate"/>
      </w:r>
      <w:r>
        <w:rPr>
          <w:rFonts w:ascii="Aptos" w:hAnsi="Aptos"/>
        </w:rPr>
        <w:t>2</w:t>
      </w:r>
      <w:r w:rsidR="00DD1C99">
        <w:rPr>
          <w:rFonts w:ascii="Aptos" w:hAnsi="Aptos"/>
        </w:rPr>
        <w:fldChar w:fldCharType="end"/>
      </w:r>
      <w:r>
        <w:rPr>
          <w:rFonts w:ascii="Aptos" w:hAnsi="Aptos"/>
        </w:rPr>
        <w:t>: Matrica rizika sa uspoređenim rizicima 2025. godine</w:t>
      </w:r>
    </w:p>
    <w:tbl>
      <w:tblPr>
        <w:tblW w:w="9988"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142"/>
        <w:gridCol w:w="426"/>
        <w:gridCol w:w="637"/>
        <w:gridCol w:w="1615"/>
        <w:gridCol w:w="1433"/>
        <w:gridCol w:w="1701"/>
        <w:gridCol w:w="1559"/>
        <w:gridCol w:w="1475"/>
      </w:tblGrid>
      <w:tr w:rsidR="005C1E80" w:rsidTr="00F57898">
        <w:trPr>
          <w:trHeight w:val="1107"/>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Katastrofalne </w:t>
            </w:r>
          </w:p>
        </w:tc>
        <w:tc>
          <w:tcPr>
            <w:tcW w:w="426" w:type="dxa"/>
            <w:vMerge w:val="restart"/>
            <w:tcBorders>
              <w:top w:val="single" w:sz="6" w:space="0" w:color="auto"/>
              <w:left w:val="single" w:sz="6" w:space="0" w:color="auto"/>
              <w:bottom w:val="nil"/>
              <w:right w:val="single" w:sz="6" w:space="0" w:color="auto"/>
            </w:tcBorders>
            <w:shd w:val="clear" w:color="auto" w:fill="BFBFBF" w:themeFill="background1" w:themeFillShade="BF"/>
            <w:textDirection w:val="btLr"/>
            <w:vAlign w:val="center"/>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i/>
                <w:iCs/>
              </w:rPr>
              <w:t>Posljedice</w:t>
            </w:r>
            <w:r>
              <w:rPr>
                <w:rFonts w:ascii="Calibri" w:hAnsi="Calibri"/>
              </w:rPr>
              <w:t> </w:t>
            </w: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5</w:t>
            </w:r>
          </w:p>
        </w:tc>
        <w:tc>
          <w:tcPr>
            <w:tcW w:w="1615"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701"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559"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75"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r>
      <w:tr w:rsidR="005C1E80" w:rsidTr="00F57898">
        <w:trPr>
          <w:trHeight w:val="1123"/>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Značajne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4</w:t>
            </w:r>
          </w:p>
        </w:tc>
        <w:tc>
          <w:tcPr>
            <w:tcW w:w="1615"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Calibri" w:hAnsi="Calibri"/>
                <w:b/>
                <w:sz w:val="16"/>
                <w:szCs w:val="16"/>
              </w:rPr>
            </w:pPr>
          </w:p>
          <w:p w:rsidR="005C1E80" w:rsidRDefault="005C1E80" w:rsidP="00F57898">
            <w:pPr>
              <w:spacing w:beforeAutospacing="1" w:afterAutospacing="1"/>
              <w:textAlignment w:val="baseline"/>
              <w:rPr>
                <w:rFonts w:ascii="Times New Roman" w:hAnsi="Times New Roman"/>
              </w:rPr>
            </w:pPr>
          </w:p>
        </w:tc>
        <w:tc>
          <w:tcPr>
            <w:tcW w:w="1433"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Times New Roman" w:hAnsi="Times New Roman"/>
              </w:rPr>
            </w:pPr>
          </w:p>
        </w:tc>
        <w:tc>
          <w:tcPr>
            <w:tcW w:w="1701" w:type="dxa"/>
            <w:tcBorders>
              <w:top w:val="single" w:sz="6" w:space="0" w:color="auto"/>
              <w:left w:val="single" w:sz="6" w:space="0" w:color="auto"/>
              <w:bottom w:val="single" w:sz="6" w:space="0" w:color="auto"/>
              <w:right w:val="single" w:sz="6" w:space="0" w:color="auto"/>
            </w:tcBorders>
            <w:shd w:val="clear" w:color="auto" w:fill="FF0000"/>
            <w:vAlign w:val="center"/>
          </w:tcPr>
          <w:p w:rsidR="005C1E80" w:rsidRDefault="005C1E80" w:rsidP="00F57898">
            <w:pPr>
              <w:spacing w:beforeAutospacing="1" w:afterAutospacing="1"/>
              <w:textAlignment w:val="baseline"/>
            </w:pPr>
          </w:p>
        </w:tc>
        <w:tc>
          <w:tcPr>
            <w:tcW w:w="1559" w:type="dxa"/>
            <w:tcBorders>
              <w:top w:val="single" w:sz="6" w:space="0" w:color="auto"/>
              <w:left w:val="single" w:sz="6" w:space="0" w:color="auto"/>
              <w:bottom w:val="single" w:sz="6" w:space="0" w:color="auto"/>
              <w:right w:val="single" w:sz="6" w:space="0" w:color="auto"/>
            </w:tcBorders>
            <w:shd w:val="clear" w:color="auto" w:fill="FF0000"/>
            <w:vAlign w:val="center"/>
          </w:tcPr>
          <w:p w:rsidR="005C1E80" w:rsidRDefault="005C1E80" w:rsidP="00F57898">
            <w:pPr>
              <w:spacing w:beforeAutospacing="1" w:afterAutospacing="1"/>
              <w:textAlignment w:val="baseline"/>
              <w:rPr>
                <w:rFonts w:ascii="Times New Roman" w:hAnsi="Times New Roman"/>
              </w:rPr>
            </w:pPr>
          </w:p>
        </w:tc>
        <w:tc>
          <w:tcPr>
            <w:tcW w:w="1475"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p>
        </w:tc>
      </w:tr>
      <w:tr w:rsidR="005C1E80" w:rsidTr="00F57898">
        <w:trPr>
          <w:trHeight w:val="1239"/>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Umjerene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3</w:t>
            </w:r>
          </w:p>
        </w:tc>
        <w:tc>
          <w:tcPr>
            <w:tcW w:w="1615"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Nesreće s opasnim tvarima industrijske nesreće</w:t>
            </w: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Nesreće s opasnim tvarima željeznički promet</w:t>
            </w: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Nesreće s opasnim tvarima cestovni promet</w:t>
            </w:r>
          </w:p>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Potres</w:t>
            </w:r>
          </w:p>
          <w:p w:rsidR="005C1E80" w:rsidRDefault="005C1E80" w:rsidP="00F57898">
            <w:pPr>
              <w:spacing w:beforeAutospacing="1" w:afterAutospacing="1"/>
              <w:textAlignment w:val="baseline"/>
              <w:rPr>
                <w:rFonts w:ascii="Calibri" w:hAnsi="Calibri"/>
                <w:b/>
                <w:sz w:val="16"/>
                <w:szCs w:val="16"/>
              </w:rPr>
            </w:pPr>
          </w:p>
        </w:tc>
        <w:tc>
          <w:tcPr>
            <w:tcW w:w="1433"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Times New Roman" w:hAnsi="Times New Roman"/>
                <w:sz w:val="16"/>
                <w:szCs w:val="16"/>
              </w:rPr>
            </w:pPr>
          </w:p>
        </w:tc>
        <w:tc>
          <w:tcPr>
            <w:tcW w:w="1701"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Poplave izazvane izlijevanjem kopnenih vodenih tijela</w:t>
            </w:r>
          </w:p>
          <w:p w:rsidR="005C1E80" w:rsidRDefault="005C1E80" w:rsidP="00F57898">
            <w:pPr>
              <w:spacing w:beforeAutospacing="1" w:afterAutospacing="1"/>
              <w:textAlignment w:val="baseline"/>
              <w:rPr>
                <w:rFonts w:ascii="Times New Roman" w:hAnsi="Times New Roman"/>
                <w:sz w:val="16"/>
                <w:szCs w:val="16"/>
              </w:rPr>
            </w:pPr>
            <w:r>
              <w:rPr>
                <w:rFonts w:ascii="Calibri" w:hAnsi="Calibri"/>
                <w:b/>
                <w:sz w:val="16"/>
                <w:szCs w:val="16"/>
              </w:rPr>
              <w:t>X Tuča</w:t>
            </w:r>
          </w:p>
        </w:tc>
        <w:tc>
          <w:tcPr>
            <w:tcW w:w="1559" w:type="dxa"/>
            <w:tcBorders>
              <w:top w:val="single" w:sz="6" w:space="0" w:color="auto"/>
              <w:left w:val="single" w:sz="6" w:space="0" w:color="auto"/>
              <w:bottom w:val="single" w:sz="6" w:space="0" w:color="auto"/>
              <w:right w:val="single" w:sz="6" w:space="0" w:color="auto"/>
            </w:tcBorders>
            <w:shd w:val="clear" w:color="auto" w:fill="FFC0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sz w:val="16"/>
                <w:szCs w:val="16"/>
              </w:rPr>
              <w:t> </w:t>
            </w:r>
            <w:r>
              <w:rPr>
                <w:rFonts w:ascii="Calibri" w:hAnsi="Calibri"/>
                <w:b/>
                <w:sz w:val="16"/>
                <w:szCs w:val="16"/>
              </w:rPr>
              <w:t>X Toplinski val</w:t>
            </w:r>
          </w:p>
          <w:p w:rsidR="005C1E80" w:rsidRDefault="005C1E80" w:rsidP="00F57898">
            <w:pPr>
              <w:spacing w:beforeAutospacing="1" w:afterAutospacing="1"/>
              <w:textAlignment w:val="baseline"/>
              <w:rPr>
                <w:rFonts w:ascii="Times New Roman" w:hAnsi="Times New Roman"/>
                <w:sz w:val="16"/>
                <w:szCs w:val="16"/>
              </w:rPr>
            </w:pPr>
          </w:p>
        </w:tc>
        <w:tc>
          <w:tcPr>
            <w:tcW w:w="1475"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Epidemija i pandemija</w:t>
            </w:r>
          </w:p>
          <w:p w:rsidR="005C1E80" w:rsidRDefault="005C1E80" w:rsidP="00F57898">
            <w:pPr>
              <w:spacing w:beforeAutospacing="1" w:afterAutospacing="1"/>
              <w:textAlignment w:val="baseline"/>
              <w:rPr>
                <w:rFonts w:cstheme="minorHAnsi"/>
                <w:sz w:val="18"/>
                <w:szCs w:val="18"/>
              </w:rPr>
            </w:pPr>
          </w:p>
        </w:tc>
      </w:tr>
      <w:tr w:rsidR="005C1E80" w:rsidTr="00F57898">
        <w:trPr>
          <w:trHeight w:val="1257"/>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lastRenderedPageBreak/>
              <w:t>Malene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2</w:t>
            </w:r>
          </w:p>
        </w:tc>
        <w:tc>
          <w:tcPr>
            <w:tcW w:w="1615" w:type="dxa"/>
            <w:tcBorders>
              <w:top w:val="single" w:sz="6" w:space="0" w:color="auto"/>
              <w:left w:val="single" w:sz="6" w:space="0" w:color="auto"/>
              <w:bottom w:val="single" w:sz="6" w:space="0" w:color="auto"/>
              <w:right w:val="single" w:sz="6" w:space="0" w:color="auto"/>
            </w:tcBorders>
            <w:shd w:val="clear" w:color="auto" w:fill="00B050"/>
            <w:vAlign w:val="center"/>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Times New Roman" w:hAnsi="Times New Roman"/>
                <w:b/>
              </w:rPr>
            </w:pPr>
            <w:r>
              <w:rPr>
                <w:rFonts w:ascii="Calibri" w:hAnsi="Calibri"/>
                <w:b/>
                <w:sz w:val="28"/>
                <w:szCs w:val="28"/>
              </w:rPr>
              <w:t> </w:t>
            </w:r>
          </w:p>
        </w:tc>
        <w:tc>
          <w:tcPr>
            <w:tcW w:w="1701"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Calibri" w:hAnsi="Calibri"/>
                <w:b/>
                <w:sz w:val="16"/>
                <w:szCs w:val="16"/>
              </w:rPr>
            </w:pPr>
            <w:r>
              <w:rPr>
                <w:rFonts w:ascii="Calibri" w:hAnsi="Calibri"/>
                <w:b/>
                <w:sz w:val="16"/>
                <w:szCs w:val="16"/>
              </w:rPr>
              <w:t>X Mraz</w:t>
            </w:r>
          </w:p>
          <w:p w:rsidR="005C1E80" w:rsidRDefault="005C1E80" w:rsidP="00F57898">
            <w:pPr>
              <w:spacing w:beforeAutospacing="1" w:afterAutospacing="1"/>
              <w:textAlignment w:val="baseline"/>
              <w:rPr>
                <w:rFonts w:ascii="Times New Roman" w:hAnsi="Times New Roman"/>
                <w:b/>
              </w:rPr>
            </w:pPr>
            <w:r>
              <w:rPr>
                <w:rFonts w:ascii="Calibri" w:hAnsi="Calibri"/>
                <w:b/>
                <w:sz w:val="16"/>
                <w:szCs w:val="16"/>
              </w:rPr>
              <w:t>X Suša</w:t>
            </w:r>
          </w:p>
        </w:tc>
        <w:tc>
          <w:tcPr>
            <w:tcW w:w="1559" w:type="dxa"/>
            <w:tcBorders>
              <w:top w:val="single" w:sz="6" w:space="0" w:color="auto"/>
              <w:left w:val="single" w:sz="6" w:space="0" w:color="auto"/>
              <w:bottom w:val="single" w:sz="6" w:space="0" w:color="auto"/>
              <w:right w:val="single" w:sz="6" w:space="0" w:color="auto"/>
            </w:tcBorders>
            <w:shd w:val="clear" w:color="auto" w:fill="FFFF00"/>
            <w:vAlign w:val="center"/>
          </w:tcPr>
          <w:p w:rsidR="005C1E80" w:rsidRDefault="005C1E80" w:rsidP="00F57898">
            <w:pPr>
              <w:spacing w:beforeAutospacing="1" w:afterAutospacing="1"/>
              <w:textAlignment w:val="baseline"/>
              <w:rPr>
                <w:rFonts w:ascii="Times New Roman" w:hAnsi="Times New Roman"/>
                <w:b/>
              </w:rPr>
            </w:pPr>
            <w:r>
              <w:rPr>
                <w:rFonts w:ascii="Calibri" w:hAnsi="Calibri"/>
                <w:b/>
                <w:sz w:val="16"/>
                <w:szCs w:val="16"/>
              </w:rPr>
              <w:t> </w:t>
            </w:r>
          </w:p>
        </w:tc>
        <w:tc>
          <w:tcPr>
            <w:tcW w:w="1475"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p>
        </w:tc>
      </w:tr>
      <w:tr w:rsidR="005C1E80" w:rsidTr="00F57898">
        <w:trPr>
          <w:trHeight w:val="1431"/>
          <w:jc w:val="center"/>
        </w:trPr>
        <w:tc>
          <w:tcPr>
            <w:tcW w:w="1142"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18"/>
                <w:szCs w:val="18"/>
              </w:rPr>
              <w:t>Neznatne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1</w:t>
            </w:r>
          </w:p>
        </w:tc>
        <w:tc>
          <w:tcPr>
            <w:tcW w:w="1615"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33"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r>
              <w:rPr>
                <w:rFonts w:ascii="Calibri" w:hAnsi="Calibri"/>
                <w:sz w:val="16"/>
                <w:szCs w:val="16"/>
              </w:rPr>
              <w:t> </w:t>
            </w:r>
          </w:p>
        </w:tc>
        <w:tc>
          <w:tcPr>
            <w:tcW w:w="1701"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tc>
        <w:tc>
          <w:tcPr>
            <w:tcW w:w="1559"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475"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r>
      <w:tr w:rsidR="005C1E80" w:rsidTr="00F57898">
        <w:trPr>
          <w:trHeight w:val="405"/>
          <w:jc w:val="center"/>
        </w:trPr>
        <w:tc>
          <w:tcPr>
            <w:tcW w:w="1142" w:type="dxa"/>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5C1E80" w:rsidRDefault="005C1E80" w:rsidP="00F57898">
            <w:pPr>
              <w:spacing w:beforeAutospacing="1" w:afterAutospacing="1"/>
              <w:textAlignment w:val="baseline"/>
              <w:rPr>
                <w:rFonts w:ascii="Times New Roman" w:hAnsi="Times New Roman"/>
              </w:rPr>
            </w:pPr>
            <w:r>
              <w:rPr>
                <w:rFonts w:ascii="Calibri" w:hAnsi="Calibri"/>
                <w:b/>
                <w:bCs/>
                <w:i/>
                <w:iCs/>
                <w:sz w:val="28"/>
                <w:szCs w:val="28"/>
              </w:rPr>
              <w:t>Rizik</w:t>
            </w:r>
            <w:r>
              <w:rPr>
                <w:rFonts w:ascii="Calibri" w:hAnsi="Calibri"/>
                <w:sz w:val="28"/>
                <w:szCs w:val="28"/>
              </w:rPr>
              <w:t> </w:t>
            </w:r>
          </w:p>
        </w:tc>
        <w:tc>
          <w:tcPr>
            <w:tcW w:w="426" w:type="dxa"/>
            <w:vMerge/>
            <w:tcBorders>
              <w:top w:val="single" w:sz="6" w:space="0" w:color="auto"/>
              <w:left w:val="single" w:sz="6" w:space="0" w:color="auto"/>
              <w:bottom w:val="nil"/>
              <w:right w:val="single" w:sz="6" w:space="0" w:color="auto"/>
            </w:tcBorders>
            <w:shd w:val="clear" w:color="auto" w:fill="BFBFBF" w:themeFill="background1" w:themeFillShade="BF"/>
            <w:vAlign w:val="center"/>
          </w:tcPr>
          <w:p w:rsidR="005C1E80" w:rsidRDefault="005C1E80" w:rsidP="00F57898">
            <w:pPr>
              <w:rPr>
                <w:rFonts w:ascii="Times New Roman" w:hAnsi="Times New Roman"/>
                <w:szCs w:val="24"/>
              </w:rPr>
            </w:pPr>
          </w:p>
        </w:tc>
        <w:tc>
          <w:tcPr>
            <w:tcW w:w="637"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615"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1</w:t>
            </w:r>
          </w:p>
        </w:tc>
        <w:tc>
          <w:tcPr>
            <w:tcW w:w="1433"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2</w:t>
            </w:r>
          </w:p>
        </w:tc>
        <w:tc>
          <w:tcPr>
            <w:tcW w:w="1701"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3</w:t>
            </w:r>
          </w:p>
        </w:tc>
        <w:tc>
          <w:tcPr>
            <w:tcW w:w="1559"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4</w:t>
            </w:r>
          </w:p>
        </w:tc>
        <w:tc>
          <w:tcPr>
            <w:tcW w:w="1475" w:type="dxa"/>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jc w:val="center"/>
              <w:textAlignment w:val="baseline"/>
              <w:rPr>
                <w:rFonts w:ascii="Times New Roman" w:hAnsi="Times New Roman"/>
              </w:rPr>
            </w:pPr>
            <w:r>
              <w:rPr>
                <w:rFonts w:ascii="Calibri" w:hAnsi="Calibri"/>
                <w:sz w:val="20"/>
              </w:rPr>
              <w:t>5</w:t>
            </w:r>
          </w:p>
        </w:tc>
      </w:tr>
      <w:tr w:rsidR="005C1E80" w:rsidTr="00F57898">
        <w:trPr>
          <w:trHeight w:val="268"/>
          <w:jc w:val="center"/>
        </w:trPr>
        <w:tc>
          <w:tcPr>
            <w:tcW w:w="1142"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8846" w:type="dxa"/>
            <w:gridSpan w:val="7"/>
            <w:tcBorders>
              <w:top w:val="nil"/>
              <w:left w:val="single" w:sz="6" w:space="0" w:color="auto"/>
              <w:bottom w:val="single" w:sz="6" w:space="0" w:color="auto"/>
              <w:right w:val="single" w:sz="6" w:space="0" w:color="auto"/>
            </w:tcBorders>
            <w:shd w:val="clear" w:color="auto" w:fill="BFBFBF" w:themeFill="background1" w:themeFillShade="BF"/>
          </w:tcPr>
          <w:p w:rsidR="005C1E80" w:rsidRDefault="005C1E80" w:rsidP="00F57898">
            <w:pPr>
              <w:spacing w:beforeAutospacing="1" w:afterAutospacing="1"/>
              <w:jc w:val="center"/>
              <w:textAlignment w:val="baseline"/>
              <w:rPr>
                <w:rFonts w:ascii="Times New Roman" w:hAnsi="Times New Roman"/>
              </w:rPr>
            </w:pPr>
            <w:r>
              <w:rPr>
                <w:rFonts w:ascii="Calibri" w:hAnsi="Calibri"/>
                <w:i/>
                <w:iCs/>
              </w:rPr>
              <w:t>Vjerojatnost</w:t>
            </w:r>
            <w:r>
              <w:rPr>
                <w:rFonts w:ascii="Calibri" w:hAnsi="Calibri"/>
              </w:rPr>
              <w:t> </w:t>
            </w: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0000"/>
          </w:tcPr>
          <w:p w:rsidR="005C1E80" w:rsidRDefault="005C1E80" w:rsidP="00F57898">
            <w:pPr>
              <w:spacing w:beforeAutospacing="1" w:afterAutospacing="1"/>
              <w:textAlignment w:val="baseline"/>
              <w:rPr>
                <w:rFonts w:ascii="Times New Roman" w:hAnsi="Times New Roman"/>
              </w:rPr>
            </w:pPr>
            <w:r>
              <w:rPr>
                <w:rFonts w:ascii="Calibri" w:hAnsi="Calibri"/>
                <w:sz w:val="20"/>
              </w:rPr>
              <w:t>Vrlo visok  </w:t>
            </w:r>
          </w:p>
        </w:tc>
        <w:tc>
          <w:tcPr>
            <w:tcW w:w="1063" w:type="dxa"/>
            <w:gridSpan w:val="2"/>
            <w:vMerge w:val="restart"/>
            <w:tcBorders>
              <w:top w:val="single" w:sz="6" w:space="0" w:color="auto"/>
              <w:left w:val="single" w:sz="6" w:space="0" w:color="auto"/>
              <w:bottom w:val="single" w:sz="6" w:space="0" w:color="auto"/>
              <w:right w:val="single" w:sz="6" w:space="0" w:color="auto"/>
            </w:tcBorders>
            <w:shd w:val="clear" w:color="auto" w:fill="F2F2F2" w:themeFill="background1" w:themeFillShade="F2"/>
          </w:tcPr>
          <w:p w:rsidR="005C1E80" w:rsidRDefault="005C1E80" w:rsidP="00F57898">
            <w:pPr>
              <w:spacing w:beforeAutospacing="1" w:afterAutospacing="1"/>
              <w:textAlignment w:val="baseline"/>
              <w:rPr>
                <w:rFonts w:ascii="Times New Roman" w:hAnsi="Times New Roman"/>
              </w:rPr>
            </w:pPr>
            <w:r>
              <w:rPr>
                <w:rFonts w:ascii="Calibri" w:hAnsi="Calibri"/>
                <w:sz w:val="28"/>
                <w:szCs w:val="28"/>
              </w:rPr>
              <w:t> </w:t>
            </w:r>
          </w:p>
        </w:tc>
        <w:tc>
          <w:tcPr>
            <w:tcW w:w="1615"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Iznimno mala </w:t>
            </w:r>
          </w:p>
        </w:tc>
        <w:tc>
          <w:tcPr>
            <w:tcW w:w="1433"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Mala </w:t>
            </w:r>
          </w:p>
        </w:tc>
        <w:tc>
          <w:tcPr>
            <w:tcW w:w="1701"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Umjerena  </w:t>
            </w:r>
          </w:p>
        </w:tc>
        <w:tc>
          <w:tcPr>
            <w:tcW w:w="1559"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Velika </w:t>
            </w:r>
          </w:p>
        </w:tc>
        <w:tc>
          <w:tcPr>
            <w:tcW w:w="1475" w:type="dxa"/>
            <w:vMerge w:val="restart"/>
            <w:tcBorders>
              <w:top w:val="single" w:sz="6" w:space="0" w:color="auto"/>
              <w:left w:val="single" w:sz="6" w:space="0" w:color="auto"/>
              <w:bottom w:val="single" w:sz="6" w:space="0" w:color="auto"/>
              <w:right w:val="single" w:sz="6" w:space="0" w:color="auto"/>
            </w:tcBorders>
          </w:tcPr>
          <w:p w:rsidR="005C1E80" w:rsidRDefault="005C1E80" w:rsidP="00F57898">
            <w:pPr>
              <w:spacing w:beforeAutospacing="1" w:afterAutospacing="1"/>
              <w:ind w:left="105" w:right="105"/>
              <w:jc w:val="center"/>
              <w:textAlignment w:val="baseline"/>
              <w:rPr>
                <w:rFonts w:ascii="Times New Roman" w:hAnsi="Times New Roman"/>
              </w:rPr>
            </w:pPr>
            <w:r>
              <w:rPr>
                <w:rFonts w:ascii="Calibri" w:hAnsi="Calibri"/>
                <w:sz w:val="18"/>
                <w:szCs w:val="18"/>
              </w:rPr>
              <w:t>Iznimno velika </w:t>
            </w: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C000"/>
          </w:tcPr>
          <w:p w:rsidR="005C1E80" w:rsidRDefault="005C1E80" w:rsidP="00F57898">
            <w:pPr>
              <w:spacing w:beforeAutospacing="1" w:afterAutospacing="1"/>
              <w:textAlignment w:val="baseline"/>
              <w:rPr>
                <w:rFonts w:ascii="Times New Roman" w:hAnsi="Times New Roman"/>
              </w:rPr>
            </w:pPr>
            <w:r>
              <w:rPr>
                <w:rFonts w:ascii="Calibri" w:hAnsi="Calibri"/>
                <w:sz w:val="20"/>
              </w:rPr>
              <w:t>Visok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r w:rsidR="005C1E80" w:rsidTr="00F57898">
        <w:trPr>
          <w:trHeight w:val="315"/>
          <w:jc w:val="center"/>
        </w:trPr>
        <w:tc>
          <w:tcPr>
            <w:tcW w:w="1142" w:type="dxa"/>
            <w:tcBorders>
              <w:top w:val="single" w:sz="6" w:space="0" w:color="auto"/>
              <w:left w:val="single" w:sz="6" w:space="0" w:color="auto"/>
              <w:bottom w:val="single" w:sz="6" w:space="0" w:color="auto"/>
              <w:right w:val="single" w:sz="6" w:space="0" w:color="auto"/>
            </w:tcBorders>
            <w:shd w:val="clear" w:color="auto" w:fill="FFFF00"/>
          </w:tcPr>
          <w:p w:rsidR="005C1E80" w:rsidRDefault="005C1E80" w:rsidP="00F57898">
            <w:pPr>
              <w:spacing w:beforeAutospacing="1" w:afterAutospacing="1"/>
              <w:textAlignment w:val="baseline"/>
              <w:rPr>
                <w:rFonts w:ascii="Times New Roman" w:hAnsi="Times New Roman"/>
              </w:rPr>
            </w:pPr>
            <w:r>
              <w:rPr>
                <w:rFonts w:ascii="Calibri" w:hAnsi="Calibri"/>
                <w:sz w:val="20"/>
              </w:rPr>
              <w:t>Umjeren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r w:rsidR="005C1E80" w:rsidTr="00F57898">
        <w:trPr>
          <w:trHeight w:val="273"/>
          <w:jc w:val="center"/>
        </w:trPr>
        <w:tc>
          <w:tcPr>
            <w:tcW w:w="1142" w:type="dxa"/>
            <w:tcBorders>
              <w:top w:val="single" w:sz="6" w:space="0" w:color="auto"/>
              <w:left w:val="single" w:sz="6" w:space="0" w:color="auto"/>
              <w:bottom w:val="single" w:sz="6" w:space="0" w:color="auto"/>
              <w:right w:val="single" w:sz="6" w:space="0" w:color="auto"/>
            </w:tcBorders>
            <w:shd w:val="clear" w:color="auto" w:fill="00B050"/>
          </w:tcPr>
          <w:p w:rsidR="005C1E80" w:rsidRDefault="005C1E80" w:rsidP="00F57898">
            <w:pPr>
              <w:spacing w:beforeAutospacing="1" w:afterAutospacing="1"/>
              <w:textAlignment w:val="baseline"/>
              <w:rPr>
                <w:rFonts w:ascii="Times New Roman" w:hAnsi="Times New Roman"/>
              </w:rPr>
            </w:pPr>
            <w:r>
              <w:rPr>
                <w:rFonts w:ascii="Calibri" w:hAnsi="Calibri"/>
                <w:sz w:val="20"/>
              </w:rPr>
              <w:t>Nizak </w:t>
            </w:r>
          </w:p>
        </w:tc>
        <w:tc>
          <w:tcPr>
            <w:tcW w:w="1063" w:type="dxa"/>
            <w:gridSpan w:val="2"/>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61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33"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701"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559"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c>
          <w:tcPr>
            <w:tcW w:w="1475" w:type="dxa"/>
            <w:vMerge/>
            <w:tcBorders>
              <w:top w:val="single" w:sz="6" w:space="0" w:color="auto"/>
              <w:left w:val="single" w:sz="6" w:space="0" w:color="auto"/>
              <w:bottom w:val="single" w:sz="6" w:space="0" w:color="auto"/>
              <w:right w:val="single" w:sz="6" w:space="0" w:color="auto"/>
            </w:tcBorders>
            <w:vAlign w:val="center"/>
          </w:tcPr>
          <w:p w:rsidR="005C1E80" w:rsidRDefault="005C1E80" w:rsidP="00F57898">
            <w:pPr>
              <w:rPr>
                <w:rFonts w:ascii="Times New Roman" w:hAnsi="Times New Roman"/>
                <w:szCs w:val="24"/>
              </w:rPr>
            </w:pPr>
          </w:p>
        </w:tc>
      </w:tr>
    </w:tbl>
    <w:p w:rsidR="005C1E80" w:rsidRDefault="005C1E80" w:rsidP="005C1E80">
      <w:pPr>
        <w:jc w:val="center"/>
        <w:rPr>
          <w:b/>
          <w:bCs/>
          <w:sz w:val="18"/>
          <w:szCs w:val="18"/>
          <w:lang w:val="en-US"/>
        </w:rPr>
      </w:pPr>
      <w:r>
        <w:rPr>
          <w:rFonts w:ascii="Aptos" w:hAnsi="Aptos"/>
          <w:b/>
          <w:bCs/>
          <w:sz w:val="18"/>
          <w:szCs w:val="18"/>
          <w:lang w:val="en-US"/>
        </w:rPr>
        <w:t>Izvor: Procjena rizika od velikih nesreća, 2025. Godina</w:t>
      </w:r>
    </w:p>
    <w:p w:rsidR="005C1E80" w:rsidRDefault="005C1E80" w:rsidP="005C1E80">
      <w:pPr>
        <w:rPr>
          <w:lang w:val="en-US"/>
        </w:rPr>
      </w:pPr>
    </w:p>
    <w:p w:rsidR="005C1E80" w:rsidRDefault="005C1E80" w:rsidP="005C1E80">
      <w:pPr>
        <w:rPr>
          <w:lang w:val="en-US"/>
        </w:rPr>
      </w:pPr>
    </w:p>
    <w:p w:rsidR="005C1E80" w:rsidRDefault="005C1E80" w:rsidP="005C1E80">
      <w:pPr>
        <w:rPr>
          <w:lang w:val="en-US"/>
        </w:rPr>
      </w:pPr>
    </w:p>
    <w:p w:rsidR="005C1E80" w:rsidRDefault="005C1E80" w:rsidP="005C1E80">
      <w:pPr>
        <w:rPr>
          <w:lang w:val="en-US"/>
        </w:rPr>
      </w:pPr>
    </w:p>
    <w:p w:rsidR="005C1E80" w:rsidRDefault="005C1E80" w:rsidP="005C1E80">
      <w:pPr>
        <w:rPr>
          <w:lang w:val="en-US"/>
        </w:rPr>
      </w:pPr>
    </w:p>
    <w:p w:rsidR="005C1E80" w:rsidRDefault="005C1E80" w:rsidP="005C1E80">
      <w:pPr>
        <w:shd w:val="clear" w:color="auto" w:fill="FFFFFF" w:themeFill="background1"/>
        <w:spacing w:after="240"/>
        <w:jc w:val="both"/>
        <w:rPr>
          <w:rFonts w:ascii="Aptos" w:hAnsi="Aptos" w:cstheme="minorHAnsi"/>
          <w:sz w:val="24"/>
          <w:szCs w:val="24"/>
        </w:rPr>
      </w:pPr>
      <w:bookmarkStart w:id="59" w:name="_Hlk209092751"/>
      <w:bookmarkStart w:id="60" w:name="_Hlk176869197"/>
      <w:r>
        <w:rPr>
          <w:rFonts w:ascii="Aptos" w:hAnsi="Aptos" w:cstheme="minorHAnsi"/>
          <w:sz w:val="24"/>
          <w:szCs w:val="24"/>
        </w:rPr>
        <w:t xml:space="preserve">Kako do trenutka izrade Procjene rizika od velikih nesreća 2025. nisu bili dostupni podaci </w:t>
      </w:r>
      <w:bookmarkEnd w:id="59"/>
      <w:r>
        <w:rPr>
          <w:rFonts w:ascii="Aptos" w:hAnsi="Aptos" w:cstheme="minorHAnsi"/>
          <w:sz w:val="24"/>
          <w:szCs w:val="24"/>
        </w:rPr>
        <w:t xml:space="preserve">o prethodno utvrđenim štetama za rizike od požara,  izvanredne velike visine snijega i klizištima u navedenom dokumentu nije bilo moguće ove rizike obraditi sukladno propisanoj normi kao prioritetni rizik. Ove prijetnje je potrebno pratiti, evidentirati nastalu štetu i u postupku revizije Procjene rizika ukoliko podaci budu upućivali na to, istu tretirati kao prioritetni rizik. </w:t>
      </w:r>
    </w:p>
    <w:p w:rsidR="005C1E80" w:rsidRDefault="005C1E80" w:rsidP="005C1E80">
      <w:pPr>
        <w:shd w:val="clear" w:color="auto" w:fill="FFFFFF" w:themeFill="background1"/>
        <w:spacing w:after="240"/>
        <w:jc w:val="both"/>
        <w:rPr>
          <w:rFonts w:ascii="Aptos" w:hAnsi="Aptos" w:cstheme="minorHAnsi"/>
          <w:sz w:val="24"/>
          <w:szCs w:val="24"/>
        </w:rPr>
      </w:pPr>
      <w:r>
        <w:rPr>
          <w:rFonts w:ascii="Aptos" w:hAnsi="Aptos" w:cstheme="minorHAnsi"/>
          <w:sz w:val="24"/>
          <w:szCs w:val="24"/>
        </w:rPr>
        <w:t>Iz navedenih matrica vidljivo je kako je vjerojatnost pojave opasnosti od suše, mraza i tuče ostala kroz godine kontinuirano ista. Vjerojatnost pojave toplinskog vala i poplave izazvane izlijevanjem kopnenih vodenih tijela ostala je ista. Za rizik od potresa, vjerojatnost se  promijenila no i dalje se svi rizici nalaze u razredu tolerantnih rizika.</w:t>
      </w:r>
    </w:p>
    <w:p w:rsidR="005C1E80" w:rsidRDefault="005C1E80" w:rsidP="005C1E80">
      <w:pPr>
        <w:shd w:val="clear" w:color="auto" w:fill="FFFFFF" w:themeFill="background1"/>
        <w:spacing w:after="240"/>
        <w:jc w:val="both"/>
        <w:rPr>
          <w:rFonts w:ascii="Aptos" w:hAnsi="Aptos" w:cstheme="minorHAnsi"/>
          <w:sz w:val="24"/>
          <w:szCs w:val="24"/>
        </w:rPr>
      </w:pPr>
      <w:r>
        <w:rPr>
          <w:rFonts w:ascii="Aptos" w:hAnsi="Aptos" w:cstheme="minorHAnsi"/>
          <w:sz w:val="24"/>
          <w:szCs w:val="24"/>
        </w:rPr>
        <w:t>Sve navedeno je dodatni  dokaz o  značajnom utjecaju klimatskih promjena na prirodne nepogode.</w:t>
      </w:r>
      <w:bookmarkEnd w:id="60"/>
    </w:p>
    <w:p w:rsidR="005C1E80" w:rsidRDefault="005C1E80" w:rsidP="005C1E80">
      <w:pPr>
        <w:shd w:val="clear" w:color="auto" w:fill="FFFFFF" w:themeFill="background1"/>
        <w:spacing w:after="240"/>
        <w:jc w:val="both"/>
        <w:rPr>
          <w:rFonts w:ascii="Aptos" w:hAnsi="Aptos" w:cstheme="minorHAnsi"/>
          <w:sz w:val="24"/>
          <w:szCs w:val="24"/>
        </w:rPr>
      </w:pPr>
    </w:p>
    <w:p w:rsidR="005C1E80" w:rsidRDefault="005C1E80" w:rsidP="005C1E80">
      <w:pPr>
        <w:pStyle w:val="Razina1"/>
      </w:pPr>
      <w:bookmarkStart w:id="61" w:name="_Toc210900537"/>
      <w:bookmarkStart w:id="62" w:name="_Toc208190511"/>
      <w:r>
        <w:t>SUSTAV NOSITELJA MJERA U ODGOVORU NA PRIRODNE NEPOGODE</w:t>
      </w:r>
      <w:bookmarkEnd w:id="61"/>
      <w:bookmarkEnd w:id="62"/>
    </w:p>
    <w:p w:rsidR="005C1E80" w:rsidRDefault="005C1E80" w:rsidP="005C1E80">
      <w:pPr>
        <w:rPr>
          <w:sz w:val="24"/>
          <w:szCs w:val="24"/>
          <w:lang w:eastAsia="zh-CN"/>
        </w:rPr>
      </w:pPr>
    </w:p>
    <w:p w:rsidR="005C1E80" w:rsidRDefault="005C1E80" w:rsidP="005C1E80">
      <w:pPr>
        <w:jc w:val="both"/>
        <w:rPr>
          <w:rFonts w:ascii="Aptos" w:hAnsi="Aptos"/>
          <w:sz w:val="24"/>
          <w:szCs w:val="24"/>
          <w:lang w:eastAsia="zh-CN"/>
        </w:rPr>
      </w:pPr>
      <w:r>
        <w:rPr>
          <w:rFonts w:ascii="Aptos" w:hAnsi="Aptos"/>
          <w:sz w:val="24"/>
          <w:szCs w:val="24"/>
          <w:lang w:eastAsia="zh-CN"/>
        </w:rPr>
        <w:t xml:space="preserve">Svaka prirodna nepogoda ima svoje specifične karakteristike te zahtijeva angažman različitih službi. Primjerice, mraz uzrokuje materijalnu štetu u poljoprivredi, dok potres, </w:t>
      </w:r>
      <w:r>
        <w:rPr>
          <w:rFonts w:ascii="Aptos" w:hAnsi="Aptos"/>
          <w:sz w:val="24"/>
          <w:szCs w:val="24"/>
          <w:lang w:eastAsia="zh-CN"/>
        </w:rPr>
        <w:lastRenderedPageBreak/>
        <w:t>osim materijalne štete, može dovesti i do ljudskih žrtava. Stoga nositelja mjera koji će biti angažirani ovise o prirodi same nepogode, kao i o njezinim posljedicama.</w:t>
      </w:r>
    </w:p>
    <w:p w:rsidR="005C1E80" w:rsidRDefault="005C1E80" w:rsidP="005C1E80">
      <w:pPr>
        <w:rPr>
          <w:rFonts w:ascii="Aptos" w:hAnsi="Aptos"/>
          <w:sz w:val="24"/>
          <w:szCs w:val="24"/>
        </w:rPr>
      </w:pPr>
      <w:r>
        <w:rPr>
          <w:rFonts w:ascii="Aptos" w:hAnsi="Aptos"/>
          <w:sz w:val="24"/>
          <w:szCs w:val="24"/>
        </w:rPr>
        <w:t>Svi nositelji mjere koji sudjeluju u odgovoru na prirodne nepogode mogu se podijeliti u dvije skupine.</w:t>
      </w:r>
    </w:p>
    <w:p w:rsidR="005C1E80" w:rsidRDefault="005C1E80" w:rsidP="005C1E80">
      <w:pPr>
        <w:spacing w:after="0" w:line="240" w:lineRule="auto"/>
        <w:jc w:val="center"/>
        <w:rPr>
          <w:b/>
          <w:bCs/>
          <w:sz w:val="24"/>
          <w:szCs w:val="24"/>
        </w:rPr>
      </w:pPr>
      <w:r>
        <w:rPr>
          <w:b/>
          <w:bCs/>
          <w:sz w:val="24"/>
          <w:szCs w:val="24"/>
        </w:rPr>
        <w:t xml:space="preserve">Grafički prikaz </w:t>
      </w:r>
      <w:r w:rsidR="00DD1C99">
        <w:rPr>
          <w:b/>
          <w:bCs/>
          <w:sz w:val="24"/>
          <w:szCs w:val="24"/>
        </w:rPr>
        <w:fldChar w:fldCharType="begin"/>
      </w:r>
      <w:r>
        <w:rPr>
          <w:b/>
          <w:bCs/>
          <w:sz w:val="24"/>
          <w:szCs w:val="24"/>
        </w:rPr>
        <w:instrText xml:space="preserve"> SEQ Grafički_prikaz \* ARABIC </w:instrText>
      </w:r>
      <w:r w:rsidR="00DD1C99">
        <w:rPr>
          <w:b/>
          <w:bCs/>
          <w:sz w:val="24"/>
          <w:szCs w:val="24"/>
        </w:rPr>
        <w:fldChar w:fldCharType="separate"/>
      </w:r>
      <w:r>
        <w:rPr>
          <w:b/>
          <w:bCs/>
          <w:sz w:val="24"/>
          <w:szCs w:val="24"/>
        </w:rPr>
        <w:t>4</w:t>
      </w:r>
      <w:r w:rsidR="00DD1C99">
        <w:rPr>
          <w:b/>
          <w:bCs/>
          <w:sz w:val="24"/>
          <w:szCs w:val="24"/>
        </w:rPr>
        <w:fldChar w:fldCharType="end"/>
      </w:r>
      <w:r>
        <w:rPr>
          <w:b/>
          <w:bCs/>
          <w:sz w:val="24"/>
          <w:szCs w:val="24"/>
        </w:rPr>
        <w:t>: Sustav nositelja mjera</w:t>
      </w:r>
    </w:p>
    <w:p w:rsidR="005C1E80" w:rsidRDefault="005C1E80" w:rsidP="005C1E80">
      <w:pPr>
        <w:rPr>
          <w:rFonts w:ascii="Aptos" w:hAnsi="Aptos"/>
          <w:sz w:val="24"/>
          <w:szCs w:val="24"/>
        </w:rPr>
      </w:pPr>
    </w:p>
    <w:p w:rsidR="005C1E80" w:rsidRDefault="005C1E80" w:rsidP="005C1E80">
      <w:pPr>
        <w:rPr>
          <w:rFonts w:ascii="Aptos" w:hAnsi="Aptos"/>
          <w:sz w:val="24"/>
          <w:szCs w:val="24"/>
        </w:rPr>
      </w:pPr>
      <w:r>
        <w:rPr>
          <w:noProof/>
          <w:sz w:val="24"/>
          <w:szCs w:val="24"/>
          <w:lang w:eastAsia="hr-HR"/>
        </w:rPr>
        <w:drawing>
          <wp:anchor distT="0" distB="0" distL="114300" distR="114300" simplePos="0" relativeHeight="251659776" behindDoc="0" locked="0" layoutInCell="1" allowOverlap="1">
            <wp:simplePos x="0" y="0"/>
            <wp:positionH relativeFrom="column">
              <wp:posOffset>0</wp:posOffset>
            </wp:positionH>
            <wp:positionV relativeFrom="paragraph">
              <wp:posOffset>38100</wp:posOffset>
            </wp:positionV>
            <wp:extent cx="5619750" cy="3571875"/>
            <wp:effectExtent l="0" t="19050" r="0" b="0"/>
            <wp:wrapNone/>
            <wp:docPr id="1" name="Dij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anchor>
        </w:drawing>
      </w: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rPr>
          <w:rFonts w:ascii="Aptos" w:hAnsi="Aptos"/>
          <w:sz w:val="24"/>
          <w:szCs w:val="24"/>
        </w:rPr>
      </w:pPr>
    </w:p>
    <w:p w:rsidR="005C1E80" w:rsidRDefault="005C1E80" w:rsidP="005C1E80">
      <w:pPr>
        <w:pStyle w:val="Razina2"/>
        <w:rPr>
          <w:rFonts w:ascii="Aptos" w:hAnsi="Aptos"/>
          <w:b w:val="0"/>
          <w:bCs/>
          <w:i/>
          <w:iCs/>
          <w:sz w:val="24"/>
          <w:szCs w:val="24"/>
        </w:rPr>
      </w:pPr>
      <w:bookmarkStart w:id="63" w:name="_Toc208190512"/>
      <w:bookmarkStart w:id="64" w:name="_Toc210900538"/>
      <w:r>
        <w:rPr>
          <w:rFonts w:ascii="Aptos" w:hAnsi="Aptos"/>
          <w:b w:val="0"/>
          <w:bCs/>
          <w:i/>
          <w:iCs/>
          <w:sz w:val="24"/>
          <w:szCs w:val="24"/>
        </w:rPr>
        <w:t>Nositelji mjera sukladno Zakonu o ublažavanju i uklanjanju posljedica prirodnih nepogoda</w:t>
      </w:r>
      <w:bookmarkEnd w:id="63"/>
      <w:bookmarkEnd w:id="64"/>
      <w:r>
        <w:rPr>
          <w:rFonts w:ascii="Aptos" w:hAnsi="Aptos"/>
          <w:b w:val="0"/>
          <w:bCs/>
          <w:i/>
          <w:iCs/>
          <w:sz w:val="24"/>
          <w:szCs w:val="24"/>
        </w:rPr>
        <w:t xml:space="preserve"> </w:t>
      </w:r>
    </w:p>
    <w:p w:rsidR="005C1E80" w:rsidRDefault="005C1E80" w:rsidP="005C1E80">
      <w:pPr>
        <w:pStyle w:val="Razina2"/>
      </w:pPr>
    </w:p>
    <w:p w:rsidR="005C1E80" w:rsidRDefault="005C1E80" w:rsidP="005C1E80">
      <w:pPr>
        <w:jc w:val="both"/>
        <w:rPr>
          <w:sz w:val="24"/>
          <w:szCs w:val="24"/>
        </w:rPr>
      </w:pPr>
      <w:r>
        <w:rPr>
          <w:rFonts w:ascii="Aptos" w:hAnsi="Aptos"/>
          <w:sz w:val="24"/>
          <w:szCs w:val="24"/>
        </w:rPr>
        <w:t>Zakonom o ublažavanju i uklanjanju posljedica prirodnih nepogoda uređuju kriteriji i ovlasti za proglašenje prirodne nepogode, procjena štete od prirodne nepogode, dodjela pomoći za ublažavanje i djelomično uklanjanje posljedica prirodnih nepogoda nastalih na području Republike Hrvatske, Registar šteta od prirodnih nepogoda (u daljnjem tekstu: Registar šteta) te druga pitanja u vezi s dodjelom pomoći za ublažavanje i djelomično uklanjanje posljedica prirodnih nepogoda.</w:t>
      </w:r>
      <w:r>
        <w:rPr>
          <w:sz w:val="24"/>
          <w:szCs w:val="24"/>
        </w:rPr>
        <w:t xml:space="preserve"> </w:t>
      </w:r>
    </w:p>
    <w:p w:rsidR="005C1E80" w:rsidRDefault="005C1E80" w:rsidP="005C1E80">
      <w:pPr>
        <w:jc w:val="both"/>
        <w:rPr>
          <w:rFonts w:ascii="Aptos" w:hAnsi="Aptos"/>
          <w:sz w:val="24"/>
          <w:szCs w:val="24"/>
        </w:rPr>
      </w:pPr>
      <w:r>
        <w:rPr>
          <w:rFonts w:ascii="Aptos" w:hAnsi="Aptos"/>
          <w:sz w:val="24"/>
          <w:szCs w:val="24"/>
        </w:rPr>
        <w:t>Nadležna tijela za provedbu Zakona o ublažavanju i uklanjanju posljedica prirodnih nepogoda su:</w:t>
      </w:r>
    </w:p>
    <w:p w:rsidR="005C1E80" w:rsidRDefault="005C1E80" w:rsidP="00A66748">
      <w:pPr>
        <w:numPr>
          <w:ilvl w:val="0"/>
          <w:numId w:val="70"/>
        </w:numPr>
        <w:spacing w:after="200" w:line="276" w:lineRule="auto"/>
        <w:jc w:val="both"/>
        <w:rPr>
          <w:rFonts w:ascii="Aptos" w:hAnsi="Aptos"/>
          <w:sz w:val="24"/>
          <w:szCs w:val="24"/>
        </w:rPr>
      </w:pPr>
      <w:r>
        <w:rPr>
          <w:rFonts w:ascii="Aptos" w:hAnsi="Aptos"/>
          <w:sz w:val="24"/>
          <w:szCs w:val="24"/>
        </w:rPr>
        <w:t>Vlada Republike Hrvatske</w:t>
      </w:r>
    </w:p>
    <w:p w:rsidR="005C1E80" w:rsidRDefault="005C1E80" w:rsidP="00A66748">
      <w:pPr>
        <w:numPr>
          <w:ilvl w:val="0"/>
          <w:numId w:val="70"/>
        </w:numPr>
        <w:spacing w:after="200" w:line="276" w:lineRule="auto"/>
        <w:jc w:val="both"/>
        <w:rPr>
          <w:rFonts w:ascii="Aptos" w:hAnsi="Aptos"/>
          <w:sz w:val="24"/>
          <w:szCs w:val="24"/>
        </w:rPr>
      </w:pPr>
      <w:r>
        <w:rPr>
          <w:rFonts w:ascii="Aptos" w:hAnsi="Aptos"/>
          <w:sz w:val="24"/>
          <w:szCs w:val="24"/>
        </w:rPr>
        <w:t>Povjerenstva za procjenu štete od prirodnih nepogoda: Državno povjerenstvo, županijska povjerenstva, gradska i općinska povjerenstva.</w:t>
      </w:r>
    </w:p>
    <w:p w:rsidR="005C1E80" w:rsidRDefault="005C1E80" w:rsidP="00A66748">
      <w:pPr>
        <w:numPr>
          <w:ilvl w:val="0"/>
          <w:numId w:val="70"/>
        </w:numPr>
        <w:spacing w:after="200" w:line="276" w:lineRule="auto"/>
        <w:jc w:val="both"/>
        <w:rPr>
          <w:rFonts w:ascii="Aptos" w:hAnsi="Aptos"/>
          <w:sz w:val="24"/>
          <w:szCs w:val="24"/>
        </w:rPr>
      </w:pPr>
      <w:r>
        <w:rPr>
          <w:rFonts w:ascii="Aptos" w:hAnsi="Aptos"/>
          <w:sz w:val="24"/>
          <w:szCs w:val="24"/>
        </w:rPr>
        <w:t>Nadležna ministarstva za financije, poljoprivredu, šumarstvo i ribarstvo, gospodarstvo, graditeljstvo i prostorno uređenje, zaštitu okoliša i energetiku, more, promet i infrastrukturu.</w:t>
      </w:r>
    </w:p>
    <w:p w:rsidR="005C1E80" w:rsidRDefault="005C1E80" w:rsidP="00A66748">
      <w:pPr>
        <w:numPr>
          <w:ilvl w:val="0"/>
          <w:numId w:val="70"/>
        </w:numPr>
        <w:spacing w:after="200" w:line="276" w:lineRule="auto"/>
        <w:jc w:val="both"/>
        <w:rPr>
          <w:rFonts w:ascii="Aptos" w:hAnsi="Aptos"/>
          <w:sz w:val="24"/>
          <w:szCs w:val="24"/>
        </w:rPr>
      </w:pPr>
      <w:r>
        <w:rPr>
          <w:rFonts w:ascii="Aptos" w:hAnsi="Aptos"/>
          <w:sz w:val="24"/>
          <w:szCs w:val="24"/>
        </w:rPr>
        <w:t>Jedinice lokalne i područne (regionalne) samouprave.</w:t>
      </w:r>
    </w:p>
    <w:p w:rsidR="005C1E80" w:rsidRDefault="005C1E80" w:rsidP="005C1E80">
      <w:pPr>
        <w:ind w:left="1068"/>
        <w:jc w:val="both"/>
        <w:rPr>
          <w:rFonts w:ascii="Aptos" w:hAnsi="Aptos"/>
          <w:sz w:val="24"/>
          <w:szCs w:val="24"/>
        </w:rPr>
      </w:pPr>
    </w:p>
    <w:p w:rsidR="005C1E80" w:rsidRDefault="005C1E80" w:rsidP="005C1E80">
      <w:pPr>
        <w:pStyle w:val="Opisslike"/>
        <w:jc w:val="center"/>
        <w:rPr>
          <w:rFonts w:ascii="Aptos" w:hAnsi="Aptos"/>
          <w:b/>
          <w:bCs/>
          <w:sz w:val="16"/>
          <w:szCs w:val="16"/>
        </w:rPr>
      </w:pPr>
      <w:r>
        <w:rPr>
          <w:sz w:val="16"/>
          <w:szCs w:val="16"/>
        </w:rPr>
        <w:t xml:space="preserve">Tablica </w:t>
      </w:r>
      <w:r w:rsidR="00DD1C99">
        <w:rPr>
          <w:sz w:val="16"/>
          <w:szCs w:val="16"/>
        </w:rPr>
        <w:fldChar w:fldCharType="begin"/>
      </w:r>
      <w:r>
        <w:rPr>
          <w:sz w:val="16"/>
          <w:szCs w:val="16"/>
        </w:rPr>
        <w:instrText xml:space="preserve"> SEQ Tablica \* ARABIC </w:instrText>
      </w:r>
      <w:r w:rsidR="00DD1C99">
        <w:rPr>
          <w:sz w:val="16"/>
          <w:szCs w:val="16"/>
        </w:rPr>
        <w:fldChar w:fldCharType="separate"/>
      </w:r>
      <w:r>
        <w:rPr>
          <w:sz w:val="16"/>
          <w:szCs w:val="16"/>
        </w:rPr>
        <w:t>3</w:t>
      </w:r>
      <w:r w:rsidR="00DD1C99">
        <w:rPr>
          <w:sz w:val="16"/>
          <w:szCs w:val="16"/>
        </w:rPr>
        <w:fldChar w:fldCharType="end"/>
      </w:r>
      <w:r>
        <w:rPr>
          <w:sz w:val="16"/>
          <w:szCs w:val="16"/>
        </w:rPr>
        <w:t>:Nositelji mjera i zadaće u slučaju prirodne nepogode na razini Općine</w:t>
      </w:r>
    </w:p>
    <w:tbl>
      <w:tblPr>
        <w:tblStyle w:val="Reetkatablice"/>
        <w:tblW w:w="0" w:type="auto"/>
        <w:tblLook w:val="04A0"/>
      </w:tblPr>
      <w:tblGrid>
        <w:gridCol w:w="4106"/>
        <w:gridCol w:w="5522"/>
      </w:tblGrid>
      <w:tr w:rsidR="005C1E80" w:rsidTr="00F57898">
        <w:tc>
          <w:tcPr>
            <w:tcW w:w="4106" w:type="dxa"/>
            <w:shd w:val="clear" w:color="auto" w:fill="0070C0"/>
          </w:tcPr>
          <w:p w:rsidR="005C1E80" w:rsidRDefault="005C1E80" w:rsidP="00F57898">
            <w:pPr>
              <w:jc w:val="center"/>
              <w:rPr>
                <w:rFonts w:ascii="Aptos" w:hAnsi="Aptos" w:cstheme="minorHAnsi"/>
                <w:color w:val="FFFFFF" w:themeColor="background1"/>
                <w:sz w:val="24"/>
                <w:szCs w:val="24"/>
              </w:rPr>
            </w:pPr>
            <w:r>
              <w:rPr>
                <w:rFonts w:ascii="Aptos" w:hAnsi="Aptos" w:cstheme="minorHAnsi"/>
                <w:color w:val="FFFFFF" w:themeColor="background1"/>
                <w:sz w:val="24"/>
                <w:szCs w:val="24"/>
              </w:rPr>
              <w:lastRenderedPageBreak/>
              <w:t xml:space="preserve">NOSITELJI MJERE </w:t>
            </w:r>
          </w:p>
        </w:tc>
        <w:tc>
          <w:tcPr>
            <w:tcW w:w="5522" w:type="dxa"/>
            <w:shd w:val="clear" w:color="auto" w:fill="0070C0"/>
          </w:tcPr>
          <w:p w:rsidR="005C1E80" w:rsidRDefault="005C1E80" w:rsidP="00F57898">
            <w:pPr>
              <w:jc w:val="center"/>
              <w:rPr>
                <w:rFonts w:ascii="Aptos" w:hAnsi="Aptos" w:cstheme="minorHAnsi"/>
                <w:color w:val="FFFFFF" w:themeColor="background1"/>
                <w:sz w:val="24"/>
                <w:szCs w:val="24"/>
              </w:rPr>
            </w:pPr>
            <w:r>
              <w:rPr>
                <w:rFonts w:ascii="Aptos" w:hAnsi="Aptos" w:cstheme="minorHAnsi"/>
                <w:color w:val="FFFFFF" w:themeColor="background1"/>
                <w:sz w:val="24"/>
                <w:szCs w:val="24"/>
              </w:rPr>
              <w:t>ZADAĆE</w:t>
            </w:r>
          </w:p>
        </w:tc>
      </w:tr>
      <w:tr w:rsidR="005C1E80" w:rsidTr="00F57898">
        <w:tc>
          <w:tcPr>
            <w:tcW w:w="4106" w:type="dxa"/>
          </w:tcPr>
          <w:p w:rsidR="005C1E80" w:rsidRDefault="005C1E80" w:rsidP="00F57898">
            <w:pPr>
              <w:jc w:val="both"/>
              <w:rPr>
                <w:rFonts w:ascii="Aptos" w:hAnsi="Aptos" w:cstheme="minorHAnsi"/>
                <w:sz w:val="24"/>
                <w:szCs w:val="24"/>
              </w:rPr>
            </w:pPr>
            <w:r>
              <w:rPr>
                <w:rFonts w:ascii="Aptos" w:hAnsi="Aptos" w:cstheme="minorHAnsi"/>
                <w:sz w:val="24"/>
                <w:szCs w:val="24"/>
              </w:rPr>
              <w:t>Načelnik</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Predlaže proglašenje prirodne nepogode</w:t>
            </w:r>
          </w:p>
        </w:tc>
      </w:tr>
      <w:tr w:rsidR="005C1E80" w:rsidTr="00F57898">
        <w:tc>
          <w:tcPr>
            <w:tcW w:w="4106" w:type="dxa"/>
          </w:tcPr>
          <w:p w:rsidR="005C1E80" w:rsidRDefault="005C1E80" w:rsidP="00F57898">
            <w:pPr>
              <w:jc w:val="both"/>
              <w:rPr>
                <w:rFonts w:ascii="Aptos" w:hAnsi="Aptos" w:cstheme="minorHAnsi"/>
                <w:sz w:val="24"/>
                <w:szCs w:val="24"/>
              </w:rPr>
            </w:pPr>
            <w:r>
              <w:rPr>
                <w:rFonts w:ascii="Aptos" w:hAnsi="Aptos" w:cstheme="minorHAnsi"/>
                <w:sz w:val="24"/>
                <w:szCs w:val="24"/>
              </w:rPr>
              <w:t>Župan</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Donosi odluku o proglašenju prirodne nepogode</w:t>
            </w:r>
          </w:p>
        </w:tc>
      </w:tr>
      <w:tr w:rsidR="005C1E80" w:rsidTr="00F57898">
        <w:tc>
          <w:tcPr>
            <w:tcW w:w="4106" w:type="dxa"/>
            <w:vMerge w:val="restart"/>
          </w:tcPr>
          <w:p w:rsidR="005C1E80" w:rsidRDefault="005C1E80" w:rsidP="00F57898">
            <w:pPr>
              <w:jc w:val="both"/>
              <w:rPr>
                <w:rFonts w:ascii="Aptos" w:hAnsi="Aptos" w:cstheme="minorHAnsi"/>
                <w:sz w:val="24"/>
                <w:szCs w:val="24"/>
              </w:rPr>
            </w:pPr>
            <w:r>
              <w:rPr>
                <w:rFonts w:ascii="Aptos" w:hAnsi="Aptos" w:cstheme="minorHAnsi"/>
                <w:sz w:val="24"/>
                <w:szCs w:val="24"/>
              </w:rPr>
              <w:t>Općinsko povjerenstvo</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Utvrđuje da li su ispunjeni uvjeti za proglašenje prirodne nepogode</w:t>
            </w:r>
          </w:p>
        </w:tc>
      </w:tr>
      <w:tr w:rsidR="005C1E80" w:rsidTr="00F57898">
        <w:tc>
          <w:tcPr>
            <w:tcW w:w="4106" w:type="dxa"/>
            <w:vMerge/>
          </w:tcPr>
          <w:p w:rsidR="005C1E80" w:rsidRDefault="005C1E80" w:rsidP="00F57898">
            <w:pPr>
              <w:jc w:val="both"/>
              <w:rPr>
                <w:rFonts w:ascii="Aptos" w:hAnsi="Aptos" w:cstheme="minorHAnsi"/>
                <w:sz w:val="24"/>
                <w:szCs w:val="24"/>
              </w:rPr>
            </w:pP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Unosi sve zaprimljene prijave u Registar štete</w:t>
            </w:r>
          </w:p>
        </w:tc>
      </w:tr>
      <w:tr w:rsidR="005C1E80" w:rsidTr="00F57898">
        <w:tc>
          <w:tcPr>
            <w:tcW w:w="4106" w:type="dxa"/>
            <w:vMerge/>
          </w:tcPr>
          <w:p w:rsidR="005C1E80" w:rsidRDefault="005C1E80" w:rsidP="00F57898">
            <w:pPr>
              <w:jc w:val="both"/>
              <w:rPr>
                <w:rFonts w:ascii="Aptos" w:hAnsi="Aptos" w:cstheme="minorHAnsi"/>
                <w:sz w:val="24"/>
                <w:szCs w:val="24"/>
              </w:rPr>
            </w:pP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Utvrđuje konačnu procijenjenu vrijednosti štete</w:t>
            </w:r>
          </w:p>
        </w:tc>
      </w:tr>
      <w:tr w:rsidR="005C1E80" w:rsidTr="00F57898">
        <w:tc>
          <w:tcPr>
            <w:tcW w:w="4106" w:type="dxa"/>
            <w:vMerge/>
          </w:tcPr>
          <w:p w:rsidR="005C1E80" w:rsidRDefault="005C1E80" w:rsidP="00F57898">
            <w:pPr>
              <w:jc w:val="both"/>
              <w:rPr>
                <w:rFonts w:ascii="Aptos" w:hAnsi="Aptos" w:cstheme="minorHAnsi"/>
                <w:sz w:val="24"/>
                <w:szCs w:val="24"/>
              </w:rPr>
            </w:pP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Podnosi prijavu konačne procijene Županijskom povjerenstvu</w:t>
            </w:r>
          </w:p>
        </w:tc>
      </w:tr>
      <w:tr w:rsidR="005C1E80" w:rsidTr="00F57898">
        <w:tc>
          <w:tcPr>
            <w:tcW w:w="4106" w:type="dxa"/>
          </w:tcPr>
          <w:p w:rsidR="005C1E80" w:rsidRDefault="005C1E80" w:rsidP="00F57898">
            <w:pPr>
              <w:jc w:val="both"/>
              <w:rPr>
                <w:rFonts w:ascii="Aptos" w:hAnsi="Aptos" w:cstheme="minorHAnsi"/>
                <w:sz w:val="24"/>
                <w:szCs w:val="24"/>
              </w:rPr>
            </w:pPr>
            <w:r>
              <w:rPr>
                <w:rFonts w:ascii="Aptos" w:hAnsi="Aptos" w:cstheme="minorHAnsi"/>
                <w:sz w:val="24"/>
                <w:szCs w:val="24"/>
              </w:rPr>
              <w:t>Županijsko povjerenstvo</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Podnosi prijave konačne štete Državnom povjerenstvu i nadležnim ministarstvima</w:t>
            </w:r>
          </w:p>
        </w:tc>
      </w:tr>
      <w:tr w:rsidR="005C1E80" w:rsidTr="00F57898">
        <w:tc>
          <w:tcPr>
            <w:tcW w:w="4106" w:type="dxa"/>
          </w:tcPr>
          <w:p w:rsidR="005C1E80" w:rsidRDefault="005C1E80" w:rsidP="00F57898">
            <w:pPr>
              <w:jc w:val="both"/>
              <w:rPr>
                <w:rFonts w:ascii="Aptos" w:hAnsi="Aptos" w:cstheme="minorHAnsi"/>
                <w:sz w:val="24"/>
                <w:szCs w:val="24"/>
              </w:rPr>
            </w:pPr>
            <w:r>
              <w:rPr>
                <w:rFonts w:ascii="Aptos" w:hAnsi="Aptos" w:cstheme="minorHAnsi"/>
                <w:sz w:val="24"/>
                <w:szCs w:val="24"/>
              </w:rPr>
              <w:t>Nadležna ministarstva</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Potvrda konačne procijene štete</w:t>
            </w:r>
          </w:p>
        </w:tc>
      </w:tr>
      <w:tr w:rsidR="005C1E80" w:rsidTr="00F57898">
        <w:tc>
          <w:tcPr>
            <w:tcW w:w="4106" w:type="dxa"/>
          </w:tcPr>
          <w:p w:rsidR="005C1E80" w:rsidRDefault="005C1E80" w:rsidP="00F57898">
            <w:pPr>
              <w:jc w:val="both"/>
              <w:rPr>
                <w:rFonts w:ascii="Aptos" w:hAnsi="Aptos" w:cstheme="minorHAnsi"/>
                <w:sz w:val="24"/>
                <w:szCs w:val="24"/>
              </w:rPr>
            </w:pPr>
            <w:r>
              <w:rPr>
                <w:rFonts w:ascii="Aptos" w:hAnsi="Aptos" w:cstheme="minorHAnsi"/>
                <w:sz w:val="24"/>
                <w:szCs w:val="24"/>
              </w:rPr>
              <w:t>Državno povjerenstvo</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Prijedlog visine iznosa za isplatu</w:t>
            </w:r>
          </w:p>
        </w:tc>
      </w:tr>
      <w:tr w:rsidR="005C1E80" w:rsidTr="00F57898">
        <w:tc>
          <w:tcPr>
            <w:tcW w:w="4106" w:type="dxa"/>
          </w:tcPr>
          <w:p w:rsidR="005C1E80" w:rsidRDefault="005C1E80" w:rsidP="00F57898">
            <w:pPr>
              <w:jc w:val="both"/>
              <w:rPr>
                <w:rFonts w:ascii="Aptos" w:hAnsi="Aptos" w:cstheme="minorHAnsi"/>
                <w:sz w:val="24"/>
                <w:szCs w:val="24"/>
              </w:rPr>
            </w:pPr>
            <w:r>
              <w:rPr>
                <w:rFonts w:ascii="Aptos" w:hAnsi="Aptos" w:cstheme="minorHAnsi"/>
                <w:sz w:val="24"/>
                <w:szCs w:val="24"/>
              </w:rPr>
              <w:t>Vlada Republike Hrvatske</w:t>
            </w:r>
          </w:p>
        </w:tc>
        <w:tc>
          <w:tcPr>
            <w:tcW w:w="5522" w:type="dxa"/>
          </w:tcPr>
          <w:p w:rsidR="005C1E80" w:rsidRDefault="005C1E80" w:rsidP="00F57898">
            <w:pPr>
              <w:jc w:val="both"/>
              <w:rPr>
                <w:rFonts w:ascii="Aptos" w:hAnsi="Aptos" w:cstheme="minorHAnsi"/>
                <w:sz w:val="24"/>
                <w:szCs w:val="24"/>
              </w:rPr>
            </w:pPr>
            <w:r>
              <w:rPr>
                <w:rFonts w:ascii="Aptos" w:hAnsi="Aptos" w:cstheme="minorHAnsi"/>
                <w:sz w:val="24"/>
                <w:szCs w:val="24"/>
              </w:rPr>
              <w:t>Odluka o isplati iznosa</w:t>
            </w:r>
          </w:p>
        </w:tc>
      </w:tr>
    </w:tbl>
    <w:p w:rsidR="005C1E80" w:rsidRDefault="005C1E80" w:rsidP="005C1E80">
      <w:pPr>
        <w:jc w:val="center"/>
        <w:rPr>
          <w:sz w:val="24"/>
          <w:szCs w:val="24"/>
        </w:rPr>
      </w:pPr>
    </w:p>
    <w:p w:rsidR="005C1E80" w:rsidRDefault="005C1E80" w:rsidP="005C1E80">
      <w:pPr>
        <w:rPr>
          <w:sz w:val="24"/>
          <w:szCs w:val="24"/>
        </w:rPr>
      </w:pPr>
    </w:p>
    <w:p w:rsidR="005C1E80" w:rsidRDefault="005C1E80" w:rsidP="005C1E80">
      <w:pPr>
        <w:rPr>
          <w:sz w:val="24"/>
          <w:szCs w:val="24"/>
        </w:rPr>
      </w:pPr>
    </w:p>
    <w:p w:rsidR="005C1E80" w:rsidRDefault="005C1E80" w:rsidP="005C1E80">
      <w:pPr>
        <w:rPr>
          <w:sz w:val="24"/>
          <w:szCs w:val="24"/>
        </w:rPr>
      </w:pPr>
    </w:p>
    <w:p w:rsidR="005C1E80" w:rsidRDefault="005C1E80" w:rsidP="005C1E80">
      <w:pPr>
        <w:pStyle w:val="Razina2"/>
        <w:rPr>
          <w:rFonts w:ascii="Aptos" w:hAnsi="Aptos"/>
          <w:b w:val="0"/>
          <w:bCs/>
          <w:i/>
          <w:iCs/>
        </w:rPr>
      </w:pPr>
      <w:bookmarkStart w:id="65" w:name="_Toc210900539"/>
      <w:bookmarkStart w:id="66" w:name="_Toc208190513"/>
      <w:r>
        <w:rPr>
          <w:rFonts w:ascii="Aptos" w:hAnsi="Aptos"/>
          <w:b w:val="0"/>
          <w:bCs/>
          <w:i/>
          <w:iCs/>
        </w:rPr>
        <w:t>Nositelji mjera sukladno Zakonu o sustavu civilne zaštite</w:t>
      </w:r>
      <w:bookmarkEnd w:id="65"/>
      <w:bookmarkEnd w:id="66"/>
    </w:p>
    <w:p w:rsidR="005C1E80" w:rsidRDefault="005C1E80" w:rsidP="005C1E80">
      <w:pPr>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Civilna zaštita je sustav organiziranja sudionika za ostvarivanje zaštite i spašavanja ljudi, životinja, materijalnih i kulturnih dobara i okoliša u velikim nesrećama i katastrofama i otklanjanja posljedica terorizma i ratnih razaranja.</w:t>
      </w:r>
    </w:p>
    <w:p w:rsidR="005C1E80" w:rsidRDefault="005C1E80" w:rsidP="005C1E80">
      <w:pPr>
        <w:jc w:val="both"/>
        <w:rPr>
          <w:rFonts w:ascii="Aptos" w:hAnsi="Aptos"/>
          <w:sz w:val="24"/>
          <w:szCs w:val="24"/>
        </w:rPr>
      </w:pPr>
      <w:r>
        <w:rPr>
          <w:rFonts w:ascii="Aptos" w:hAnsi="Aptos"/>
          <w:sz w:val="24"/>
          <w:szCs w:val="24"/>
        </w:rPr>
        <w:t>Nositelje mjera koji su odgovorni za provedbu Zakona o sustavu civilne zaštite razvrstavamo u dvije podskupine:</w:t>
      </w:r>
    </w:p>
    <w:p w:rsidR="005C1E80" w:rsidRDefault="005C1E80" w:rsidP="00A66748">
      <w:pPr>
        <w:numPr>
          <w:ilvl w:val="0"/>
          <w:numId w:val="71"/>
        </w:numPr>
        <w:spacing w:after="200" w:line="276" w:lineRule="auto"/>
        <w:jc w:val="both"/>
        <w:rPr>
          <w:rFonts w:ascii="Aptos" w:hAnsi="Aptos"/>
          <w:sz w:val="24"/>
          <w:szCs w:val="24"/>
        </w:rPr>
      </w:pPr>
      <w:r>
        <w:rPr>
          <w:rFonts w:ascii="Aptos" w:hAnsi="Aptos"/>
          <w:sz w:val="24"/>
          <w:szCs w:val="24"/>
        </w:rPr>
        <w:t>Sudionici sustava civilne zaštite (Vlada Republike Hrvatske, Ministarstvo unutarnjih poslova, tijela državne uprave i druga državna tijela, Oružane snage Republike Hrvatske i policija i jedinice lokalne i područne (regionalne) samouprave).</w:t>
      </w:r>
    </w:p>
    <w:p w:rsidR="005C1E80" w:rsidRDefault="005C1E80" w:rsidP="005C1E80">
      <w:pPr>
        <w:rPr>
          <w:rFonts w:ascii="Aptos" w:hAnsi="Aptos"/>
          <w:sz w:val="24"/>
          <w:szCs w:val="24"/>
        </w:rPr>
      </w:pPr>
    </w:p>
    <w:p w:rsidR="005C1E80" w:rsidRDefault="005C1E80" w:rsidP="00A66748">
      <w:pPr>
        <w:numPr>
          <w:ilvl w:val="0"/>
          <w:numId w:val="71"/>
        </w:numPr>
        <w:spacing w:after="200" w:line="276" w:lineRule="auto"/>
        <w:rPr>
          <w:rFonts w:ascii="Aptos" w:hAnsi="Aptos"/>
          <w:sz w:val="24"/>
          <w:szCs w:val="24"/>
        </w:rPr>
      </w:pPr>
      <w:r>
        <w:rPr>
          <w:rFonts w:ascii="Aptos" w:hAnsi="Aptos"/>
          <w:sz w:val="24"/>
          <w:szCs w:val="24"/>
        </w:rPr>
        <w:t>Operativne snage sustava civilne zaštite čine:</w:t>
      </w:r>
    </w:p>
    <w:p w:rsidR="005C1E80" w:rsidRDefault="005C1E80" w:rsidP="005C1E80">
      <w:pPr>
        <w:rPr>
          <w:rFonts w:ascii="Aptos" w:hAnsi="Aptos"/>
          <w:sz w:val="24"/>
          <w:szCs w:val="24"/>
        </w:rPr>
      </w:pP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stožeri civilne zaštite</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operativne snage vatrogastva</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operativne snage Hrvatskog Crvenog križa</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operativne snage Hrvatske gorske službe spašavanja</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udruge</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postrojbe i povjerenici civilne zaštite</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lastRenderedPageBreak/>
        <w:t>koordinatori na lokaciji</w:t>
      </w:r>
    </w:p>
    <w:p w:rsidR="005C1E80" w:rsidRDefault="005C1E80" w:rsidP="00A66748">
      <w:pPr>
        <w:numPr>
          <w:ilvl w:val="0"/>
          <w:numId w:val="72"/>
        </w:numPr>
        <w:spacing w:after="200" w:line="276" w:lineRule="auto"/>
        <w:rPr>
          <w:rFonts w:ascii="Aptos" w:hAnsi="Aptos"/>
          <w:sz w:val="24"/>
          <w:szCs w:val="24"/>
        </w:rPr>
      </w:pPr>
      <w:r>
        <w:rPr>
          <w:rFonts w:ascii="Aptos" w:hAnsi="Aptos"/>
          <w:sz w:val="24"/>
          <w:szCs w:val="24"/>
        </w:rPr>
        <w:t>pravne osobe u sustavu civilne zaštite.</w:t>
      </w:r>
    </w:p>
    <w:p w:rsidR="005C1E80" w:rsidRDefault="005C1E80" w:rsidP="005C1E80">
      <w:pPr>
        <w:rPr>
          <w:rFonts w:ascii="Aptos" w:hAnsi="Aptos"/>
          <w:sz w:val="24"/>
          <w:szCs w:val="24"/>
        </w:rPr>
      </w:pPr>
    </w:p>
    <w:p w:rsidR="005C1E80" w:rsidRDefault="005C1E80" w:rsidP="005C1E80">
      <w:pPr>
        <w:rPr>
          <w:rFonts w:ascii="Aptos" w:hAnsi="Aptos"/>
          <w:sz w:val="24"/>
          <w:szCs w:val="24"/>
        </w:rPr>
        <w:sectPr w:rsidR="005C1E80" w:rsidSect="005C1E80">
          <w:pgSz w:w="11906" w:h="16838"/>
          <w:pgMar w:top="1418" w:right="1134" w:bottom="1418" w:left="1134" w:header="709" w:footer="709" w:gutter="0"/>
          <w:cols w:space="708"/>
          <w:titlePg/>
          <w:docGrid w:linePitch="360"/>
        </w:sectPr>
      </w:pPr>
      <w:r>
        <w:rPr>
          <w:rFonts w:ascii="Aptos" w:hAnsi="Aptos"/>
          <w:sz w:val="24"/>
          <w:szCs w:val="24"/>
        </w:rPr>
        <w:t>U slučaju prirodne nepogode, sustav civilne zaštite aktivira se i djeluje u skladu sa Planom djelovanja civilne zaštite, stoga se njihove mjere i aktivnosti neće opisivati u ovom dokumentu</w:t>
      </w:r>
    </w:p>
    <w:p w:rsidR="005C1E80" w:rsidRDefault="005C1E80" w:rsidP="00A66748">
      <w:pPr>
        <w:numPr>
          <w:ilvl w:val="1"/>
          <w:numId w:val="73"/>
        </w:numPr>
        <w:spacing w:after="0" w:line="240" w:lineRule="auto"/>
        <w:ind w:left="0"/>
        <w:jc w:val="both"/>
        <w:outlineLvl w:val="1"/>
        <w:rPr>
          <w:rFonts w:ascii="Aptos" w:eastAsia="Times New Roman" w:hAnsi="Aptos" w:cs="Times New Roman"/>
          <w:bCs/>
          <w:i/>
          <w:iCs/>
          <w:color w:val="000000"/>
          <w:sz w:val="24"/>
          <w:szCs w:val="24"/>
          <w:lang w:eastAsia="zh-CN"/>
        </w:rPr>
      </w:pPr>
      <w:bookmarkStart w:id="67" w:name="_Toc208190514"/>
      <w:r>
        <w:rPr>
          <w:rFonts w:ascii="Aptos" w:eastAsia="Times New Roman" w:hAnsi="Aptos" w:cs="Times New Roman"/>
          <w:bCs/>
          <w:i/>
          <w:iCs/>
          <w:color w:val="000000"/>
          <w:sz w:val="24"/>
          <w:szCs w:val="24"/>
          <w:lang w:eastAsia="zh-CN"/>
        </w:rPr>
        <w:lastRenderedPageBreak/>
        <w:t>Postupak proglašenja, prijave i isplate štete</w:t>
      </w:r>
      <w:bookmarkEnd w:id="67"/>
    </w:p>
    <w:p w:rsidR="005C1E80" w:rsidRDefault="005C1E80" w:rsidP="005C1E80">
      <w:pPr>
        <w:jc w:val="both"/>
        <w:rPr>
          <w:rFonts w:ascii="Aptos" w:hAnsi="Aptos" w:cstheme="minorHAnsi"/>
          <w:sz w:val="24"/>
          <w:szCs w:val="24"/>
        </w:rPr>
      </w:pPr>
    </w:p>
    <w:p w:rsidR="005C1E80" w:rsidRDefault="005C1E80" w:rsidP="00A66748">
      <w:pPr>
        <w:numPr>
          <w:ilvl w:val="2"/>
          <w:numId w:val="73"/>
        </w:numPr>
        <w:spacing w:after="0" w:line="240" w:lineRule="auto"/>
        <w:ind w:left="142"/>
        <w:jc w:val="both"/>
        <w:outlineLvl w:val="2"/>
        <w:rPr>
          <w:rFonts w:ascii="Aptos" w:eastAsia="Times New Roman" w:hAnsi="Aptos" w:cstheme="minorHAnsi"/>
          <w:i/>
          <w:sz w:val="24"/>
          <w:szCs w:val="24"/>
        </w:rPr>
      </w:pPr>
      <w:bookmarkStart w:id="68" w:name="_Toc208190515"/>
      <w:bookmarkStart w:id="69" w:name="_Toc55220036"/>
      <w:bookmarkStart w:id="70" w:name="_Toc179368303"/>
      <w:r>
        <w:rPr>
          <w:rFonts w:ascii="Aptos" w:eastAsia="Times New Roman" w:hAnsi="Aptos" w:cstheme="minorHAnsi"/>
          <w:i/>
          <w:sz w:val="24"/>
          <w:szCs w:val="24"/>
        </w:rPr>
        <w:t>Proglašenje prirodne nepogode</w:t>
      </w:r>
      <w:bookmarkEnd w:id="68"/>
      <w:bookmarkEnd w:id="69"/>
      <w:r>
        <w:rPr>
          <w:rFonts w:ascii="Aptos" w:eastAsia="Times New Roman" w:hAnsi="Aptos" w:cstheme="minorHAnsi"/>
          <w:i/>
          <w:sz w:val="24"/>
          <w:szCs w:val="24"/>
        </w:rPr>
        <w:t xml:space="preserve"> </w:t>
      </w:r>
      <w:bookmarkEnd w:id="70"/>
    </w:p>
    <w:p w:rsidR="005C1E80" w:rsidRDefault="005C1E80" w:rsidP="005C1E80">
      <w:pPr>
        <w:rPr>
          <w:rFonts w:ascii="Aptos" w:hAnsi="Aptos"/>
          <w:sz w:val="24"/>
          <w:szCs w:val="24"/>
        </w:rPr>
      </w:pPr>
    </w:p>
    <w:p w:rsidR="005C1E80" w:rsidRDefault="005C1E80" w:rsidP="008140D1">
      <w:pPr>
        <w:numPr>
          <w:ilvl w:val="0"/>
          <w:numId w:val="74"/>
        </w:numPr>
        <w:spacing w:beforeLines="30" w:beforeAutospacing="1" w:afterLines="30" w:afterAutospacing="1"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Prirodna nepogoda može se proglasiti ako je vrijednost ukupne izravne štete najmanje 20% vrijednosti izvornih prihoda jedinice lokalne samouprave za prethodnu godinu ili ako je prirod (rod) umanjen najmanje 30% prethodnog trogodišnjeg prosjeka na području jedinice lokalne samouprave ili ako je nepogoda umanjila vrijednost imovine na području jedinice lokalne samouprave najmanje 30%.</w:t>
      </w:r>
    </w:p>
    <w:p w:rsidR="005C1E80" w:rsidRDefault="005C1E80" w:rsidP="005C1E80">
      <w:pPr>
        <w:ind w:left="360"/>
        <w:jc w:val="both"/>
        <w:rPr>
          <w:rFonts w:ascii="Aptos" w:hAnsi="Aptos" w:cstheme="minorHAnsi"/>
          <w:sz w:val="24"/>
          <w:szCs w:val="24"/>
        </w:rPr>
      </w:pPr>
      <w:r>
        <w:rPr>
          <w:rFonts w:ascii="Aptos" w:hAnsi="Aptos" w:cstheme="minorHAnsi"/>
          <w:sz w:val="24"/>
          <w:szCs w:val="24"/>
        </w:rPr>
        <w:t>Ispunjenje uvjeta iz prethodne točke utvrđuje Općinsko povjerenstvo.</w:t>
      </w:r>
    </w:p>
    <w:p w:rsidR="005C1E80" w:rsidRDefault="005C1E80" w:rsidP="008140D1">
      <w:pPr>
        <w:numPr>
          <w:ilvl w:val="0"/>
          <w:numId w:val="74"/>
        </w:numPr>
        <w:spacing w:beforeLines="30" w:beforeAutospacing="1" w:afterLines="30" w:afterAutospacing="1"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 xml:space="preserve">Župan donosi odluku o proglašenju prirodne nepogode za jedinice lokalne samouprave na području županije  na prijedlog Načelnika.  </w:t>
      </w:r>
    </w:p>
    <w:p w:rsidR="005C1E80" w:rsidRDefault="005C1E80" w:rsidP="008140D1">
      <w:pPr>
        <w:spacing w:beforeLines="30" w:beforeAutospacing="1" w:afterLines="30" w:afterAutospacing="1" w:line="240" w:lineRule="auto"/>
        <w:ind w:firstLine="360"/>
        <w:jc w:val="both"/>
        <w:textAlignment w:val="baseline"/>
        <w:rPr>
          <w:rFonts w:ascii="Aptos" w:eastAsia="Times New Roman" w:hAnsi="Aptos" w:cstheme="minorHAnsi"/>
          <w:sz w:val="24"/>
          <w:szCs w:val="24"/>
        </w:rPr>
      </w:pPr>
      <w:r>
        <w:rPr>
          <w:rFonts w:ascii="Aptos" w:eastAsia="Times New Roman" w:hAnsi="Aptos" w:cstheme="minorHAnsi"/>
          <w:sz w:val="24"/>
          <w:szCs w:val="24"/>
        </w:rPr>
        <w:t>Odluku o proglašenju prirodne nepogode na području županije donosi župan.</w:t>
      </w:r>
    </w:p>
    <w:p w:rsidR="005C1E80" w:rsidRDefault="005C1E80" w:rsidP="008140D1">
      <w:pPr>
        <w:spacing w:beforeLines="30" w:beforeAutospacing="1" w:afterLines="30" w:afterAutospacing="1" w:line="240" w:lineRule="auto"/>
        <w:ind w:left="360"/>
        <w:jc w:val="both"/>
        <w:textAlignment w:val="baseline"/>
        <w:rPr>
          <w:rFonts w:ascii="Aptos" w:eastAsia="Times New Roman" w:hAnsi="Aptos" w:cstheme="minorHAnsi"/>
          <w:sz w:val="24"/>
          <w:szCs w:val="24"/>
        </w:rPr>
      </w:pPr>
      <w:r>
        <w:rPr>
          <w:rFonts w:ascii="Aptos" w:eastAsia="Times New Roman" w:hAnsi="Aptos" w:cstheme="minorHAnsi"/>
          <w:sz w:val="24"/>
          <w:szCs w:val="24"/>
        </w:rPr>
        <w:t>Vlada Republike Hrvatske donosi odluku, prema vlastitoj prosudbi za područje više županija ili na cijelom području Republike Hrvatske.</w:t>
      </w:r>
    </w:p>
    <w:p w:rsidR="005C1E80" w:rsidRDefault="005C1E80" w:rsidP="008140D1">
      <w:pPr>
        <w:numPr>
          <w:ilvl w:val="0"/>
          <w:numId w:val="74"/>
        </w:numPr>
        <w:spacing w:beforeLines="30" w:beforeAutospacing="1" w:afterLines="30" w:afterAutospacing="1"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Nakon proglašenja prirodne nepogode radi dodjele novčanih sredstava za djelomičnu sanaciju šteta od prirodnih nepogoda nadležna tijela</w:t>
      </w:r>
      <w:r>
        <w:rPr>
          <w:rFonts w:ascii="Aptos" w:eastAsia="Times New Roman" w:hAnsi="Aptos" w:cstheme="minorHAnsi"/>
          <w:sz w:val="24"/>
          <w:szCs w:val="24"/>
          <w:vertAlign w:val="superscript"/>
        </w:rPr>
        <w:footnoteReference w:id="5"/>
      </w:r>
      <w:r>
        <w:rPr>
          <w:rFonts w:ascii="Aptos" w:eastAsia="Times New Roman" w:hAnsi="Aptos" w:cstheme="minorHAnsi"/>
          <w:sz w:val="24"/>
          <w:szCs w:val="24"/>
        </w:rPr>
        <w:t xml:space="preserve">  provode sljedeće radnje:</w:t>
      </w:r>
    </w:p>
    <w:p w:rsidR="005C1E80" w:rsidRDefault="005C1E80" w:rsidP="008140D1">
      <w:pPr>
        <w:numPr>
          <w:ilvl w:val="0"/>
          <w:numId w:val="75"/>
        </w:numPr>
        <w:spacing w:beforeLines="30" w:afterLines="30" w:line="240" w:lineRule="auto"/>
        <w:ind w:left="1080"/>
        <w:jc w:val="both"/>
        <w:textAlignment w:val="baseline"/>
        <w:rPr>
          <w:rFonts w:ascii="Aptos" w:eastAsia="Times New Roman" w:hAnsi="Aptos" w:cstheme="minorHAnsi"/>
          <w:sz w:val="24"/>
          <w:szCs w:val="24"/>
        </w:rPr>
      </w:pPr>
      <w:r>
        <w:rPr>
          <w:rFonts w:ascii="Aptos" w:eastAsia="Times New Roman" w:hAnsi="Aptos" w:cstheme="minorHAnsi"/>
          <w:sz w:val="24"/>
          <w:szCs w:val="24"/>
        </w:rPr>
        <w:t>prijavu prve procjene štete u Registar šteta,</w:t>
      </w:r>
    </w:p>
    <w:p w:rsidR="005C1E80" w:rsidRDefault="005C1E80" w:rsidP="008140D1">
      <w:pPr>
        <w:numPr>
          <w:ilvl w:val="0"/>
          <w:numId w:val="75"/>
        </w:numPr>
        <w:spacing w:beforeLines="30" w:afterLines="30" w:line="240" w:lineRule="auto"/>
        <w:ind w:left="1080"/>
        <w:jc w:val="both"/>
        <w:textAlignment w:val="baseline"/>
        <w:rPr>
          <w:rFonts w:ascii="Aptos" w:eastAsia="Times New Roman" w:hAnsi="Aptos" w:cstheme="minorHAnsi"/>
          <w:sz w:val="24"/>
          <w:szCs w:val="24"/>
        </w:rPr>
      </w:pPr>
      <w:r>
        <w:rPr>
          <w:rFonts w:ascii="Aptos" w:eastAsia="Times New Roman" w:hAnsi="Aptos" w:cstheme="minorHAnsi"/>
          <w:sz w:val="24"/>
          <w:szCs w:val="24"/>
        </w:rPr>
        <w:t>prijavu konačne procjene štete u Registar šteta,</w:t>
      </w:r>
    </w:p>
    <w:p w:rsidR="005C1E80" w:rsidRDefault="005C1E80" w:rsidP="008140D1">
      <w:pPr>
        <w:numPr>
          <w:ilvl w:val="0"/>
          <w:numId w:val="75"/>
        </w:numPr>
        <w:spacing w:beforeLines="30" w:afterLines="30" w:line="240" w:lineRule="auto"/>
        <w:ind w:left="1080"/>
        <w:jc w:val="both"/>
        <w:textAlignment w:val="baseline"/>
        <w:rPr>
          <w:rFonts w:ascii="Aptos" w:eastAsia="Times New Roman" w:hAnsi="Aptos" w:cstheme="minorHAnsi"/>
          <w:sz w:val="24"/>
          <w:szCs w:val="24"/>
        </w:rPr>
      </w:pPr>
      <w:r>
        <w:rPr>
          <w:rFonts w:ascii="Aptos" w:eastAsia="Times New Roman" w:hAnsi="Aptos" w:cstheme="minorHAnsi"/>
          <w:sz w:val="24"/>
          <w:szCs w:val="24"/>
        </w:rPr>
        <w:t>potvrdu konačne procjene, određivanje kriterija i načina dodjele sredstava pomoći.</w:t>
      </w:r>
    </w:p>
    <w:p w:rsidR="005C1E80" w:rsidRDefault="005C1E80" w:rsidP="005C1E80">
      <w:pPr>
        <w:rPr>
          <w:rFonts w:ascii="Aptos" w:hAnsi="Aptos"/>
          <w:sz w:val="24"/>
          <w:szCs w:val="24"/>
        </w:rPr>
      </w:pPr>
    </w:p>
    <w:p w:rsidR="005C1E80" w:rsidRDefault="005C1E80" w:rsidP="00A66748">
      <w:pPr>
        <w:numPr>
          <w:ilvl w:val="2"/>
          <w:numId w:val="73"/>
        </w:numPr>
        <w:spacing w:after="0" w:line="240" w:lineRule="auto"/>
        <w:ind w:left="142"/>
        <w:jc w:val="both"/>
        <w:outlineLvl w:val="2"/>
        <w:rPr>
          <w:rFonts w:ascii="Aptos" w:eastAsia="Times New Roman" w:hAnsi="Aptos" w:cstheme="minorHAnsi"/>
          <w:i/>
          <w:sz w:val="24"/>
          <w:szCs w:val="24"/>
        </w:rPr>
      </w:pPr>
      <w:bookmarkStart w:id="71" w:name="_Toc179368304"/>
      <w:bookmarkStart w:id="72" w:name="_Toc208190516"/>
      <w:bookmarkStart w:id="73" w:name="_Toc55220037"/>
      <w:r>
        <w:rPr>
          <w:rFonts w:ascii="Aptos" w:eastAsia="Times New Roman" w:hAnsi="Aptos" w:cstheme="minorHAnsi"/>
          <w:i/>
          <w:sz w:val="24"/>
          <w:szCs w:val="24"/>
        </w:rPr>
        <w:t>Prva procjena štete – sadržaj prijave prve procjene štete</w:t>
      </w:r>
      <w:bookmarkEnd w:id="71"/>
      <w:bookmarkEnd w:id="72"/>
      <w:bookmarkEnd w:id="73"/>
    </w:p>
    <w:p w:rsidR="005C1E80" w:rsidRDefault="005C1E80" w:rsidP="005C1E80">
      <w:pPr>
        <w:rPr>
          <w:rFonts w:ascii="Aptos" w:hAnsi="Aptos"/>
          <w:sz w:val="24"/>
          <w:szCs w:val="24"/>
        </w:rPr>
      </w:pPr>
    </w:p>
    <w:p w:rsidR="005C1E80" w:rsidRDefault="005C1E80" w:rsidP="00A66748">
      <w:pPr>
        <w:numPr>
          <w:ilvl w:val="0"/>
          <w:numId w:val="76"/>
        </w:numPr>
        <w:shd w:val="clear" w:color="auto" w:fill="FFFFFF"/>
        <w:spacing w:after="225" w:line="240" w:lineRule="auto"/>
        <w:jc w:val="both"/>
        <w:textAlignment w:val="baseline"/>
        <w:rPr>
          <w:rFonts w:ascii="Aptos" w:eastAsia="Times New Roman" w:hAnsi="Aptos" w:cstheme="minorHAnsi"/>
          <w:sz w:val="24"/>
          <w:szCs w:val="24"/>
          <w:shd w:val="clear" w:color="auto" w:fill="FFFFFF"/>
        </w:rPr>
      </w:pPr>
      <w:r>
        <w:rPr>
          <w:rFonts w:ascii="Aptos" w:eastAsia="Times New Roman" w:hAnsi="Aptos" w:cstheme="minorHAnsi"/>
          <w:sz w:val="24"/>
          <w:szCs w:val="24"/>
          <w:shd w:val="clear" w:color="auto" w:fill="FFFFFF"/>
        </w:rPr>
        <w:t>U roku od 8 dana od dana donošenja odluke, oštećenici pisanim putem podnose prijavu štete na imovini Općinskom povjerenstvu na propisanom obrascu (</w:t>
      </w:r>
      <w:hyperlink r:id="rId65" w:history="1">
        <w:r>
          <w:rPr>
            <w:rFonts w:ascii="Aptos" w:eastAsia="Times New Roman" w:hAnsi="Aptos" w:cstheme="minorHAnsi"/>
            <w:color w:val="0563C1" w:themeColor="hyperlink"/>
            <w:sz w:val="24"/>
            <w:szCs w:val="24"/>
            <w:u w:val="single"/>
            <w:shd w:val="clear" w:color="auto" w:fill="FFFFFF"/>
          </w:rPr>
          <w:t>prilog 2</w:t>
        </w:r>
      </w:hyperlink>
      <w:r>
        <w:rPr>
          <w:rFonts w:ascii="Aptos" w:eastAsia="Times New Roman" w:hAnsi="Aptos" w:cstheme="minorHAnsi"/>
          <w:sz w:val="24"/>
          <w:szCs w:val="24"/>
          <w:shd w:val="clear" w:color="auto" w:fill="FFFFFF"/>
        </w:rPr>
        <w:t xml:space="preserve">). </w:t>
      </w:r>
    </w:p>
    <w:p w:rsidR="005C1E80" w:rsidRDefault="005C1E80" w:rsidP="005C1E80">
      <w:pPr>
        <w:shd w:val="clear" w:color="auto" w:fill="FFFFFF"/>
        <w:spacing w:after="225" w:line="240" w:lineRule="auto"/>
        <w:ind w:left="720"/>
        <w:jc w:val="both"/>
        <w:textAlignment w:val="baseline"/>
        <w:rPr>
          <w:rFonts w:ascii="Aptos" w:eastAsia="Times New Roman" w:hAnsi="Aptos" w:cstheme="minorHAnsi"/>
          <w:sz w:val="24"/>
          <w:szCs w:val="24"/>
          <w:shd w:val="clear" w:color="auto" w:fill="FFFFFF"/>
        </w:rPr>
      </w:pPr>
      <w:r>
        <w:rPr>
          <w:rFonts w:ascii="Aptos" w:eastAsia="Times New Roman" w:hAnsi="Aptos" w:cstheme="minorHAnsi"/>
          <w:sz w:val="24"/>
          <w:szCs w:val="24"/>
          <w:shd w:val="clear" w:color="auto" w:fill="FFFFFF"/>
        </w:rPr>
        <w:t>Iznimno oštećenik može podnijeti prijavu prve procjene štete i nakon isteka roka od 8 dana od dana donošenja Odluke o proglašenju prirodne nepogode u slučaju  postojanja objektivnih razloga na koje nije mogao utjecati, a najkasnije u roku od 12 dana od dana donošenja Odluke o proglašenju prirodne nepogode. Najkasnije u roku od 15 dana od dana donošenja odluke, Općinsko povjerenstvo unosi sve zaprimljene prve procjene štete u Registar šteta.</w:t>
      </w:r>
    </w:p>
    <w:p w:rsidR="005C1E80" w:rsidRDefault="005C1E80" w:rsidP="00A66748">
      <w:pPr>
        <w:numPr>
          <w:ilvl w:val="0"/>
          <w:numId w:val="76"/>
        </w:numPr>
        <w:shd w:val="clear" w:color="auto" w:fill="FFFFFF"/>
        <w:spacing w:after="225" w:line="240" w:lineRule="auto"/>
        <w:jc w:val="both"/>
        <w:textAlignment w:val="baseline"/>
        <w:rPr>
          <w:rFonts w:ascii="Aptos" w:eastAsia="Times New Roman" w:hAnsi="Aptos" w:cstheme="minorHAnsi"/>
          <w:sz w:val="24"/>
          <w:szCs w:val="24"/>
          <w:shd w:val="clear" w:color="auto" w:fill="FFFFFF"/>
        </w:rPr>
      </w:pPr>
      <w:r>
        <w:rPr>
          <w:rFonts w:ascii="Aptos" w:eastAsia="Times New Roman" w:hAnsi="Aptos" w:cstheme="minorHAnsi"/>
          <w:sz w:val="24"/>
          <w:szCs w:val="24"/>
          <w:shd w:val="clear" w:color="auto" w:fill="FFFFFF"/>
        </w:rPr>
        <w:t>Nakon isteka roka iz točke 1. Općinsko povjerenstvo unosi sve zaprimljene prve procjene štete u Registar štete najkasnije u roku od 12 dana od dana donošenja Odluke o proglašenju prirodne nepogode.</w:t>
      </w:r>
    </w:p>
    <w:p w:rsidR="005C1E80" w:rsidRDefault="005C1E80" w:rsidP="00A66748">
      <w:pPr>
        <w:numPr>
          <w:ilvl w:val="0"/>
          <w:numId w:val="76"/>
        </w:numPr>
        <w:shd w:val="clear" w:color="auto" w:fill="FFFFFF"/>
        <w:spacing w:after="225" w:line="240" w:lineRule="auto"/>
        <w:jc w:val="both"/>
        <w:textAlignment w:val="baseline"/>
        <w:rPr>
          <w:rFonts w:ascii="Aptos" w:eastAsia="Times New Roman" w:hAnsi="Aptos" w:cstheme="minorHAnsi"/>
          <w:sz w:val="24"/>
          <w:szCs w:val="24"/>
          <w:shd w:val="clear" w:color="auto" w:fill="FFFFFF"/>
        </w:rPr>
      </w:pPr>
      <w:r>
        <w:rPr>
          <w:rFonts w:ascii="Aptos" w:eastAsia="Times New Roman" w:hAnsi="Aptos" w:cstheme="minorHAnsi"/>
          <w:sz w:val="24"/>
          <w:szCs w:val="24"/>
          <w:shd w:val="clear" w:color="auto" w:fill="FFFFFF"/>
        </w:rPr>
        <w:lastRenderedPageBreak/>
        <w:t>Iznimno od roka iz točke 2. u slučaju postojanja objektivnog razloga na koji oštećenik nije mogao utjecati, a zbog kojeg je onemogućen elektronički unos podataka u Registar šteta, rok za unos podataka u Registar šteta može se produljiti za 8 dana, o čemu odlučuje županijsko povjerenstvo na temelju zahtjeva Općinskog povjerenstva.</w:t>
      </w:r>
    </w:p>
    <w:p w:rsidR="005C1E80" w:rsidRDefault="005C1E80" w:rsidP="00A66748">
      <w:pPr>
        <w:numPr>
          <w:ilvl w:val="0"/>
          <w:numId w:val="76"/>
        </w:numPr>
        <w:shd w:val="clear" w:color="auto" w:fill="FFFFFF"/>
        <w:spacing w:after="225" w:line="240" w:lineRule="auto"/>
        <w:jc w:val="both"/>
        <w:textAlignment w:val="baseline"/>
        <w:rPr>
          <w:rFonts w:ascii="Aptos" w:eastAsia="Times New Roman" w:hAnsi="Aptos" w:cstheme="minorHAnsi"/>
          <w:sz w:val="24"/>
          <w:szCs w:val="24"/>
          <w:shd w:val="clear" w:color="auto" w:fill="FFFFFF"/>
        </w:rPr>
      </w:pPr>
      <w:r>
        <w:rPr>
          <w:rFonts w:ascii="Aptos" w:eastAsia="Times New Roman" w:hAnsi="Aptos" w:cstheme="minorHAnsi"/>
          <w:color w:val="000000"/>
          <w:sz w:val="24"/>
          <w:szCs w:val="24"/>
          <w:shd w:val="clear" w:color="auto" w:fill="FFFFFF"/>
        </w:rPr>
        <w:t>Šteta se procjenjuje na području na kojem se dogodila. Šteta se utvrđuje za sljedeće skupine dobara:</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građevine </w:t>
      </w:r>
      <w:r>
        <w:rPr>
          <w:rFonts w:ascii="Aptos" w:eastAsia="Times New Roman" w:hAnsi="Aptos" w:cstheme="minorHAnsi"/>
          <w:sz w:val="24"/>
          <w:szCs w:val="24"/>
        </w:rPr>
        <w:t>(</w:t>
      </w:r>
      <w:hyperlink r:id="rId66"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sz w:val="24"/>
          <w:szCs w:val="24"/>
        </w:rPr>
        <w:t xml:space="preserve"> </w:t>
      </w:r>
      <w:hyperlink r:id="rId67" w:history="1">
        <w:r>
          <w:rPr>
            <w:rFonts w:ascii="Aptos" w:eastAsia="Times New Roman" w:hAnsi="Aptos" w:cstheme="minorHAnsi"/>
            <w:color w:val="0563C1" w:themeColor="hyperlink"/>
            <w:sz w:val="24"/>
            <w:szCs w:val="24"/>
            <w:u w:val="single"/>
          </w:rPr>
          <w:t>prilog 3</w:t>
        </w:r>
      </w:hyperlink>
      <w:r>
        <w:rPr>
          <w:rFonts w:ascii="Aptos" w:eastAsia="Times New Roman" w:hAnsi="Aptos" w:cstheme="minorHAnsi"/>
          <w:sz w:val="24"/>
          <w:szCs w:val="24"/>
        </w:rPr>
        <w:t xml:space="preserve">, </w:t>
      </w:r>
      <w:hyperlink r:id="rId68" w:history="1">
        <w:r>
          <w:rPr>
            <w:rFonts w:ascii="Aptos" w:eastAsia="Times New Roman" w:hAnsi="Aptos" w:cstheme="minorHAnsi"/>
            <w:color w:val="0563C1" w:themeColor="hyperlink"/>
            <w:sz w:val="24"/>
            <w:szCs w:val="24"/>
            <w:u w:val="single"/>
          </w:rPr>
          <w:t>prilog 4</w:t>
        </w:r>
      </w:hyperlink>
      <w:r>
        <w:rPr>
          <w:rFonts w:ascii="Aptos" w:eastAsia="Times New Roman" w:hAnsi="Aptos" w:cstheme="minorHAnsi"/>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opremu </w:t>
      </w:r>
      <w:r>
        <w:rPr>
          <w:rFonts w:ascii="Aptos" w:eastAsia="Times New Roman" w:hAnsi="Aptos" w:cstheme="minorHAnsi"/>
          <w:sz w:val="24"/>
          <w:szCs w:val="24"/>
        </w:rPr>
        <w:t>(</w:t>
      </w:r>
      <w:hyperlink r:id="rId69" w:history="1">
        <w:r>
          <w:rPr>
            <w:rFonts w:ascii="Aptos" w:eastAsia="Times New Roman" w:hAnsi="Aptos" w:cstheme="minorHAnsi"/>
            <w:color w:val="0563C1" w:themeColor="hyperlink"/>
            <w:sz w:val="24"/>
            <w:szCs w:val="24"/>
            <w:u w:val="single"/>
          </w:rPr>
          <w:t>prilog 2</w:t>
        </w:r>
      </w:hyperlink>
      <w:r>
        <w:t>,</w:t>
      </w:r>
      <w:r>
        <w:rPr>
          <w:rFonts w:ascii="Aptos" w:eastAsia="Times New Roman" w:hAnsi="Aptos" w:cstheme="minorHAnsi"/>
          <w:sz w:val="24"/>
          <w:szCs w:val="24"/>
        </w:rPr>
        <w:t xml:space="preserve"> </w:t>
      </w:r>
      <w:hyperlink r:id="rId70" w:history="1">
        <w:r>
          <w:rPr>
            <w:rFonts w:ascii="Aptos" w:eastAsia="Times New Roman" w:hAnsi="Aptos" w:cstheme="minorHAnsi"/>
            <w:color w:val="0563C1" w:themeColor="hyperlink"/>
            <w:sz w:val="24"/>
            <w:szCs w:val="24"/>
            <w:u w:val="single"/>
          </w:rPr>
          <w:t>prilog  5</w:t>
        </w:r>
      </w:hyperlink>
      <w:r>
        <w:rPr>
          <w:rFonts w:ascii="Aptos" w:eastAsia="Times New Roman" w:hAnsi="Aptos" w:cstheme="minorHAnsi"/>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zemljišta </w:t>
      </w:r>
      <w:r>
        <w:rPr>
          <w:rFonts w:ascii="Aptos" w:eastAsia="Times New Roman" w:hAnsi="Aptos" w:cstheme="minorHAnsi"/>
          <w:sz w:val="24"/>
          <w:szCs w:val="24"/>
        </w:rPr>
        <w:t>(</w:t>
      </w:r>
      <w:hyperlink r:id="rId71"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višegodišnje nasade  </w:t>
      </w:r>
      <w:r>
        <w:rPr>
          <w:rFonts w:ascii="Aptos" w:eastAsia="Times New Roman" w:hAnsi="Aptos" w:cstheme="minorHAnsi"/>
          <w:sz w:val="24"/>
          <w:szCs w:val="24"/>
        </w:rPr>
        <w:t>(</w:t>
      </w:r>
      <w:hyperlink r:id="rId72"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šume </w:t>
      </w:r>
      <w:r>
        <w:rPr>
          <w:rFonts w:ascii="Aptos" w:eastAsia="Times New Roman" w:hAnsi="Aptos" w:cstheme="minorHAnsi"/>
          <w:sz w:val="24"/>
          <w:szCs w:val="24"/>
        </w:rPr>
        <w:t>(</w:t>
      </w:r>
      <w:hyperlink r:id="rId73" w:history="1">
        <w:r>
          <w:rPr>
            <w:rFonts w:ascii="Aptos" w:eastAsia="Times New Roman" w:hAnsi="Aptos" w:cstheme="minorHAnsi"/>
            <w:color w:val="0563C1" w:themeColor="hyperlink"/>
            <w:sz w:val="24"/>
            <w:szCs w:val="24"/>
            <w:u w:val="single"/>
          </w:rPr>
          <w:t>prilog 2</w:t>
        </w:r>
      </w:hyperlink>
      <w: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stoku </w:t>
      </w:r>
      <w:r>
        <w:rPr>
          <w:rFonts w:ascii="Aptos" w:eastAsia="Times New Roman" w:hAnsi="Aptos" w:cstheme="minorHAnsi"/>
          <w:sz w:val="24"/>
          <w:szCs w:val="24"/>
        </w:rPr>
        <w:t>(</w:t>
      </w:r>
      <w:hyperlink r:id="rId74"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ribe (</w:t>
      </w:r>
      <w:hyperlink r:id="rId75"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color w:val="000000"/>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poljoprivredna proizvodnja – proizvod (</w:t>
      </w:r>
      <w:hyperlink r:id="rId76"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color w:val="000000"/>
          <w:sz w:val="24"/>
          <w:szCs w:val="24"/>
        </w:rPr>
        <w:t>)</w:t>
      </w:r>
    </w:p>
    <w:p w:rsidR="005C1E80" w:rsidRDefault="005C1E80" w:rsidP="00A66748">
      <w:pPr>
        <w:numPr>
          <w:ilvl w:val="0"/>
          <w:numId w:val="77"/>
        </w:numPr>
        <w:shd w:val="clear" w:color="auto" w:fill="FFFFFF"/>
        <w:spacing w:after="225" w:line="240" w:lineRule="auto"/>
        <w:textAlignment w:val="baseline"/>
        <w:rPr>
          <w:rFonts w:ascii="Aptos" w:eastAsia="Times New Roman" w:hAnsi="Aptos" w:cstheme="minorHAnsi"/>
          <w:color w:val="000000"/>
          <w:sz w:val="24"/>
          <w:szCs w:val="24"/>
        </w:rPr>
      </w:pPr>
      <w:r>
        <w:rPr>
          <w:rFonts w:ascii="Aptos" w:eastAsia="Times New Roman" w:hAnsi="Aptos" w:cstheme="minorHAnsi"/>
          <w:color w:val="000000"/>
          <w:sz w:val="24"/>
          <w:szCs w:val="24"/>
        </w:rPr>
        <w:t xml:space="preserve">ostala sredstva i dobra </w:t>
      </w:r>
      <w:r>
        <w:rPr>
          <w:rFonts w:ascii="Aptos" w:eastAsia="Times New Roman" w:hAnsi="Aptos" w:cstheme="minorHAnsi"/>
          <w:sz w:val="24"/>
          <w:szCs w:val="24"/>
        </w:rPr>
        <w:t>(</w:t>
      </w:r>
      <w:hyperlink r:id="rId77" w:history="1">
        <w:r>
          <w:rPr>
            <w:rFonts w:ascii="Aptos" w:eastAsia="Times New Roman" w:hAnsi="Aptos" w:cstheme="minorHAnsi"/>
            <w:color w:val="0563C1" w:themeColor="hyperlink"/>
            <w:sz w:val="24"/>
            <w:szCs w:val="24"/>
            <w:u w:val="single"/>
          </w:rPr>
          <w:t>prilog 2</w:t>
        </w:r>
      </w:hyperlink>
      <w:r>
        <w:rPr>
          <w:rFonts w:ascii="Aptos" w:eastAsia="Times New Roman" w:hAnsi="Aptos" w:cstheme="minorHAnsi"/>
          <w:sz w:val="24"/>
          <w:szCs w:val="24"/>
        </w:rPr>
        <w:t>)</w:t>
      </w:r>
      <w:r>
        <w:rPr>
          <w:rFonts w:ascii="Aptos" w:eastAsia="Times New Roman" w:hAnsi="Aptos" w:cstheme="minorHAnsi"/>
          <w:color w:val="000000"/>
          <w:sz w:val="24"/>
          <w:szCs w:val="24"/>
        </w:rPr>
        <w:t>.</w:t>
      </w:r>
    </w:p>
    <w:p w:rsidR="005C1E80" w:rsidRDefault="005C1E80" w:rsidP="008140D1">
      <w:pPr>
        <w:numPr>
          <w:ilvl w:val="0"/>
          <w:numId w:val="76"/>
        </w:numPr>
        <w:spacing w:beforeLines="30" w:beforeAutospacing="1" w:afterLines="30" w:afterAutospacing="1" w:line="240" w:lineRule="auto"/>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Prijava prve procjene štete u Registar šteta sadržava:</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datum donošenja Odluke o proglašenju prirodne nepogode i njezin broj</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vrsti prirodne nepogode</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trajanju prirodne nepogode</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području zahvaćenom prirodnom nepogodom</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vrsti, opisu te vrijednosti oštećene imovine</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 xml:space="preserve">podatke o ukupnom iznosu prijavljene štete </w:t>
      </w:r>
    </w:p>
    <w:p w:rsidR="005C1E80" w:rsidRDefault="005C1E80" w:rsidP="008140D1">
      <w:pPr>
        <w:numPr>
          <w:ilvl w:val="0"/>
          <w:numId w:val="78"/>
        </w:numPr>
        <w:spacing w:beforeLines="30" w:beforeAutospacing="1" w:afterLines="30" w:afterAutospacing="1"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i informacije o potrebi žurnog djelovanja i dodjeli pomoći za sanaciju i djelomično uklanjanje posljedica prirodne nepogode te ostale podatke o prijavi štete sukladno Zakonu o ublažavanju i uklanjanju posljedica prirodnih nepogoda.</w:t>
      </w:r>
      <w:bookmarkStart w:id="74" w:name="_Toc55220038"/>
    </w:p>
    <w:p w:rsidR="005C1E80" w:rsidRDefault="005C1E80" w:rsidP="00A66748">
      <w:pPr>
        <w:numPr>
          <w:ilvl w:val="2"/>
          <w:numId w:val="73"/>
        </w:numPr>
        <w:spacing w:after="0" w:line="240" w:lineRule="auto"/>
        <w:ind w:left="142"/>
        <w:jc w:val="both"/>
        <w:outlineLvl w:val="2"/>
        <w:rPr>
          <w:rFonts w:ascii="Aptos" w:eastAsia="Times New Roman" w:hAnsi="Aptos" w:cstheme="minorHAnsi"/>
          <w:i/>
          <w:sz w:val="24"/>
          <w:szCs w:val="24"/>
        </w:rPr>
      </w:pPr>
      <w:bookmarkStart w:id="75" w:name="_Toc208190517"/>
      <w:bookmarkStart w:id="76" w:name="_Toc179368305"/>
      <w:r>
        <w:rPr>
          <w:rFonts w:ascii="Aptos" w:eastAsia="Times New Roman" w:hAnsi="Aptos" w:cstheme="minorHAnsi"/>
          <w:i/>
          <w:sz w:val="24"/>
          <w:szCs w:val="24"/>
        </w:rPr>
        <w:t>Konačna procjena štete</w:t>
      </w:r>
      <w:bookmarkEnd w:id="74"/>
      <w:bookmarkEnd w:id="75"/>
      <w:bookmarkEnd w:id="76"/>
    </w:p>
    <w:p w:rsidR="005C1E80" w:rsidRDefault="005C1E80" w:rsidP="005C1E80">
      <w:pPr>
        <w:rPr>
          <w:rFonts w:ascii="Aptos" w:hAnsi="Aptos"/>
          <w:sz w:val="24"/>
          <w:szCs w:val="24"/>
        </w:rPr>
      </w:pPr>
    </w:p>
    <w:p w:rsidR="005C1E80" w:rsidRDefault="005C1E80" w:rsidP="008140D1">
      <w:pPr>
        <w:numPr>
          <w:ilvl w:val="0"/>
          <w:numId w:val="79"/>
        </w:num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Konačna procjena šteta predstavlja procijenjenu vrijednost štete na imovini oštećenika izraženu u novčanoj vrijednosti. Temelj predstavlja prijava i procjena štete.</w:t>
      </w:r>
    </w:p>
    <w:p w:rsidR="005C1E80" w:rsidRDefault="005C1E80" w:rsidP="008140D1">
      <w:pPr>
        <w:spacing w:beforeLines="30" w:afterLines="30" w:line="240" w:lineRule="auto"/>
        <w:ind w:left="720"/>
        <w:jc w:val="both"/>
        <w:textAlignment w:val="baseline"/>
        <w:rPr>
          <w:rFonts w:ascii="Aptos" w:eastAsia="Times New Roman" w:hAnsi="Aptos" w:cstheme="minorHAnsi"/>
          <w:sz w:val="24"/>
          <w:szCs w:val="24"/>
        </w:rPr>
      </w:pPr>
    </w:p>
    <w:p w:rsidR="005C1E80" w:rsidRDefault="005C1E80" w:rsidP="008140D1">
      <w:pPr>
        <w:numPr>
          <w:ilvl w:val="0"/>
          <w:numId w:val="79"/>
        </w:num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Calibri"/>
          <w:color w:val="231F20"/>
          <w:sz w:val="24"/>
          <w:szCs w:val="24"/>
        </w:rPr>
        <w:t>Konačnu procjenu štete u</w:t>
      </w:r>
      <w:r>
        <w:rPr>
          <w:rFonts w:ascii="Aptos" w:eastAsia="Times New Roman" w:hAnsi="Aptos" w:cstheme="minorHAnsi"/>
          <w:color w:val="231F20"/>
          <w:sz w:val="24"/>
          <w:szCs w:val="24"/>
        </w:rPr>
        <w:t>tvrđuje Općinsko</w:t>
      </w:r>
      <w:r>
        <w:rPr>
          <w:rFonts w:ascii="Aptos" w:eastAsia="Times New Roman" w:hAnsi="Aptos" w:cs="Calibri"/>
          <w:color w:val="231F20"/>
          <w:sz w:val="24"/>
          <w:szCs w:val="24"/>
        </w:rPr>
        <w:t xml:space="preserve"> povje</w:t>
      </w:r>
      <w:r>
        <w:rPr>
          <w:rFonts w:ascii="Aptos" w:eastAsia="Times New Roman" w:hAnsi="Aptos" w:cstheme="minorHAnsi"/>
          <w:color w:val="231F20"/>
          <w:sz w:val="24"/>
          <w:szCs w:val="24"/>
        </w:rPr>
        <w:t xml:space="preserve">renstvo  </w:t>
      </w:r>
      <w:r>
        <w:rPr>
          <w:rFonts w:ascii="Aptos" w:eastAsia="Times New Roman" w:hAnsi="Aptos" w:cs="Calibri"/>
          <w:color w:val="231F20"/>
          <w:sz w:val="24"/>
          <w:szCs w:val="24"/>
        </w:rPr>
        <w:t>na temelju izvršenog uvida u nastal</w:t>
      </w:r>
      <w:r>
        <w:rPr>
          <w:rFonts w:ascii="Aptos" w:eastAsia="Times New Roman" w:hAnsi="Aptos" w:cstheme="minorHAnsi"/>
          <w:color w:val="231F20"/>
          <w:sz w:val="24"/>
          <w:szCs w:val="24"/>
        </w:rPr>
        <w:t>u štetu na temelju prijave oštećenika.</w:t>
      </w:r>
    </w:p>
    <w:p w:rsidR="005C1E80" w:rsidRDefault="005C1E80" w:rsidP="008140D1">
      <w:pPr>
        <w:spacing w:beforeLines="30" w:afterLines="30" w:line="240" w:lineRule="auto"/>
        <w:ind w:left="720"/>
        <w:jc w:val="both"/>
        <w:textAlignment w:val="baseline"/>
        <w:rPr>
          <w:rFonts w:ascii="Aptos" w:eastAsia="Times New Roman" w:hAnsi="Aptos" w:cstheme="minorHAnsi"/>
          <w:color w:val="231F20"/>
          <w:sz w:val="24"/>
          <w:szCs w:val="24"/>
        </w:rPr>
      </w:pPr>
    </w:p>
    <w:p w:rsidR="005C1E80" w:rsidRDefault="005C1E80" w:rsidP="008140D1">
      <w:pPr>
        <w:numPr>
          <w:ilvl w:val="0"/>
          <w:numId w:val="79"/>
        </w:num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T</w:t>
      </w:r>
      <w:r>
        <w:rPr>
          <w:rFonts w:ascii="Aptos" w:eastAsia="Times New Roman" w:hAnsi="Aptos" w:cs="Calibri"/>
          <w:color w:val="231F20"/>
          <w:sz w:val="24"/>
          <w:szCs w:val="24"/>
        </w:rPr>
        <w:t>ijekom procjene i utvrđivanja konačne procjene štete od prirodnih nepogoda posebno se utvrđuju:</w:t>
      </w:r>
    </w:p>
    <w:p w:rsidR="005C1E80" w:rsidRDefault="005C1E80" w:rsidP="008140D1">
      <w:pPr>
        <w:numPr>
          <w:ilvl w:val="0"/>
          <w:numId w:val="80"/>
        </w:numPr>
        <w:tabs>
          <w:tab w:val="left" w:pos="360"/>
        </w:tabs>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lastRenderedPageBreak/>
        <w:t>stradanja stanovništva</w:t>
      </w:r>
    </w:p>
    <w:p w:rsidR="005C1E80" w:rsidRDefault="005C1E80" w:rsidP="008140D1">
      <w:pPr>
        <w:numPr>
          <w:ilvl w:val="0"/>
          <w:numId w:val="80"/>
        </w:numPr>
        <w:tabs>
          <w:tab w:val="left" w:pos="360"/>
        </w:tabs>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opseg štete na imovini</w:t>
      </w:r>
    </w:p>
    <w:p w:rsidR="005C1E80" w:rsidRDefault="005C1E80" w:rsidP="008140D1">
      <w:pPr>
        <w:numPr>
          <w:ilvl w:val="0"/>
          <w:numId w:val="80"/>
        </w:numPr>
        <w:tabs>
          <w:tab w:val="left" w:pos="360"/>
        </w:tabs>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opseg štete koja je nastala zbog prekida proizvodnje, prekida rada ili poremećaja u neproizvodnim djelatnostima ili umanjenog prinosa u poljoprivredi, šumarstvu ili ribarstvu</w:t>
      </w:r>
    </w:p>
    <w:p w:rsidR="005C1E80" w:rsidRDefault="005C1E80" w:rsidP="008140D1">
      <w:pPr>
        <w:numPr>
          <w:ilvl w:val="0"/>
          <w:numId w:val="80"/>
        </w:numPr>
        <w:tabs>
          <w:tab w:val="left" w:pos="360"/>
        </w:tabs>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iznos troškova za ublažavanje i djelomično uklanjanje izravnih posljedica prirodnih nepogoda</w:t>
      </w:r>
    </w:p>
    <w:p w:rsidR="005C1E80" w:rsidRDefault="005C1E80" w:rsidP="008140D1">
      <w:pPr>
        <w:numPr>
          <w:ilvl w:val="0"/>
          <w:numId w:val="80"/>
        </w:numPr>
        <w:tabs>
          <w:tab w:val="left" w:pos="360"/>
        </w:tabs>
        <w:spacing w:beforeLines="30" w:afterLines="30" w:line="240" w:lineRule="auto"/>
        <w:textAlignment w:val="baseline"/>
        <w:rPr>
          <w:rFonts w:ascii="Aptos" w:eastAsia="Times New Roman" w:hAnsi="Aptos" w:cs="Calibri"/>
          <w:color w:val="231F20"/>
          <w:sz w:val="24"/>
          <w:szCs w:val="24"/>
        </w:rPr>
      </w:pPr>
      <w:r>
        <w:rPr>
          <w:rFonts w:ascii="Aptos" w:eastAsia="Times New Roman" w:hAnsi="Aptos" w:cs="Calibri"/>
          <w:color w:val="231F20"/>
          <w:sz w:val="24"/>
          <w:szCs w:val="24"/>
        </w:rPr>
        <w:t>opseg osiguranja imovine i života kod osiguravatelja</w:t>
      </w:r>
    </w:p>
    <w:p w:rsidR="005C1E80" w:rsidRDefault="005C1E80" w:rsidP="008140D1">
      <w:pPr>
        <w:numPr>
          <w:ilvl w:val="0"/>
          <w:numId w:val="80"/>
        </w:numPr>
        <w:tabs>
          <w:tab w:val="left" w:pos="360"/>
        </w:tabs>
        <w:spacing w:beforeLines="30" w:afterLines="30" w:line="240" w:lineRule="auto"/>
        <w:textAlignment w:val="baseline"/>
        <w:rPr>
          <w:rFonts w:ascii="Aptos" w:eastAsia="Times New Roman" w:hAnsi="Aptos" w:cstheme="minorHAnsi"/>
          <w:color w:val="231F20"/>
          <w:sz w:val="24"/>
          <w:szCs w:val="24"/>
        </w:rPr>
      </w:pPr>
      <w:r>
        <w:rPr>
          <w:rFonts w:ascii="Aptos" w:eastAsia="Times New Roman" w:hAnsi="Aptos" w:cs="Calibri"/>
          <w:color w:val="231F20"/>
          <w:sz w:val="24"/>
          <w:szCs w:val="24"/>
        </w:rPr>
        <w:t>vlastite mogućnosti oštećenika glede uklanjanja posljedica štete.</w:t>
      </w:r>
    </w:p>
    <w:p w:rsidR="005C1E80" w:rsidRDefault="005C1E80" w:rsidP="008140D1">
      <w:pPr>
        <w:spacing w:beforeLines="30" w:afterLines="30" w:line="240" w:lineRule="auto"/>
        <w:ind w:left="1080"/>
        <w:textAlignment w:val="baseline"/>
        <w:rPr>
          <w:rFonts w:ascii="Aptos" w:eastAsia="Times New Roman" w:hAnsi="Aptos" w:cstheme="minorHAnsi"/>
          <w:color w:val="231F20"/>
          <w:sz w:val="24"/>
          <w:szCs w:val="24"/>
        </w:rPr>
      </w:pPr>
    </w:p>
    <w:p w:rsidR="005C1E80" w:rsidRDefault="005C1E80" w:rsidP="008140D1">
      <w:pPr>
        <w:numPr>
          <w:ilvl w:val="0"/>
          <w:numId w:val="79"/>
        </w:num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sz w:val="24"/>
          <w:szCs w:val="24"/>
        </w:rPr>
        <w:t>Općinsko povjerenstvo podnosi prijavu konačne procjene štete Županijskom povjerenstvu u roku od 50 dana od dana donošenja Odluke o proglašenju prirodne nepogode putem Registra štete i to za svakog pojedinog oštećenika.</w:t>
      </w:r>
    </w:p>
    <w:p w:rsidR="005C1E80" w:rsidRDefault="005C1E80" w:rsidP="008140D1">
      <w:pPr>
        <w:numPr>
          <w:ilvl w:val="0"/>
          <w:numId w:val="79"/>
        </w:num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sz w:val="24"/>
          <w:szCs w:val="24"/>
        </w:rPr>
        <w:t>Županijsko povjerenstvo podnosi prijavljene konačne štete Državnom povjerenstvu i nadležnim ministarstvima u roku od 60 dana od dana donošenja Odluke o proglašenju prirodne nepogode.</w:t>
      </w:r>
    </w:p>
    <w:p w:rsidR="005C1E80" w:rsidRDefault="005C1E80" w:rsidP="008140D1">
      <w:pPr>
        <w:spacing w:beforeLines="30" w:afterLines="30" w:line="240" w:lineRule="auto"/>
        <w:ind w:left="720"/>
        <w:jc w:val="both"/>
        <w:textAlignment w:val="baseline"/>
        <w:rPr>
          <w:rFonts w:ascii="Aptos" w:eastAsia="Times New Roman" w:hAnsi="Aptos" w:cstheme="minorHAnsi"/>
          <w:color w:val="231F20"/>
          <w:sz w:val="24"/>
          <w:szCs w:val="24"/>
        </w:rPr>
      </w:pPr>
    </w:p>
    <w:p w:rsidR="005C1E80" w:rsidRDefault="005C1E80" w:rsidP="008140D1">
      <w:pPr>
        <w:numPr>
          <w:ilvl w:val="0"/>
          <w:numId w:val="79"/>
        </w:num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Calibri"/>
          <w:color w:val="231F20"/>
          <w:sz w:val="24"/>
          <w:szCs w:val="24"/>
        </w:rPr>
        <w:t>Prijava konačne procjene štete sadržava:</w:t>
      </w:r>
    </w:p>
    <w:p w:rsidR="005C1E80" w:rsidRDefault="005C1E80" w:rsidP="008140D1">
      <w:pPr>
        <w:numPr>
          <w:ilvl w:val="0"/>
          <w:numId w:val="81"/>
        </w:numPr>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odluku o proglašenju prirodne nepogode s obrazloženjem,</w:t>
      </w:r>
    </w:p>
    <w:p w:rsidR="005C1E80" w:rsidRDefault="005C1E80" w:rsidP="008140D1">
      <w:pPr>
        <w:numPr>
          <w:ilvl w:val="0"/>
          <w:numId w:val="81"/>
        </w:numPr>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 xml:space="preserve">podatke o dokumentaciji vlasništva imovine i njihovoj vrsti, </w:t>
      </w:r>
    </w:p>
    <w:p w:rsidR="005C1E80" w:rsidRDefault="005C1E80" w:rsidP="008140D1">
      <w:pPr>
        <w:numPr>
          <w:ilvl w:val="0"/>
          <w:numId w:val="81"/>
        </w:numPr>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vremenu i području nastanka prirodne nepogode,</w:t>
      </w:r>
    </w:p>
    <w:p w:rsidR="005C1E80" w:rsidRDefault="005C1E80" w:rsidP="008140D1">
      <w:pPr>
        <w:numPr>
          <w:ilvl w:val="0"/>
          <w:numId w:val="81"/>
        </w:numPr>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uzroku i opsegu štete,</w:t>
      </w:r>
    </w:p>
    <w:p w:rsidR="005C1E80" w:rsidRDefault="005C1E80" w:rsidP="008140D1">
      <w:pPr>
        <w:numPr>
          <w:ilvl w:val="0"/>
          <w:numId w:val="81"/>
        </w:numPr>
        <w:spacing w:beforeLines="30" w:afterLines="30" w:line="240" w:lineRule="auto"/>
        <w:jc w:val="both"/>
        <w:textAlignment w:val="baseline"/>
        <w:rPr>
          <w:rFonts w:ascii="Aptos" w:eastAsia="Times New Roman" w:hAnsi="Aptos" w:cs="Calibri"/>
          <w:color w:val="231F20"/>
          <w:sz w:val="24"/>
          <w:szCs w:val="24"/>
        </w:rPr>
      </w:pPr>
      <w:r>
        <w:rPr>
          <w:rFonts w:ascii="Aptos" w:eastAsia="Times New Roman" w:hAnsi="Aptos" w:cs="Calibri"/>
          <w:color w:val="231F20"/>
          <w:sz w:val="24"/>
          <w:szCs w:val="24"/>
        </w:rPr>
        <w:t>podatke o posljedicama prirodne nepogode za javni i gospodarski život JLP(R)S,</w:t>
      </w:r>
    </w:p>
    <w:p w:rsidR="005C1E80" w:rsidRDefault="005C1E80" w:rsidP="008140D1">
      <w:pPr>
        <w:numPr>
          <w:ilvl w:val="0"/>
          <w:numId w:val="81"/>
        </w:num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Calibri"/>
          <w:color w:val="231F20"/>
          <w:sz w:val="24"/>
          <w:szCs w:val="24"/>
        </w:rPr>
        <w:t xml:space="preserve">ostale statističke i vrijednosne podatke. </w:t>
      </w:r>
    </w:p>
    <w:p w:rsidR="005C1E80" w:rsidRDefault="005C1E80" w:rsidP="005C1E80">
      <w:pPr>
        <w:rPr>
          <w:rFonts w:ascii="Aptos" w:hAnsi="Aptos"/>
          <w:sz w:val="24"/>
          <w:szCs w:val="24"/>
        </w:rPr>
      </w:pPr>
    </w:p>
    <w:p w:rsidR="005C1E80" w:rsidRDefault="005C1E80" w:rsidP="00A66748">
      <w:pPr>
        <w:numPr>
          <w:ilvl w:val="2"/>
          <w:numId w:val="73"/>
        </w:numPr>
        <w:spacing w:after="0" w:line="240" w:lineRule="auto"/>
        <w:ind w:left="142"/>
        <w:jc w:val="both"/>
        <w:outlineLvl w:val="2"/>
        <w:rPr>
          <w:rFonts w:ascii="Aptos" w:eastAsia="Times New Roman" w:hAnsi="Aptos" w:cstheme="minorHAnsi"/>
          <w:i/>
          <w:sz w:val="24"/>
          <w:szCs w:val="24"/>
        </w:rPr>
      </w:pPr>
      <w:bookmarkStart w:id="77" w:name="_Toc55220039"/>
      <w:bookmarkStart w:id="78" w:name="_Toc208190518"/>
      <w:bookmarkStart w:id="79" w:name="_Toc179368306"/>
      <w:r>
        <w:rPr>
          <w:rFonts w:ascii="Aptos" w:eastAsia="Times New Roman" w:hAnsi="Aptos" w:cstheme="minorHAnsi"/>
          <w:i/>
          <w:sz w:val="24"/>
          <w:szCs w:val="24"/>
        </w:rPr>
        <w:t>Potvrda konačne procjene, određivanje kriterija i načina dodjele sredstava pomoći</w:t>
      </w:r>
      <w:bookmarkEnd w:id="77"/>
      <w:bookmarkEnd w:id="78"/>
      <w:bookmarkEnd w:id="79"/>
    </w:p>
    <w:p w:rsidR="005C1E80" w:rsidRDefault="005C1E80" w:rsidP="005C1E80">
      <w:pPr>
        <w:rPr>
          <w:rFonts w:ascii="Aptos" w:hAnsi="Aptos"/>
          <w:sz w:val="24"/>
          <w:szCs w:val="24"/>
        </w:rPr>
      </w:pPr>
    </w:p>
    <w:p w:rsidR="005C1E80" w:rsidRDefault="005C1E80" w:rsidP="00A66748">
      <w:pPr>
        <w:numPr>
          <w:ilvl w:val="0"/>
          <w:numId w:val="82"/>
        </w:numPr>
        <w:spacing w:after="200" w:line="276" w:lineRule="auto"/>
        <w:contextualSpacing/>
        <w:jc w:val="both"/>
        <w:rPr>
          <w:rFonts w:ascii="Aptos" w:hAnsi="Aptos"/>
          <w:sz w:val="24"/>
          <w:szCs w:val="24"/>
        </w:rPr>
      </w:pPr>
      <w:r>
        <w:rPr>
          <w:rFonts w:ascii="Aptos" w:hAnsi="Aptos"/>
          <w:sz w:val="24"/>
          <w:szCs w:val="24"/>
        </w:rPr>
        <w:t>Potvrdu konačne procjene štete obavljaju nadležna ministarstva. Potvrda predstavlja realnu procjenu vrijednosti imovine na koje je nastala šteta i procijenjenu vrijednost štete na toj imovini.</w:t>
      </w:r>
    </w:p>
    <w:p w:rsidR="005C1E80" w:rsidRDefault="005C1E80" w:rsidP="00A66748">
      <w:pPr>
        <w:numPr>
          <w:ilvl w:val="0"/>
          <w:numId w:val="82"/>
        </w:numPr>
        <w:spacing w:after="200" w:line="276" w:lineRule="auto"/>
        <w:contextualSpacing/>
        <w:jc w:val="both"/>
        <w:rPr>
          <w:rFonts w:ascii="Aptos" w:hAnsi="Aptos"/>
          <w:sz w:val="24"/>
          <w:szCs w:val="24"/>
        </w:rPr>
      </w:pPr>
      <w:r>
        <w:rPr>
          <w:rFonts w:ascii="Aptos" w:hAnsi="Aptos"/>
          <w:sz w:val="24"/>
          <w:szCs w:val="24"/>
        </w:rPr>
        <w:t>Nakon potvrde, ministarstva dostavljaju prijedlog o načinu dodjele pomoći za djelomičnu sanaciju šteta nastalih Državnom povjerenstvu.</w:t>
      </w:r>
    </w:p>
    <w:p w:rsidR="005C1E80" w:rsidRDefault="005C1E80" w:rsidP="00A66748">
      <w:pPr>
        <w:numPr>
          <w:ilvl w:val="0"/>
          <w:numId w:val="82"/>
        </w:numPr>
        <w:spacing w:after="200" w:line="276" w:lineRule="auto"/>
        <w:contextualSpacing/>
        <w:jc w:val="both"/>
        <w:rPr>
          <w:rFonts w:ascii="Aptos" w:hAnsi="Aptos"/>
          <w:sz w:val="24"/>
          <w:szCs w:val="24"/>
        </w:rPr>
      </w:pPr>
      <w:r>
        <w:rPr>
          <w:rFonts w:ascii="Aptos" w:hAnsi="Aptos"/>
          <w:sz w:val="24"/>
          <w:szCs w:val="24"/>
        </w:rPr>
        <w:t xml:space="preserve">Državno povjerenstvo utvrđuje iznos pomoći. Iznos pomoći utvrđuje se na način da se odredi postotak isplate novčanih sredstava u odnosu na iznos konačne potvrde štete na imovini oštećenika. </w:t>
      </w:r>
    </w:p>
    <w:p w:rsidR="005C1E80" w:rsidRDefault="005C1E80" w:rsidP="00A66748">
      <w:pPr>
        <w:numPr>
          <w:ilvl w:val="0"/>
          <w:numId w:val="82"/>
        </w:numPr>
        <w:spacing w:after="200" w:line="276" w:lineRule="auto"/>
        <w:contextualSpacing/>
        <w:jc w:val="both"/>
        <w:rPr>
          <w:rFonts w:ascii="Aptos" w:hAnsi="Aptos"/>
          <w:sz w:val="24"/>
          <w:szCs w:val="24"/>
        </w:rPr>
      </w:pPr>
      <w:r>
        <w:rPr>
          <w:rFonts w:ascii="Aptos" w:hAnsi="Aptos"/>
          <w:sz w:val="24"/>
          <w:szCs w:val="24"/>
        </w:rPr>
        <w:t>Nakon utvrđivanja iznosa, Državno povjerenstvo podnosi Vladi Republike Hrvatske prijedlog za dodjelu pomoći.</w:t>
      </w:r>
    </w:p>
    <w:p w:rsidR="005C1E80" w:rsidRDefault="005C1E80" w:rsidP="00A66748">
      <w:pPr>
        <w:numPr>
          <w:ilvl w:val="0"/>
          <w:numId w:val="82"/>
        </w:numPr>
        <w:spacing w:after="200" w:line="276" w:lineRule="auto"/>
        <w:contextualSpacing/>
        <w:jc w:val="both"/>
        <w:rPr>
          <w:rFonts w:ascii="Aptos" w:hAnsi="Aptos"/>
          <w:sz w:val="24"/>
          <w:szCs w:val="24"/>
        </w:rPr>
      </w:pPr>
      <w:r>
        <w:rPr>
          <w:rFonts w:ascii="Aptos" w:hAnsi="Aptos"/>
          <w:sz w:val="24"/>
          <w:szCs w:val="24"/>
        </w:rPr>
        <w:t>Vlada Republike Hrvatske donosi odluku o dodjeli pomoći.</w:t>
      </w: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A66748">
      <w:pPr>
        <w:numPr>
          <w:ilvl w:val="1"/>
          <w:numId w:val="54"/>
        </w:numPr>
        <w:spacing w:after="0" w:line="240" w:lineRule="auto"/>
        <w:jc w:val="both"/>
        <w:outlineLvl w:val="1"/>
        <w:rPr>
          <w:rFonts w:ascii="Aptos" w:eastAsia="Times New Roman" w:hAnsi="Aptos" w:cs="Times New Roman"/>
          <w:b/>
          <w:color w:val="000000"/>
          <w:sz w:val="28"/>
          <w:szCs w:val="28"/>
          <w:lang w:eastAsia="zh-CN"/>
        </w:rPr>
      </w:pPr>
      <w:bookmarkStart w:id="80" w:name="_Toc208190519"/>
      <w:bookmarkStart w:id="81" w:name="_Toc55220040"/>
      <w:bookmarkStart w:id="82" w:name="_Toc179368307"/>
      <w:r>
        <w:rPr>
          <w:rFonts w:ascii="Aptos" w:eastAsia="Times New Roman" w:hAnsi="Aptos" w:cs="Times New Roman"/>
          <w:b/>
          <w:color w:val="000000"/>
          <w:sz w:val="28"/>
          <w:szCs w:val="28"/>
          <w:lang w:eastAsia="zh-CN"/>
        </w:rPr>
        <w:t>Žurna pomoć</w:t>
      </w:r>
      <w:bookmarkEnd w:id="80"/>
      <w:bookmarkEnd w:id="81"/>
      <w:bookmarkEnd w:id="82"/>
    </w:p>
    <w:p w:rsidR="005C1E80" w:rsidRDefault="005C1E80" w:rsidP="005C1E80">
      <w:pPr>
        <w:rPr>
          <w:lang w:eastAsia="zh-CN"/>
        </w:rPr>
      </w:pP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Žurna pomoć je pomoć koja se dodjeljuje u slučajevima u kojima su posljedice na imovini stanovništva, pravnih osoba i javnoj infrastrukturi uzrokovane prirodnom nepogodom i/ili katastrofom takve da prijete ugrozom zdravlja i života stanovništva na područjima zahvaćenim prirodnom nepogodom.</w:t>
      </w: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Žurna pomoć:</w:t>
      </w:r>
    </w:p>
    <w:p w:rsidR="005C1E80" w:rsidRDefault="005C1E80" w:rsidP="008140D1">
      <w:pPr>
        <w:numPr>
          <w:ilvl w:val="0"/>
          <w:numId w:val="83"/>
        </w:numPr>
        <w:spacing w:beforeLines="30" w:afterLines="30" w:line="240" w:lineRule="auto"/>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 xml:space="preserve">dodjeljuje se iz državnog proračuna ili proračuna </w:t>
      </w:r>
      <w:bookmarkStart w:id="83" w:name="_Hlk208148024"/>
      <w:r>
        <w:rPr>
          <w:rFonts w:ascii="Aptos" w:eastAsia="Times New Roman" w:hAnsi="Aptos" w:cstheme="minorHAnsi"/>
          <w:color w:val="231F20"/>
          <w:sz w:val="24"/>
          <w:szCs w:val="24"/>
        </w:rPr>
        <w:t>JLP(R)S</w:t>
      </w:r>
      <w:bookmarkEnd w:id="83"/>
    </w:p>
    <w:p w:rsidR="005C1E80" w:rsidRDefault="005C1E80" w:rsidP="008140D1">
      <w:pPr>
        <w:numPr>
          <w:ilvl w:val="0"/>
          <w:numId w:val="83"/>
        </w:numPr>
        <w:spacing w:beforeLines="30" w:afterLines="30" w:line="240" w:lineRule="auto"/>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dodjeljuje se kao predujam i ne isključuje dodjelu pomoći</w:t>
      </w:r>
    </w:p>
    <w:p w:rsidR="005C1E80" w:rsidRDefault="005C1E80" w:rsidP="008140D1">
      <w:pPr>
        <w:numPr>
          <w:ilvl w:val="0"/>
          <w:numId w:val="83"/>
        </w:numPr>
        <w:spacing w:beforeLines="30" w:afterLines="30" w:line="240" w:lineRule="auto"/>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uračunava se u iznos pomoći za djelomičnu sanaciju posljedica prirodnih nepogoda.</w:t>
      </w: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Ako je iznos predujma veći od iznosa pomoći utvrđenog za konačne potvrđene štete u Registru šteta, jedinica lokalne samouprave dužna je osigurati povrat viška dodijeljenih sredstava u državni proračun Republike Hrvatske ili proračun JLP(R)S.</w:t>
      </w: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Žurna pomoć dodjeljuje se u svrhu djelomične sanacije štete od prirodnih nepogoda u tekućoj kalendarskoj godini:</w:t>
      </w: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p>
    <w:p w:rsidR="005C1E80" w:rsidRDefault="005C1E80" w:rsidP="008140D1">
      <w:pPr>
        <w:numPr>
          <w:ilvl w:val="0"/>
          <w:numId w:val="84"/>
        </w:numPr>
        <w:spacing w:beforeLines="30" w:afterLines="30" w:line="240" w:lineRule="auto"/>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jedinicama lokalne i područne (regionalne) samouprave za pokriće:</w:t>
      </w:r>
    </w:p>
    <w:p w:rsidR="005C1E80" w:rsidRDefault="005C1E80" w:rsidP="008140D1">
      <w:pPr>
        <w:spacing w:beforeLines="30" w:afterLines="30" w:line="240" w:lineRule="auto"/>
        <w:ind w:left="720"/>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 xml:space="preserve">- troškova sanacije šteta na javnoj infrastrukturi, </w:t>
      </w:r>
    </w:p>
    <w:p w:rsidR="005C1E80" w:rsidRDefault="005C1E80" w:rsidP="008140D1">
      <w:pPr>
        <w:spacing w:beforeLines="30" w:afterLines="30" w:line="240" w:lineRule="auto"/>
        <w:ind w:left="720"/>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 xml:space="preserve">- troškova nabave opreme za saniranje posljedica prirodne nepogode, </w:t>
      </w:r>
    </w:p>
    <w:p w:rsidR="005C1E80" w:rsidRDefault="005C1E80" w:rsidP="008140D1">
      <w:pPr>
        <w:spacing w:beforeLines="30" w:afterLines="30" w:line="240" w:lineRule="auto"/>
        <w:ind w:left="720"/>
        <w:contextualSpacing/>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 za pokriće drugih troškova koji su usmjereni saniranju šteta od prirodne nepogode za koje ne postoje dostatni financijski izvori usmjereni na sprječavanje daljnjih šteta koje mogu ugroziti gospodarsko funkcioniranje i štetno djelovati na život i zdravlje stanovništva te onečišćenje prirodnog okoliša.</w:t>
      </w:r>
    </w:p>
    <w:p w:rsidR="005C1E80" w:rsidRDefault="005C1E80" w:rsidP="008140D1">
      <w:pPr>
        <w:spacing w:beforeLines="30" w:afterLines="30" w:line="240" w:lineRule="auto"/>
        <w:jc w:val="both"/>
        <w:textAlignment w:val="baseline"/>
        <w:rPr>
          <w:rFonts w:ascii="Aptos" w:eastAsia="Times New Roman" w:hAnsi="Aptos" w:cstheme="minorHAnsi"/>
          <w:color w:val="231F20"/>
          <w:sz w:val="24"/>
          <w:szCs w:val="24"/>
        </w:rPr>
      </w:pPr>
    </w:p>
    <w:p w:rsidR="005C1E80" w:rsidRDefault="005C1E80" w:rsidP="008140D1">
      <w:pPr>
        <w:spacing w:beforeLines="30" w:afterLines="30" w:line="240" w:lineRule="auto"/>
        <w:ind w:left="708"/>
        <w:jc w:val="both"/>
        <w:textAlignment w:val="baseline"/>
        <w:rPr>
          <w:rFonts w:ascii="Aptos" w:eastAsia="Times New Roman" w:hAnsi="Aptos" w:cstheme="minorHAnsi"/>
          <w:color w:val="231F20"/>
          <w:sz w:val="24"/>
          <w:szCs w:val="24"/>
        </w:rPr>
      </w:pPr>
      <w:r>
        <w:rPr>
          <w:rFonts w:ascii="Aptos" w:eastAsia="Times New Roman" w:hAnsi="Aptos" w:cstheme="minorHAnsi"/>
          <w:color w:val="231F20"/>
          <w:sz w:val="24"/>
          <w:szCs w:val="24"/>
        </w:rPr>
        <w:t>2. oštećenicima fizičkim osobama koje nisu poduzetnici</w:t>
      </w:r>
      <w:r>
        <w:rPr>
          <w:rFonts w:ascii="Aptos" w:eastAsia="Times New Roman" w:hAnsi="Aptos" w:cstheme="minorHAnsi"/>
          <w:color w:val="231F20"/>
          <w:sz w:val="24"/>
          <w:szCs w:val="24"/>
          <w:vertAlign w:val="superscript"/>
        </w:rPr>
        <w:footnoteReference w:id="6"/>
      </w:r>
      <w:r>
        <w:rPr>
          <w:rFonts w:ascii="Aptos" w:eastAsia="Times New Roman" w:hAnsi="Aptos" w:cstheme="minorHAnsi"/>
          <w:color w:val="231F20"/>
          <w:sz w:val="24"/>
          <w:szCs w:val="24"/>
        </w:rPr>
        <w:t>a koje su pretrpjele štete na imovini, posebice ugroženim skupinama, starijima i bolesnima i ostalima kojima prijeti ugroza zdravlja i života na području zahvaćenom prirodnom nepogodom.</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A66748">
      <w:pPr>
        <w:numPr>
          <w:ilvl w:val="2"/>
          <w:numId w:val="54"/>
        </w:numPr>
        <w:spacing w:after="0" w:line="240" w:lineRule="auto"/>
        <w:ind w:left="142"/>
        <w:jc w:val="both"/>
        <w:outlineLvl w:val="2"/>
        <w:rPr>
          <w:rFonts w:eastAsia="Times New Roman" w:cstheme="minorHAnsi"/>
          <w:i/>
          <w:sz w:val="24"/>
          <w:szCs w:val="24"/>
        </w:rPr>
      </w:pPr>
      <w:bookmarkStart w:id="84" w:name="_Toc208190520"/>
      <w:r>
        <w:rPr>
          <w:rFonts w:eastAsia="Times New Roman" w:cstheme="minorHAnsi"/>
          <w:i/>
          <w:sz w:val="24"/>
          <w:szCs w:val="24"/>
        </w:rPr>
        <w:t>Žurna pomoć Vlade Republike Hrvatske</w:t>
      </w:r>
      <w:bookmarkEnd w:id="84"/>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Vlada Republike Hrvatske o dodjeli žurne pomoći donosi odluku.</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Vlada Republike Hrvatske odluku može donijeti i na temelju prijedloga Državnog povjerenstva i/ili jedinica lokalne i područne (regionalne) samouprave.</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Vlada Republike Hrvatske u odluci određuje:</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numPr>
          <w:ilvl w:val="0"/>
          <w:numId w:val="85"/>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lastRenderedPageBreak/>
        <w:t>vrijednost novčanih sredstava žurne pomoći</w:t>
      </w:r>
    </w:p>
    <w:p w:rsidR="005C1E80" w:rsidRDefault="005C1E80" w:rsidP="008140D1">
      <w:pPr>
        <w:numPr>
          <w:ilvl w:val="0"/>
          <w:numId w:val="85"/>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kriterije, način raspodjele i namjene korištenja žurne pomoći</w:t>
      </w:r>
    </w:p>
    <w:p w:rsidR="005C1E80" w:rsidRDefault="005C1E80" w:rsidP="008140D1">
      <w:pPr>
        <w:numPr>
          <w:ilvl w:val="0"/>
          <w:numId w:val="85"/>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ministarstva nadležna za provedbu isplate žurne pomoći</w:t>
      </w:r>
    </w:p>
    <w:p w:rsidR="005C1E80" w:rsidRDefault="005C1E80" w:rsidP="008140D1">
      <w:pPr>
        <w:numPr>
          <w:ilvl w:val="0"/>
          <w:numId w:val="85"/>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 xml:space="preserve">jedinice lokalne i područne (regionalne) samouprave kojima se dodjeljuje žurna pomoć </w:t>
      </w:r>
    </w:p>
    <w:p w:rsidR="005C1E80" w:rsidRDefault="005C1E80" w:rsidP="008140D1">
      <w:pPr>
        <w:numPr>
          <w:ilvl w:val="0"/>
          <w:numId w:val="85"/>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druge uvjete i postupanja u raspodjeli žurne pomoći.</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Izvješća o utrošku dodijeljenih sredstava žurne pomoći nadležna ministarstva, županija i općina dužni su dostaviti Vladi Republike Hrvatske u roku navedenom u odluci.</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A66748">
      <w:pPr>
        <w:numPr>
          <w:ilvl w:val="2"/>
          <w:numId w:val="54"/>
        </w:numPr>
        <w:spacing w:after="0" w:line="240" w:lineRule="auto"/>
        <w:ind w:left="142"/>
        <w:jc w:val="both"/>
        <w:outlineLvl w:val="2"/>
        <w:rPr>
          <w:rFonts w:eastAsia="Times New Roman" w:cstheme="minorHAnsi"/>
          <w:i/>
          <w:sz w:val="24"/>
          <w:szCs w:val="24"/>
        </w:rPr>
      </w:pPr>
      <w:bookmarkStart w:id="85" w:name="_Toc208190521"/>
      <w:r>
        <w:rPr>
          <w:rFonts w:eastAsia="Times New Roman" w:cstheme="minorHAnsi"/>
          <w:i/>
          <w:sz w:val="24"/>
          <w:szCs w:val="24"/>
        </w:rPr>
        <w:t>Žurna pomoć jedinice lokalne i područne (regionalne) samouprave</w:t>
      </w:r>
      <w:bookmarkEnd w:id="85"/>
    </w:p>
    <w:p w:rsidR="005C1E80" w:rsidRDefault="005C1E80" w:rsidP="005C1E80"/>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Jedinica lokalne i područne (regionalne) samouprave  može isplatiti žurnu pomoć iz raspoloživih sredstava svog proračuna.</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Prijedlog dodjele žurne pomoći upućuje načelnik/župan predstavničkom tijelu jedinica lokalne i područne (regionalne) samouprave.</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r>
        <w:rPr>
          <w:rFonts w:ascii="Aptos" w:eastAsia="Times New Roman" w:hAnsi="Aptos" w:cstheme="minorHAnsi"/>
          <w:sz w:val="24"/>
          <w:szCs w:val="24"/>
        </w:rPr>
        <w:t>Predstavničko tijelo jedinica lokalne i područne (regionalne) samouprave donose odluku o kojom se određuje:</w:t>
      </w:r>
    </w:p>
    <w:p w:rsidR="005C1E80" w:rsidRDefault="005C1E80" w:rsidP="008140D1">
      <w:pPr>
        <w:spacing w:beforeLines="30" w:afterLines="30" w:line="240" w:lineRule="auto"/>
        <w:jc w:val="both"/>
        <w:textAlignment w:val="baseline"/>
        <w:rPr>
          <w:rFonts w:ascii="Aptos" w:eastAsia="Times New Roman" w:hAnsi="Aptos" w:cstheme="minorHAnsi"/>
          <w:sz w:val="24"/>
          <w:szCs w:val="24"/>
        </w:rPr>
      </w:pPr>
    </w:p>
    <w:p w:rsidR="005C1E80" w:rsidRDefault="005C1E80" w:rsidP="008140D1">
      <w:pPr>
        <w:numPr>
          <w:ilvl w:val="0"/>
          <w:numId w:val="86"/>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vrijednost novčanih sredstava žurne pomoći</w:t>
      </w:r>
    </w:p>
    <w:p w:rsidR="005C1E80" w:rsidRDefault="005C1E80" w:rsidP="008140D1">
      <w:pPr>
        <w:numPr>
          <w:ilvl w:val="0"/>
          <w:numId w:val="86"/>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kriteriji, način raspodjele i namjena korištenja žurne pomoći te</w:t>
      </w:r>
    </w:p>
    <w:p w:rsidR="005C1E80" w:rsidRDefault="005C1E80" w:rsidP="008140D1">
      <w:pPr>
        <w:numPr>
          <w:ilvl w:val="0"/>
          <w:numId w:val="86"/>
        </w:numPr>
        <w:spacing w:beforeLines="30" w:afterLines="30" w:line="240" w:lineRule="auto"/>
        <w:contextualSpacing/>
        <w:jc w:val="both"/>
        <w:textAlignment w:val="baseline"/>
        <w:rPr>
          <w:rFonts w:ascii="Aptos" w:eastAsia="Times New Roman" w:hAnsi="Aptos" w:cstheme="minorHAnsi"/>
          <w:sz w:val="24"/>
          <w:szCs w:val="24"/>
        </w:rPr>
      </w:pPr>
      <w:r>
        <w:rPr>
          <w:rFonts w:ascii="Aptos" w:eastAsia="Times New Roman" w:hAnsi="Aptos" w:cstheme="minorHAnsi"/>
          <w:sz w:val="24"/>
          <w:szCs w:val="24"/>
        </w:rPr>
        <w:t>drugi uvjeti i postupanja u raspodjeli žurne pomoći.</w:t>
      </w:r>
    </w:p>
    <w:p w:rsidR="005C1E80" w:rsidRDefault="005C1E80" w:rsidP="005C1E80">
      <w:pPr>
        <w:rPr>
          <w:sz w:val="24"/>
          <w:szCs w:val="24"/>
        </w:rPr>
      </w:pPr>
    </w:p>
    <w:p w:rsidR="005C1E80" w:rsidRDefault="005C1E80" w:rsidP="005C1E80">
      <w:pPr>
        <w:rPr>
          <w:sz w:val="24"/>
          <w:szCs w:val="24"/>
        </w:rPr>
      </w:pPr>
    </w:p>
    <w:p w:rsidR="005C1E80" w:rsidRDefault="005C1E80" w:rsidP="00A66748">
      <w:pPr>
        <w:numPr>
          <w:ilvl w:val="1"/>
          <w:numId w:val="73"/>
        </w:numPr>
        <w:spacing w:after="0" w:line="240" w:lineRule="auto"/>
        <w:ind w:left="0"/>
        <w:outlineLvl w:val="1"/>
        <w:rPr>
          <w:rFonts w:ascii="Aptos" w:eastAsia="Times New Roman" w:hAnsi="Aptos" w:cs="Times New Roman"/>
          <w:bCs/>
          <w:i/>
          <w:iCs/>
          <w:color w:val="000000"/>
          <w:sz w:val="24"/>
          <w:szCs w:val="24"/>
          <w:lang w:eastAsia="zh-CN"/>
        </w:rPr>
      </w:pPr>
      <w:bookmarkStart w:id="86" w:name="_Toc179368308"/>
      <w:bookmarkStart w:id="87" w:name="_Toc208190522"/>
      <w:r>
        <w:rPr>
          <w:rFonts w:ascii="Aptos" w:eastAsia="Times New Roman" w:hAnsi="Aptos" w:cs="Times New Roman"/>
          <w:bCs/>
          <w:i/>
          <w:iCs/>
          <w:color w:val="000000"/>
          <w:sz w:val="24"/>
          <w:szCs w:val="24"/>
          <w:lang w:eastAsia="zh-CN"/>
        </w:rPr>
        <w:t>Mjere  Operativnih snaga civilne zaštite</w:t>
      </w:r>
      <w:bookmarkEnd w:id="86"/>
      <w:bookmarkEnd w:id="87"/>
    </w:p>
    <w:p w:rsidR="005C1E80" w:rsidRDefault="005C1E80" w:rsidP="005C1E80">
      <w:pPr>
        <w:rPr>
          <w:rFonts w:ascii="Aptos" w:hAnsi="Aptos"/>
          <w:sz w:val="24"/>
          <w:szCs w:val="24"/>
        </w:rPr>
      </w:pPr>
    </w:p>
    <w:p w:rsidR="005C1E80" w:rsidRDefault="005C1E80" w:rsidP="005C1E80">
      <w:pPr>
        <w:jc w:val="both"/>
        <w:rPr>
          <w:rFonts w:ascii="Aptos" w:hAnsi="Aptos"/>
          <w:sz w:val="24"/>
          <w:szCs w:val="24"/>
        </w:rPr>
        <w:sectPr w:rsidR="005C1E80" w:rsidSect="005C1E80">
          <w:pgSz w:w="11906" w:h="16838"/>
          <w:pgMar w:top="1418" w:right="1134" w:bottom="1418" w:left="1134" w:header="709" w:footer="709" w:gutter="0"/>
          <w:cols w:space="708"/>
          <w:titlePg/>
          <w:docGrid w:linePitch="360"/>
        </w:sectPr>
      </w:pPr>
      <w:r>
        <w:rPr>
          <w:rFonts w:ascii="Aptos" w:hAnsi="Aptos"/>
          <w:sz w:val="24"/>
          <w:szCs w:val="24"/>
        </w:rPr>
        <w:t>Mjere koje operativne snage civilne zaštite poduzimaju u slučaju  nastanka prirodne nepogode određena su  posebnim dokumentima koji pripadaju planskim dokumentima civilne zaštite.</w:t>
      </w:r>
    </w:p>
    <w:p w:rsidR="005C1E80" w:rsidRDefault="005C1E80" w:rsidP="005C1E80">
      <w:pPr>
        <w:pStyle w:val="Razina1"/>
        <w:rPr>
          <w:rFonts w:ascii="Aptos" w:hAnsi="Aptos"/>
          <w:i w:val="0"/>
          <w:iCs/>
        </w:rPr>
      </w:pPr>
      <w:bookmarkStart w:id="88" w:name="_Toc210900540"/>
      <w:bookmarkStart w:id="89" w:name="_Toc177515291"/>
      <w:bookmarkStart w:id="90" w:name="_Hlk209095349"/>
      <w:bookmarkStart w:id="91" w:name="_Toc47017388"/>
      <w:bookmarkStart w:id="92" w:name="_Toc54017807"/>
      <w:bookmarkStart w:id="93" w:name="_Hlk45798765"/>
      <w:bookmarkEnd w:id="42"/>
      <w:bookmarkEnd w:id="43"/>
      <w:r>
        <w:rPr>
          <w:rFonts w:ascii="Aptos" w:hAnsi="Aptos"/>
          <w:i w:val="0"/>
          <w:iCs/>
        </w:rPr>
        <w:lastRenderedPageBreak/>
        <w:t>PROCJENA OSIGURANJA OPREME I DRUGIH SREDSTAVA ZA ZAŠTITU I SPRJEČAVANJE STRADANJA IMOVINE, GOSPODARSKIH FUNKCIJA I STRADANJA STANOVNIŠTVA</w:t>
      </w:r>
      <w:bookmarkEnd w:id="88"/>
      <w:bookmarkEnd w:id="89"/>
    </w:p>
    <w:bookmarkEnd w:id="90"/>
    <w:p w:rsidR="005C1E80" w:rsidRDefault="005C1E80" w:rsidP="005C1E80">
      <w:pPr>
        <w:rPr>
          <w:rFonts w:ascii="Aptos" w:hAnsi="Aptos" w:cstheme="minorHAnsi"/>
          <w:sz w:val="24"/>
          <w:szCs w:val="24"/>
          <w:lang w:eastAsia="zh-CN"/>
        </w:rPr>
      </w:pPr>
    </w:p>
    <w:p w:rsidR="005C1E80" w:rsidRDefault="005C1E80" w:rsidP="005C1E80">
      <w:pPr>
        <w:jc w:val="both"/>
        <w:rPr>
          <w:rFonts w:ascii="Aptos" w:hAnsi="Aptos" w:cstheme="minorHAnsi"/>
          <w:sz w:val="24"/>
          <w:szCs w:val="24"/>
          <w:lang w:eastAsia="zh-CN"/>
        </w:rPr>
      </w:pPr>
      <w:r>
        <w:rPr>
          <w:rFonts w:ascii="Aptos" w:hAnsi="Aptos" w:cstheme="minorHAnsi"/>
          <w:sz w:val="24"/>
          <w:szCs w:val="24"/>
          <w:lang w:eastAsia="zh-CN"/>
        </w:rPr>
        <w:t xml:space="preserve">Pod opremom i sredstvima prvenstveno se podrazumijeva sve  što je potrebno nositeljima mjera koji su odgovorni za provedbu Zakona o sustavu civilne zaštite kako bi učinkovito obavljali svoje zadaće i povećali svoju spremanost za sprječavanje stradanja imovine, gospodarskih funkcija i stradanja stanovništva. </w:t>
      </w:r>
    </w:p>
    <w:p w:rsidR="005C1E80" w:rsidRDefault="005C1E80" w:rsidP="005C1E80">
      <w:pPr>
        <w:jc w:val="both"/>
        <w:rPr>
          <w:rFonts w:ascii="Aptos" w:hAnsi="Aptos" w:cstheme="minorHAnsi"/>
          <w:sz w:val="24"/>
          <w:szCs w:val="24"/>
          <w:lang w:eastAsia="zh-CN"/>
        </w:rPr>
      </w:pPr>
      <w:r>
        <w:rPr>
          <w:rFonts w:ascii="Aptos" w:hAnsi="Aptos" w:cstheme="minorHAnsi"/>
          <w:sz w:val="24"/>
          <w:szCs w:val="24"/>
          <w:lang w:eastAsia="zh-CN"/>
        </w:rPr>
        <w:t>Općina je donijela usklađenje Procjene rizika od velikih nesreća kojom je napravljena analiza sustava civilne zaštite. Procjenom rizika od velikih nesreća  utvrđeno je što je potrebno kako bi se sastavnice sustava koje se odnose na prevenciju i reagiranje unaprijedile:</w:t>
      </w:r>
    </w:p>
    <w:p w:rsidR="005C1E80" w:rsidRDefault="005C1E80" w:rsidP="00A66748">
      <w:pPr>
        <w:pStyle w:val="Odlomakpopisa"/>
        <w:numPr>
          <w:ilvl w:val="0"/>
          <w:numId w:val="87"/>
        </w:numPr>
        <w:shd w:val="clear" w:color="auto" w:fill="FFFFFF" w:themeFill="background1"/>
        <w:spacing w:after="200" w:line="276" w:lineRule="auto"/>
        <w:jc w:val="both"/>
        <w:rPr>
          <w:rFonts w:ascii="Aptos" w:hAnsi="Aptos"/>
          <w:sz w:val="24"/>
          <w:szCs w:val="24"/>
        </w:rPr>
      </w:pPr>
      <w:r>
        <w:rPr>
          <w:rFonts w:ascii="Aptos" w:hAnsi="Aptos"/>
          <w:sz w:val="24"/>
          <w:szCs w:val="24"/>
        </w:rPr>
        <w:t>sazivati Stožer CZ i onda kada povod nije nekakav štetni događaj u cilju upoznavanja članova o utvrđenim prijetnjama i mjerama odgovora na iste, štetama izazvanim u proteklom periodu te mjerama kako su se one mogle spriječiti ili bar ublažit,</w:t>
      </w:r>
    </w:p>
    <w:p w:rsidR="005C1E80" w:rsidRDefault="005C1E80" w:rsidP="005C1E80">
      <w:pPr>
        <w:pStyle w:val="Odlomakpopisa"/>
        <w:shd w:val="clear" w:color="auto" w:fill="FFFFFF" w:themeFill="background1"/>
        <w:jc w:val="both"/>
        <w:rPr>
          <w:rFonts w:ascii="Aptos" w:hAnsi="Aptos"/>
          <w:sz w:val="24"/>
          <w:szCs w:val="24"/>
        </w:rPr>
      </w:pPr>
    </w:p>
    <w:p w:rsidR="005C1E80" w:rsidRDefault="005C1E80" w:rsidP="00A66748">
      <w:pPr>
        <w:pStyle w:val="Odlomakpopisa"/>
        <w:numPr>
          <w:ilvl w:val="0"/>
          <w:numId w:val="87"/>
        </w:numPr>
        <w:shd w:val="clear" w:color="auto" w:fill="FFFFFF" w:themeFill="background1"/>
        <w:spacing w:after="200" w:line="276" w:lineRule="auto"/>
        <w:jc w:val="both"/>
        <w:rPr>
          <w:rFonts w:ascii="Aptos" w:hAnsi="Aptos"/>
          <w:sz w:val="24"/>
          <w:szCs w:val="24"/>
        </w:rPr>
      </w:pPr>
      <w:r>
        <w:rPr>
          <w:rFonts w:ascii="Aptos" w:hAnsi="Aptos"/>
          <w:sz w:val="24"/>
          <w:szCs w:val="24"/>
        </w:rPr>
        <w:t>predstavničko tijelo upoznati o prioritetnim prijetnjama, području ugrožavanja, posljedicama, načinu preventivne zaštite, potrebnim troškovima za podizanje svijesti ugroženog stanovništva, provedbi obrane od prijetnji, te operativnih mjera ublažavanja posljedica i sanacije stanja ugroženog područja,</w:t>
      </w:r>
    </w:p>
    <w:p w:rsidR="005C1E80" w:rsidRDefault="005C1E80" w:rsidP="005C1E80">
      <w:pPr>
        <w:pStyle w:val="Odlomakpopisa"/>
        <w:shd w:val="clear" w:color="auto" w:fill="FFFFFF" w:themeFill="background1"/>
        <w:jc w:val="both"/>
        <w:rPr>
          <w:rFonts w:ascii="Aptos" w:hAnsi="Aptos"/>
          <w:sz w:val="24"/>
          <w:szCs w:val="24"/>
        </w:rPr>
      </w:pPr>
    </w:p>
    <w:p w:rsidR="005C1E80" w:rsidRDefault="005C1E80" w:rsidP="00A66748">
      <w:pPr>
        <w:pStyle w:val="Odlomakpopisa"/>
        <w:numPr>
          <w:ilvl w:val="0"/>
          <w:numId w:val="87"/>
        </w:numPr>
        <w:shd w:val="clear" w:color="auto" w:fill="FFFFFF" w:themeFill="background1"/>
        <w:spacing w:after="200" w:line="276" w:lineRule="auto"/>
        <w:jc w:val="both"/>
        <w:rPr>
          <w:rFonts w:ascii="Aptos" w:hAnsi="Aptos"/>
          <w:sz w:val="24"/>
          <w:szCs w:val="24"/>
        </w:rPr>
      </w:pPr>
      <w:r>
        <w:rPr>
          <w:rFonts w:ascii="Aptos" w:hAnsi="Aptos"/>
          <w:sz w:val="24"/>
          <w:szCs w:val="24"/>
        </w:rPr>
        <w:t>u ugroženim naseljima organizirane javne tribine o prijetnjama, mogućim posljedicama neželjenog događaja, te načinu samozaštite ugroženog stanovništva,</w:t>
      </w:r>
    </w:p>
    <w:p w:rsidR="005C1E80" w:rsidRDefault="005C1E80" w:rsidP="005C1E80">
      <w:pPr>
        <w:pStyle w:val="Odlomakpopisa"/>
        <w:shd w:val="clear" w:color="auto" w:fill="FFFFFF" w:themeFill="background1"/>
        <w:jc w:val="both"/>
        <w:rPr>
          <w:rFonts w:ascii="Aptos" w:hAnsi="Aptos"/>
          <w:sz w:val="24"/>
          <w:szCs w:val="24"/>
        </w:rPr>
      </w:pPr>
    </w:p>
    <w:p w:rsidR="005C1E80" w:rsidRDefault="005C1E80" w:rsidP="00A66748">
      <w:pPr>
        <w:pStyle w:val="Odlomakpopisa"/>
        <w:numPr>
          <w:ilvl w:val="0"/>
          <w:numId w:val="87"/>
        </w:numPr>
        <w:shd w:val="clear" w:color="auto" w:fill="FFFFFF" w:themeFill="background1"/>
        <w:spacing w:after="200" w:line="276" w:lineRule="auto"/>
        <w:jc w:val="both"/>
        <w:rPr>
          <w:rFonts w:ascii="Aptos" w:hAnsi="Aptos"/>
          <w:sz w:val="24"/>
          <w:szCs w:val="24"/>
        </w:rPr>
      </w:pPr>
      <w:r>
        <w:rPr>
          <w:rFonts w:ascii="Aptos" w:hAnsi="Aptos"/>
          <w:sz w:val="24"/>
          <w:szCs w:val="24"/>
        </w:rPr>
        <w:t>jednom godišnje ili najmanje jedanput u dvije godine  organizirati vježbe sklanjanja, evakuacije i spašavanja stanovništva iz ugroženih područja,</w:t>
      </w:r>
    </w:p>
    <w:p w:rsidR="005C1E80" w:rsidRDefault="005C1E80" w:rsidP="005C1E80">
      <w:pPr>
        <w:pStyle w:val="Odlomakpopisa"/>
        <w:shd w:val="clear" w:color="auto" w:fill="FFFFFF" w:themeFill="background1"/>
        <w:jc w:val="both"/>
        <w:rPr>
          <w:rFonts w:ascii="Aptos" w:hAnsi="Aptos"/>
          <w:sz w:val="24"/>
          <w:szCs w:val="24"/>
        </w:rPr>
      </w:pPr>
    </w:p>
    <w:p w:rsidR="005C1E80" w:rsidRDefault="005C1E80" w:rsidP="00A66748">
      <w:pPr>
        <w:pStyle w:val="Odlomakpopisa"/>
        <w:numPr>
          <w:ilvl w:val="0"/>
          <w:numId w:val="87"/>
        </w:numPr>
        <w:shd w:val="clear" w:color="auto" w:fill="FFFFFF" w:themeFill="background1"/>
        <w:spacing w:after="200" w:line="276" w:lineRule="auto"/>
        <w:jc w:val="both"/>
        <w:rPr>
          <w:rFonts w:ascii="Aptos" w:hAnsi="Aptos"/>
          <w:sz w:val="24"/>
          <w:szCs w:val="24"/>
        </w:rPr>
      </w:pPr>
      <w:r>
        <w:rPr>
          <w:rFonts w:ascii="Aptos" w:hAnsi="Aptos"/>
          <w:sz w:val="24"/>
          <w:szCs w:val="24"/>
        </w:rPr>
        <w:t>planirati financijska sredstva za provedbu mjera reagiranja u slučaju prijetnje velikom nesrećom i sredstva za povrat u funkciju ugroženog područja.</w:t>
      </w:r>
    </w:p>
    <w:p w:rsidR="005C1E80" w:rsidRDefault="005C1E80" w:rsidP="005C1E80">
      <w:pPr>
        <w:shd w:val="clear" w:color="auto" w:fill="FFFFFF" w:themeFill="background1"/>
        <w:jc w:val="both"/>
      </w:pPr>
    </w:p>
    <w:p w:rsidR="005C1E80" w:rsidRDefault="005C1E80" w:rsidP="005C1E80">
      <w:pPr>
        <w:shd w:val="clear" w:color="auto" w:fill="FFFFFF" w:themeFill="background1"/>
        <w:jc w:val="both"/>
      </w:pPr>
    </w:p>
    <w:p w:rsidR="005C1E80" w:rsidRDefault="005C1E80" w:rsidP="005C1E80">
      <w:pPr>
        <w:shd w:val="clear" w:color="auto" w:fill="FFFFFF" w:themeFill="background1"/>
        <w:jc w:val="both"/>
      </w:pPr>
    </w:p>
    <w:p w:rsidR="005C1E80" w:rsidRDefault="005C1E80" w:rsidP="005C1E80">
      <w:pPr>
        <w:shd w:val="clear" w:color="auto" w:fill="FFFFFF" w:themeFill="background1"/>
        <w:jc w:val="both"/>
      </w:pPr>
    </w:p>
    <w:p w:rsidR="005C1E80" w:rsidRDefault="005C1E80" w:rsidP="005C1E80">
      <w:pPr>
        <w:shd w:val="clear" w:color="auto" w:fill="FFFFFF" w:themeFill="background1"/>
        <w:jc w:val="both"/>
      </w:pPr>
    </w:p>
    <w:p w:rsidR="005C1E80" w:rsidRDefault="005C1E80" w:rsidP="005C1E80">
      <w:pPr>
        <w:pStyle w:val="Razina1"/>
        <w:rPr>
          <w:rFonts w:ascii="Aptos" w:hAnsi="Aptos"/>
        </w:rPr>
      </w:pPr>
      <w:bookmarkStart w:id="94" w:name="_Toc210900541"/>
      <w:r>
        <w:rPr>
          <w:rFonts w:ascii="Aptos" w:eastAsiaTheme="majorEastAsia" w:hAnsi="Aptos"/>
        </w:rPr>
        <w:t>DRUGE MJERE KOJE UKLJUČUJU SURADNJU S NADLEŽNIM</w:t>
      </w:r>
      <w:r>
        <w:rPr>
          <w:rFonts w:ascii="Aptos" w:hAnsi="Aptos"/>
        </w:rPr>
        <w:t xml:space="preserve"> TIJELIMA, ZNANSTVENIM USTANOVAMA I STRUČNJACIMA ZA PODRUČJE PRIRODNIH NEPOGODA</w:t>
      </w:r>
      <w:bookmarkEnd w:id="91"/>
      <w:bookmarkEnd w:id="92"/>
      <w:bookmarkEnd w:id="94"/>
    </w:p>
    <w:p w:rsidR="005C1E80" w:rsidRDefault="005C1E80" w:rsidP="005C1E80">
      <w:pPr>
        <w:rPr>
          <w:rFonts w:ascii="Aptos" w:hAnsi="Aptos"/>
          <w:lang w:eastAsia="zh-CN"/>
        </w:rPr>
      </w:pPr>
    </w:p>
    <w:p w:rsidR="005C1E80" w:rsidRDefault="005C1E80" w:rsidP="005C1E80">
      <w:pPr>
        <w:jc w:val="both"/>
        <w:rPr>
          <w:rFonts w:ascii="Aptos" w:hAnsi="Aptos"/>
          <w:sz w:val="24"/>
          <w:szCs w:val="24"/>
        </w:rPr>
      </w:pPr>
      <w:r>
        <w:rPr>
          <w:rFonts w:ascii="Aptos" w:hAnsi="Aptos"/>
          <w:sz w:val="24"/>
          <w:szCs w:val="24"/>
        </w:rPr>
        <w:lastRenderedPageBreak/>
        <w:t>Prirodne nepogode postaju sve složenije i vrlo često obuhvaćaju više JLP(R)S, ponekad i područje više država.</w:t>
      </w:r>
    </w:p>
    <w:p w:rsidR="005C1E80" w:rsidRDefault="005C1E80" w:rsidP="005C1E80">
      <w:pPr>
        <w:jc w:val="both"/>
        <w:rPr>
          <w:rFonts w:ascii="Aptos" w:hAnsi="Aptos"/>
          <w:sz w:val="24"/>
          <w:szCs w:val="24"/>
        </w:rPr>
      </w:pPr>
      <w:r>
        <w:rPr>
          <w:rFonts w:ascii="Aptos" w:hAnsi="Aptos"/>
          <w:sz w:val="24"/>
          <w:szCs w:val="24"/>
        </w:rPr>
        <w:t>Stoga, stručnost i kvaliteta u odgovoru na krize je bitna, a posebno suradnja sa nadležnim tijelima, znanstvenim ustanovama i stručnjacima je imperativ za sve jedinice lokalne i područne (regionalne) samouprave.</w:t>
      </w:r>
    </w:p>
    <w:p w:rsidR="005C1E80" w:rsidRDefault="005C1E80" w:rsidP="005C1E80">
      <w:pPr>
        <w:jc w:val="both"/>
        <w:rPr>
          <w:rFonts w:ascii="Aptos" w:hAnsi="Aptos"/>
          <w:sz w:val="24"/>
          <w:szCs w:val="24"/>
        </w:rPr>
      </w:pPr>
      <w:r>
        <w:rPr>
          <w:rFonts w:ascii="Aptos" w:hAnsi="Aptos"/>
          <w:sz w:val="24"/>
          <w:szCs w:val="24"/>
        </w:rPr>
        <w:t>Stoga, u daljnjem tekstu biti će pružan pregled sustava suradnje koji može poslužiti kao platforama za razvoj adekvatnog odgovora na prirodne nepogode na razini JLP(R)S.</w:t>
      </w:r>
    </w:p>
    <w:p w:rsidR="005C1E80" w:rsidRDefault="005C1E80" w:rsidP="005C1E80">
      <w:pPr>
        <w:jc w:val="both"/>
        <w:rPr>
          <w:rFonts w:ascii="Aptos" w:hAnsi="Aptos"/>
          <w:sz w:val="24"/>
          <w:szCs w:val="24"/>
        </w:rPr>
      </w:pPr>
    </w:p>
    <w:p w:rsidR="005C1E80" w:rsidRDefault="005C1E80" w:rsidP="005C1E80">
      <w:pPr>
        <w:pStyle w:val="Razina2"/>
        <w:rPr>
          <w:rFonts w:ascii="Aptos" w:hAnsi="Aptos"/>
        </w:rPr>
      </w:pPr>
      <w:bookmarkStart w:id="95" w:name="_Toc114432705"/>
      <w:bookmarkStart w:id="96" w:name="_Toc87270612"/>
      <w:r>
        <w:rPr>
          <w:rFonts w:ascii="Aptos" w:hAnsi="Aptos"/>
        </w:rPr>
        <w:t xml:space="preserve"> </w:t>
      </w:r>
      <w:bookmarkStart w:id="97" w:name="_Toc210900542"/>
      <w:r>
        <w:rPr>
          <w:rFonts w:ascii="Aptos" w:hAnsi="Aptos"/>
        </w:rPr>
        <w:t>Suradnja sa nadležnim tijelima na razini Europske unije</w:t>
      </w:r>
      <w:bookmarkEnd w:id="95"/>
      <w:bookmarkEnd w:id="96"/>
      <w:bookmarkEnd w:id="97"/>
    </w:p>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 xml:space="preserve">Općina Gornji Bogićevci kao i ostale JLP(R)S ima mogućnost iznositi svoje stavove o potrebama lokalnih i regionalnih zajednica na razini Europske unije putem svojih predstavnika  u Europskom odboru regija.  </w:t>
      </w:r>
    </w:p>
    <w:p w:rsidR="005C1E80" w:rsidRDefault="005C1E80" w:rsidP="005C1E80">
      <w:pPr>
        <w:jc w:val="both"/>
        <w:rPr>
          <w:rFonts w:ascii="Aptos" w:hAnsi="Aptos"/>
          <w:sz w:val="24"/>
          <w:szCs w:val="24"/>
        </w:rPr>
      </w:pPr>
      <w:r>
        <w:rPr>
          <w:rFonts w:ascii="Aptos" w:hAnsi="Aptos"/>
          <w:sz w:val="24"/>
          <w:szCs w:val="24"/>
        </w:rPr>
        <w:t>U odnosu na prirodne nepogode Europski odbor pružio je  niz  bitnih mišljenja od kojih se ističe  mišljenje na:</w:t>
      </w:r>
    </w:p>
    <w:p w:rsidR="005C1E80" w:rsidRDefault="005C1E80" w:rsidP="00A66748">
      <w:pPr>
        <w:pStyle w:val="Odlomakpopisa"/>
        <w:numPr>
          <w:ilvl w:val="0"/>
          <w:numId w:val="69"/>
        </w:numPr>
        <w:spacing w:after="200" w:line="276" w:lineRule="auto"/>
        <w:jc w:val="both"/>
        <w:rPr>
          <w:rFonts w:ascii="Aptos" w:hAnsi="Aptos"/>
          <w:sz w:val="24"/>
          <w:szCs w:val="24"/>
        </w:rPr>
      </w:pPr>
      <w:r>
        <w:rPr>
          <w:rFonts w:ascii="Aptos" w:hAnsi="Aptos"/>
          <w:sz w:val="24"/>
          <w:szCs w:val="24"/>
        </w:rPr>
        <w:t xml:space="preserve"> Akcijski plan za Okvir iz Sendaija za smanjenje rizika od katastrofa  2015. -2030. </w:t>
      </w:r>
    </w:p>
    <w:p w:rsidR="005C1E80" w:rsidRDefault="005C1E80" w:rsidP="00A66748">
      <w:pPr>
        <w:pStyle w:val="Odlomakpopisa"/>
        <w:numPr>
          <w:ilvl w:val="0"/>
          <w:numId w:val="69"/>
        </w:numPr>
        <w:spacing w:after="200" w:line="276" w:lineRule="auto"/>
        <w:jc w:val="both"/>
        <w:rPr>
          <w:rFonts w:ascii="Aptos" w:hAnsi="Aptos"/>
          <w:sz w:val="24"/>
          <w:szCs w:val="24"/>
        </w:rPr>
      </w:pPr>
      <w:r>
        <w:rPr>
          <w:rFonts w:ascii="Aptos" w:hAnsi="Aptos"/>
          <w:sz w:val="24"/>
          <w:szCs w:val="24"/>
        </w:rPr>
        <w:t>Preispitivanje Mehanizma Unije za civilnu zaštite</w:t>
      </w:r>
    </w:p>
    <w:p w:rsidR="005C1E80" w:rsidRDefault="005C1E80" w:rsidP="00A66748">
      <w:pPr>
        <w:pStyle w:val="Odlomakpopisa"/>
        <w:numPr>
          <w:ilvl w:val="0"/>
          <w:numId w:val="69"/>
        </w:numPr>
        <w:spacing w:after="200" w:line="276" w:lineRule="auto"/>
        <w:jc w:val="both"/>
        <w:rPr>
          <w:rFonts w:ascii="Aptos" w:hAnsi="Aptos"/>
          <w:sz w:val="24"/>
          <w:szCs w:val="24"/>
        </w:rPr>
      </w:pPr>
      <w:bookmarkStart w:id="98" w:name="_Hlk208169378"/>
      <w:r>
        <w:rPr>
          <w:rFonts w:ascii="Aptos" w:hAnsi="Aptos"/>
          <w:sz w:val="24"/>
          <w:szCs w:val="24"/>
        </w:rPr>
        <w:t xml:space="preserve">Rezolucija Europskog odbora regija – Regionalna hitna potpora za obnovu (RESTORE) i mjere u okviru Europskog poljoprivrednog fonda za ruralni razvoj (EPFRR) usmjerene na pružanje pomoći državama članicama pogođenima elementarnim nepogodama </w:t>
      </w:r>
    </w:p>
    <w:bookmarkEnd w:id="98"/>
    <w:p w:rsidR="005C1E80" w:rsidRDefault="005C1E80" w:rsidP="005C1E80">
      <w:pPr>
        <w:jc w:val="both"/>
        <w:rPr>
          <w:rFonts w:ascii="Aptos" w:hAnsi="Aptos"/>
          <w:sz w:val="24"/>
          <w:szCs w:val="24"/>
        </w:rPr>
      </w:pPr>
    </w:p>
    <w:p w:rsidR="005C1E80" w:rsidRDefault="005C1E80" w:rsidP="005C1E80">
      <w:pPr>
        <w:jc w:val="both"/>
        <w:rPr>
          <w:rStyle w:val="Neupadljivoisticanje1"/>
          <w:color w:val="767171" w:themeColor="background2" w:themeShade="80"/>
          <w:sz w:val="24"/>
          <w:szCs w:val="24"/>
        </w:rPr>
      </w:pPr>
      <w:r>
        <w:rPr>
          <w:rStyle w:val="Neupadljivoisticanje1"/>
          <w:color w:val="767171" w:themeColor="background2" w:themeShade="80"/>
          <w:sz w:val="24"/>
          <w:szCs w:val="24"/>
        </w:rPr>
        <w:t>AKCIJSKI PLAN ZA OKVIR IZ SENDAIJA ZA SMANJENJE RIZIKA OD KATASTROFA 2015.-2030.</w:t>
      </w:r>
    </w:p>
    <w:p w:rsidR="005C1E80" w:rsidRDefault="005C1E80" w:rsidP="005C1E80">
      <w:pPr>
        <w:jc w:val="both"/>
        <w:rPr>
          <w:rFonts w:ascii="Aptos" w:hAnsi="Aptos"/>
          <w:sz w:val="24"/>
          <w:szCs w:val="24"/>
        </w:rPr>
      </w:pPr>
      <w:r>
        <w:rPr>
          <w:rFonts w:ascii="Aptos" w:hAnsi="Aptos"/>
          <w:sz w:val="24"/>
          <w:szCs w:val="24"/>
        </w:rPr>
        <w:t xml:space="preserve">Na Trećoj svjetskoj konferenciji UN-a u Sendaiju, Japan usvojen je Okvir za smanjenje rizika od katastrofa. </w:t>
      </w:r>
    </w:p>
    <w:p w:rsidR="005C1E80" w:rsidRDefault="005C1E80" w:rsidP="005C1E80">
      <w:pPr>
        <w:jc w:val="both"/>
        <w:rPr>
          <w:rFonts w:ascii="Aptos" w:hAnsi="Aptos"/>
          <w:sz w:val="24"/>
          <w:szCs w:val="24"/>
        </w:rPr>
      </w:pPr>
      <w:r>
        <w:rPr>
          <w:rFonts w:ascii="Aptos" w:hAnsi="Aptos"/>
          <w:sz w:val="24"/>
          <w:szCs w:val="24"/>
        </w:rPr>
        <w:t xml:space="preserve">Sendai okvir za smanjenje rizika od katastrofa (2015.–2030.) bitan je zato što predstavlja globalno dogovorenu strategiju za smanjenje rizika od katastrofa, uključujući prirodne nepogode i one uzrokovane ljudskim djelovanjem. </w:t>
      </w:r>
    </w:p>
    <w:p w:rsidR="005C1E80" w:rsidRDefault="005C1E80" w:rsidP="005C1E80">
      <w:pPr>
        <w:jc w:val="both"/>
        <w:rPr>
          <w:rFonts w:ascii="Aptos" w:hAnsi="Aptos"/>
          <w:sz w:val="24"/>
          <w:szCs w:val="24"/>
        </w:rPr>
      </w:pPr>
      <w:r>
        <w:rPr>
          <w:rFonts w:ascii="Aptos" w:hAnsi="Aptos"/>
          <w:sz w:val="24"/>
          <w:szCs w:val="24"/>
        </w:rPr>
        <w:t>Umjesto da se katastrofe rješavaju tek kad se dogode, Sendai okvir stavlja nagli naglasak na prevenciju i smanjenje rizika:</w:t>
      </w:r>
    </w:p>
    <w:p w:rsidR="005C1E80" w:rsidRDefault="005C1E80" w:rsidP="005C1E80">
      <w:pPr>
        <w:jc w:val="both"/>
        <w:rPr>
          <w:rFonts w:ascii="Aptos" w:hAnsi="Aptos"/>
          <w:sz w:val="24"/>
          <w:szCs w:val="24"/>
        </w:rPr>
      </w:pPr>
    </w:p>
    <w:p w:rsidR="005C1E80" w:rsidRDefault="005C1E80" w:rsidP="00A66748">
      <w:pPr>
        <w:pStyle w:val="Odlomakpopisa"/>
        <w:numPr>
          <w:ilvl w:val="0"/>
          <w:numId w:val="88"/>
        </w:numPr>
        <w:tabs>
          <w:tab w:val="left" w:pos="360"/>
        </w:tabs>
        <w:spacing w:after="200" w:line="240" w:lineRule="auto"/>
        <w:jc w:val="both"/>
        <w:rPr>
          <w:rFonts w:ascii="Aptos" w:hAnsi="Aptos"/>
          <w:sz w:val="24"/>
          <w:szCs w:val="24"/>
        </w:rPr>
      </w:pPr>
      <w:r>
        <w:rPr>
          <w:rFonts w:ascii="Aptos" w:hAnsi="Aptos"/>
          <w:sz w:val="24"/>
          <w:szCs w:val="24"/>
        </w:rPr>
        <w:t>planiranjem korištenja prostora,</w:t>
      </w:r>
    </w:p>
    <w:p w:rsidR="005C1E80" w:rsidRDefault="005C1E80" w:rsidP="00A66748">
      <w:pPr>
        <w:pStyle w:val="Odlomakpopisa"/>
        <w:numPr>
          <w:ilvl w:val="0"/>
          <w:numId w:val="88"/>
        </w:numPr>
        <w:tabs>
          <w:tab w:val="left" w:pos="360"/>
        </w:tabs>
        <w:spacing w:after="200" w:line="240" w:lineRule="auto"/>
        <w:jc w:val="both"/>
        <w:rPr>
          <w:rFonts w:ascii="Aptos" w:hAnsi="Aptos"/>
          <w:sz w:val="24"/>
          <w:szCs w:val="24"/>
        </w:rPr>
      </w:pPr>
      <w:r>
        <w:rPr>
          <w:rFonts w:ascii="Aptos" w:hAnsi="Aptos"/>
          <w:sz w:val="24"/>
          <w:szCs w:val="24"/>
        </w:rPr>
        <w:t>jačanjem infrastrukture,</w:t>
      </w:r>
    </w:p>
    <w:p w:rsidR="005C1E80" w:rsidRDefault="005C1E80" w:rsidP="00A66748">
      <w:pPr>
        <w:pStyle w:val="Odlomakpopisa"/>
        <w:numPr>
          <w:ilvl w:val="0"/>
          <w:numId w:val="88"/>
        </w:numPr>
        <w:tabs>
          <w:tab w:val="left" w:pos="360"/>
        </w:tabs>
        <w:spacing w:after="200" w:line="240" w:lineRule="auto"/>
        <w:jc w:val="both"/>
        <w:rPr>
          <w:rFonts w:ascii="Aptos" w:hAnsi="Aptos"/>
          <w:sz w:val="24"/>
          <w:szCs w:val="24"/>
        </w:rPr>
      </w:pPr>
      <w:r>
        <w:rPr>
          <w:rFonts w:ascii="Aptos" w:hAnsi="Aptos"/>
          <w:sz w:val="24"/>
          <w:szCs w:val="24"/>
        </w:rPr>
        <w:t>podizanjem svijesti i obrazovanjem zajednica,</w:t>
      </w:r>
    </w:p>
    <w:p w:rsidR="005C1E80" w:rsidRDefault="005C1E80" w:rsidP="00A66748">
      <w:pPr>
        <w:pStyle w:val="Odlomakpopisa"/>
        <w:numPr>
          <w:ilvl w:val="0"/>
          <w:numId w:val="88"/>
        </w:numPr>
        <w:tabs>
          <w:tab w:val="left" w:pos="360"/>
        </w:tabs>
        <w:spacing w:after="200" w:line="240" w:lineRule="auto"/>
        <w:jc w:val="both"/>
        <w:rPr>
          <w:rFonts w:ascii="Aptos" w:hAnsi="Aptos"/>
          <w:sz w:val="24"/>
          <w:szCs w:val="24"/>
        </w:rPr>
      </w:pPr>
      <w:r>
        <w:rPr>
          <w:rFonts w:ascii="Aptos" w:hAnsi="Aptos"/>
          <w:sz w:val="24"/>
          <w:szCs w:val="24"/>
        </w:rPr>
        <w:t>ranim upozoravanjem.</w:t>
      </w:r>
    </w:p>
    <w:p w:rsidR="005C1E80" w:rsidRDefault="005C1E80" w:rsidP="005C1E80">
      <w:pPr>
        <w:jc w:val="both"/>
        <w:rPr>
          <w:rFonts w:ascii="Aptos" w:hAnsi="Aptos"/>
          <w:sz w:val="24"/>
          <w:szCs w:val="24"/>
        </w:rPr>
      </w:pPr>
      <w:r>
        <w:rPr>
          <w:rFonts w:ascii="Aptos" w:hAnsi="Aptos"/>
          <w:sz w:val="24"/>
          <w:szCs w:val="24"/>
        </w:rPr>
        <w:lastRenderedPageBreak/>
        <w:t>Sendai okvir prepoznaje da se 80–90 % odgovora na katastrofe odvija na lokalnoj razini, stoga:</w:t>
      </w:r>
    </w:p>
    <w:p w:rsidR="005C1E80" w:rsidRDefault="005C1E80" w:rsidP="00A66748">
      <w:pPr>
        <w:pStyle w:val="Odlomakpopisa"/>
        <w:numPr>
          <w:ilvl w:val="0"/>
          <w:numId w:val="89"/>
        </w:numPr>
        <w:spacing w:after="200" w:line="276" w:lineRule="auto"/>
        <w:jc w:val="both"/>
        <w:rPr>
          <w:rFonts w:ascii="Aptos" w:hAnsi="Aptos"/>
          <w:sz w:val="24"/>
          <w:szCs w:val="24"/>
        </w:rPr>
      </w:pPr>
      <w:r>
        <w:rPr>
          <w:rFonts w:ascii="Aptos" w:hAnsi="Aptos"/>
          <w:sz w:val="24"/>
          <w:szCs w:val="24"/>
        </w:rPr>
        <w:t xml:space="preserve">jača ulogu lokalnih i regionalnih vlasti </w:t>
      </w:r>
    </w:p>
    <w:p w:rsidR="005C1E80" w:rsidRDefault="005C1E80" w:rsidP="00A66748">
      <w:pPr>
        <w:pStyle w:val="Odlomakpopisa"/>
        <w:numPr>
          <w:ilvl w:val="0"/>
          <w:numId w:val="89"/>
        </w:numPr>
        <w:spacing w:after="200" w:line="276" w:lineRule="auto"/>
        <w:jc w:val="both"/>
        <w:rPr>
          <w:rFonts w:ascii="Aptos" w:hAnsi="Aptos"/>
          <w:sz w:val="24"/>
          <w:szCs w:val="24"/>
        </w:rPr>
      </w:pPr>
      <w:r>
        <w:rPr>
          <w:rFonts w:ascii="Aptos" w:hAnsi="Aptos"/>
          <w:sz w:val="24"/>
          <w:szCs w:val="24"/>
        </w:rPr>
        <w:t>potiče participativno upravljanje rizicima – uključivanje zajednica, privatnog sektora i civilnog društva.</w:t>
      </w:r>
    </w:p>
    <w:p w:rsidR="005C1E80" w:rsidRDefault="005C1E80" w:rsidP="005C1E80">
      <w:pPr>
        <w:pStyle w:val="Odlomakpopisa"/>
        <w:jc w:val="both"/>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Europska komisija je temeljem navedenog dokumenta i ostalih međunarodnih dokumenata razvila svoj  radni dokument:  Akcijski plan za Okvir iz Sendaija za smanjenje rizika od katastrofa 2015. – 2030.   Svrha Akcijskog plana je implementacija i nadogradnja Sendai okvira, radi daljnjeg unapređenja i promicanja upravljanja rizikom od katastrofa i njegove integracije u politike EU.</w:t>
      </w:r>
    </w:p>
    <w:p w:rsidR="005C1E80" w:rsidRDefault="005C1E80" w:rsidP="005C1E80">
      <w:pPr>
        <w:jc w:val="both"/>
        <w:rPr>
          <w:rFonts w:ascii="Aptos" w:hAnsi="Aptos"/>
          <w:sz w:val="24"/>
          <w:szCs w:val="24"/>
        </w:rPr>
      </w:pPr>
      <w:r>
        <w:rPr>
          <w:rFonts w:ascii="Aptos" w:hAnsi="Aptos"/>
          <w:sz w:val="24"/>
          <w:szCs w:val="24"/>
        </w:rPr>
        <w:t>Na Akcijski plan svoje stručno mišljenje pružio je i Europski odbor regija koji je između ostalog istaknuo na čemu se treba zasnivati budući pristup smanjenju rizika od katastrofa:</w:t>
      </w:r>
    </w:p>
    <w:p w:rsidR="005C1E80" w:rsidRDefault="005C1E80" w:rsidP="00A66748">
      <w:pPr>
        <w:pStyle w:val="Odlomakpopisa"/>
        <w:numPr>
          <w:ilvl w:val="0"/>
          <w:numId w:val="90"/>
        </w:numPr>
        <w:spacing w:after="200" w:line="276" w:lineRule="auto"/>
        <w:jc w:val="both"/>
        <w:rPr>
          <w:rFonts w:ascii="Aptos" w:hAnsi="Aptos"/>
          <w:sz w:val="24"/>
          <w:szCs w:val="24"/>
        </w:rPr>
      </w:pPr>
      <w:r>
        <w:rPr>
          <w:rFonts w:ascii="Aptos" w:hAnsi="Aptos"/>
          <w:sz w:val="24"/>
          <w:szCs w:val="24"/>
        </w:rPr>
        <w:t>lokalne i regionalne vlasti  prve odgovaraju na krizne situacije osiguravanjem osnovnih usluga i nadzora te upravljanjem katastrofama kada do njih dođe; odgovorne su za prevenciju i za organizaciju hitnih mjera intervencije i operacija spašavanja, te najvažnije, raspolažu iscrpnim znanjem o lokalnom području i zajednici</w:t>
      </w:r>
    </w:p>
    <w:p w:rsidR="005C1E80" w:rsidRDefault="005C1E80" w:rsidP="00A66748">
      <w:pPr>
        <w:pStyle w:val="Odlomakpopisa"/>
        <w:numPr>
          <w:ilvl w:val="0"/>
          <w:numId w:val="90"/>
        </w:numPr>
        <w:spacing w:after="200" w:line="276" w:lineRule="auto"/>
        <w:jc w:val="both"/>
        <w:rPr>
          <w:rFonts w:ascii="Aptos" w:hAnsi="Aptos"/>
          <w:sz w:val="24"/>
          <w:szCs w:val="24"/>
        </w:rPr>
      </w:pPr>
      <w:r>
        <w:rPr>
          <w:rFonts w:ascii="Aptos" w:hAnsi="Aptos"/>
          <w:sz w:val="24"/>
          <w:szCs w:val="24"/>
        </w:rPr>
        <w:t>odgovornost za civilnu zaštitu često se prenosi na lokalnu i regionalnu razinu vlasti, a da ona pritom ne raspolaže dostatnim sredstvima za zadovoljavanje potreba. Lokalnim su vlastima potrebni odgovarajući resursi i ovlasti za donošenje odluka</w:t>
      </w:r>
    </w:p>
    <w:p w:rsidR="005C1E80" w:rsidRDefault="005C1E80" w:rsidP="00A66748">
      <w:pPr>
        <w:pStyle w:val="Odlomakpopisa"/>
        <w:numPr>
          <w:ilvl w:val="0"/>
          <w:numId w:val="90"/>
        </w:numPr>
        <w:spacing w:after="200" w:line="276" w:lineRule="auto"/>
        <w:jc w:val="both"/>
        <w:rPr>
          <w:rFonts w:ascii="Aptos" w:hAnsi="Aptos"/>
          <w:sz w:val="24"/>
          <w:szCs w:val="24"/>
        </w:rPr>
      </w:pPr>
      <w:r>
        <w:rPr>
          <w:rFonts w:ascii="Aptos" w:hAnsi="Aptos"/>
          <w:sz w:val="24"/>
          <w:szCs w:val="24"/>
        </w:rPr>
        <w:t xml:space="preserve">potrebno je dodijeliti odgovarajuća financijskih sredstava za smanjenje rizika od katastrofa na lokalnoj i nacionalnoj razini. </w:t>
      </w:r>
    </w:p>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p>
    <w:p w:rsidR="005C1E80" w:rsidRDefault="005C1E80" w:rsidP="005C1E80">
      <w:pPr>
        <w:jc w:val="both"/>
        <w:rPr>
          <w:rStyle w:val="Neupadljivoisticanje1"/>
          <w:color w:val="767171" w:themeColor="background2" w:themeShade="80"/>
          <w:sz w:val="24"/>
          <w:szCs w:val="24"/>
        </w:rPr>
      </w:pPr>
      <w:r>
        <w:rPr>
          <w:rStyle w:val="Neupadljivoisticanje1"/>
          <w:color w:val="767171" w:themeColor="background2" w:themeShade="80"/>
          <w:sz w:val="24"/>
          <w:szCs w:val="24"/>
        </w:rPr>
        <w:t>PREISPITIVANJE MEHANIZMA UNIJE CIVILNE ZAŠTITE</w:t>
      </w:r>
    </w:p>
    <w:p w:rsidR="005C1E80" w:rsidRDefault="005C1E80" w:rsidP="005C1E80">
      <w:pPr>
        <w:jc w:val="both"/>
        <w:rPr>
          <w:rFonts w:ascii="Aptos" w:hAnsi="Aptos"/>
          <w:sz w:val="24"/>
          <w:szCs w:val="24"/>
        </w:rPr>
      </w:pPr>
      <w:r>
        <w:rPr>
          <w:rFonts w:ascii="Aptos" w:hAnsi="Aptos"/>
          <w:sz w:val="24"/>
          <w:szCs w:val="24"/>
        </w:rPr>
        <w:t>Rekordni broj šumskih požara 2017. godine na području Europske unije koji je usmrtio 127 osoba i zbog kojeg je izgorjelo više od 2,1 milijun hektara zemlje, sa procijenjenom štetom od cca. 10 milijardi eura, tražio je jačanje suradnje država Europske unije i jačanje Mehanizma unije civilne zaštite.</w:t>
      </w:r>
    </w:p>
    <w:p w:rsidR="005C1E80" w:rsidRDefault="005C1E80" w:rsidP="005C1E80">
      <w:pPr>
        <w:jc w:val="both"/>
        <w:rPr>
          <w:rFonts w:ascii="Aptos" w:hAnsi="Aptos"/>
          <w:sz w:val="24"/>
          <w:szCs w:val="24"/>
        </w:rPr>
      </w:pPr>
      <w:bookmarkStart w:id="99" w:name="_Hlk208169497"/>
      <w:r>
        <w:rPr>
          <w:rFonts w:ascii="Aptos" w:hAnsi="Aptos"/>
          <w:sz w:val="24"/>
          <w:szCs w:val="24"/>
        </w:rPr>
        <w:t>Europski odbor regija je u svojem mišljenju između ostalog  istaknuo</w:t>
      </w:r>
      <w:bookmarkEnd w:id="99"/>
      <w:r>
        <w:rPr>
          <w:rFonts w:ascii="Aptos" w:hAnsi="Aptos"/>
          <w:sz w:val="24"/>
          <w:szCs w:val="24"/>
        </w:rPr>
        <w:t xml:space="preserve">: </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t>djelovanje lokalnih zajednica najbrži je i najučinkovitiji način ograničavanja štete koju prouzrokuju katastrofe</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t xml:space="preserve">lokalne i regionalne vlasti treba uključiti u pregled planiranih ulaganja u sve relevantne programe i u raspravu o mogućim promjenama </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lastRenderedPageBreak/>
        <w:t>jedan od načina za osiguranje učinkovitijeg odgovora na katastrofe, koji bi bio u skladu s načelom supsidijarnosti, bilo bi usmjeravanje na potporu i pomaganje jačanja sposobnosti lokalnih zajednica za odgovor na katastrofe.</w:t>
      </w:r>
    </w:p>
    <w:p w:rsidR="005C1E80" w:rsidRDefault="005C1E80" w:rsidP="005C1E80">
      <w:pPr>
        <w:pStyle w:val="Odlomakpopisa"/>
        <w:jc w:val="both"/>
        <w:rPr>
          <w:rFonts w:ascii="Aptos" w:hAnsi="Aptos"/>
          <w:sz w:val="24"/>
          <w:szCs w:val="24"/>
        </w:rPr>
      </w:pPr>
    </w:p>
    <w:p w:rsidR="005C1E80" w:rsidRDefault="005C1E80" w:rsidP="005C1E80">
      <w:pPr>
        <w:jc w:val="both"/>
        <w:rPr>
          <w:rStyle w:val="Neupadljivoisticanje1"/>
          <w:color w:val="767171" w:themeColor="background2" w:themeShade="80"/>
          <w:sz w:val="24"/>
          <w:szCs w:val="24"/>
        </w:rPr>
      </w:pPr>
      <w:r>
        <w:rPr>
          <w:rStyle w:val="Neupadljivoisticanje1"/>
          <w:color w:val="767171" w:themeColor="background2" w:themeShade="80"/>
          <w:sz w:val="24"/>
          <w:szCs w:val="24"/>
        </w:rPr>
        <w:t>Rezolucija Europskog odbora regija – Regionalna hitna potpora za obnovu (RESTORE) i mjere u okviru Europskog poljoprivrednog fonda za ruralni razvoj (EPFRR) usmjerene na pružanje pomoći državama članicama pogođenima elementarnim nepogodama</w:t>
      </w:r>
    </w:p>
    <w:p w:rsidR="005C1E80" w:rsidRDefault="005C1E80" w:rsidP="005C1E80">
      <w:pPr>
        <w:jc w:val="both"/>
        <w:rPr>
          <w:rStyle w:val="Neupadljivoisticanje1"/>
          <w:rFonts w:ascii="Aptos" w:hAnsi="Aptos"/>
          <w:i w:val="0"/>
          <w:iCs w:val="0"/>
          <w:color w:val="000000" w:themeColor="text1"/>
          <w:sz w:val="24"/>
          <w:szCs w:val="24"/>
        </w:rPr>
      </w:pPr>
      <w:r>
        <w:rPr>
          <w:rStyle w:val="Neupadljivoisticanje1"/>
          <w:rFonts w:ascii="Aptos" w:hAnsi="Aptos"/>
          <w:color w:val="000000" w:themeColor="text1"/>
          <w:sz w:val="24"/>
          <w:szCs w:val="24"/>
        </w:rPr>
        <w:t>Europski odbor regija je u svojem mišljenju između ostalog  istaknuo:</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t>da su prirodne katastrofe sve češće i sve ozbiljnije i da se to mora uzeti u obzir pri osmišljavanju i provedbi svih ulaganja koja se podupiru iz fondova EU-a; stoga ujedno poziva  zakonodavce da u relevantni zakonodavni okvir u potpunosti uključe načelo „bolje ponovne izgradnje”;</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t>da bi se u okviru buduće kohezijske politike nakon 2027. trebalo dodijeliti više sredstava za jačanje pripravnosti i otpornosti regija i općina kako bi se one mogle održivo prilagoditi klimatskim promjenama i njihovim posljedicama; podsjeća da troškovi nedjelovanja uvelike nadmašuju potrebna ulaganja;</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t>ponovio stajalište da bi budući višegodišnji financijski okvir trebao biti osmišljen tako da osigura fleksibilnost i agilnost u okviru svih stupova i načina upravljanja u slučaju da se pojave novi prioriteti i prirodne katastrofe, među ostalim osiguravanjem da se u strukturu VFO-a od samog početka uključi veći krizni fond i paket opće pričuve za fleksibilnost;</w:t>
      </w:r>
    </w:p>
    <w:p w:rsidR="005C1E80" w:rsidRDefault="005C1E80" w:rsidP="00A66748">
      <w:pPr>
        <w:pStyle w:val="Odlomakpopisa"/>
        <w:numPr>
          <w:ilvl w:val="0"/>
          <w:numId w:val="91"/>
        </w:numPr>
        <w:spacing w:after="200" w:line="276" w:lineRule="auto"/>
        <w:jc w:val="both"/>
        <w:rPr>
          <w:rFonts w:ascii="Aptos" w:hAnsi="Aptos"/>
          <w:sz w:val="24"/>
          <w:szCs w:val="24"/>
        </w:rPr>
      </w:pPr>
      <w:r>
        <w:rPr>
          <w:rFonts w:ascii="Aptos" w:hAnsi="Aptos"/>
          <w:sz w:val="24"/>
          <w:szCs w:val="24"/>
        </w:rPr>
        <w:t>poziva Europsku komisiju da uspostavi platformu za učenje namijenjenu pogođenim regijama kako bi se omogućile i poticale razmjene u vezi s tim procesima obnove, kao i učenje iz njih.</w:t>
      </w:r>
    </w:p>
    <w:p w:rsidR="005C1E80" w:rsidRDefault="005C1E80" w:rsidP="005C1E80">
      <w:pPr>
        <w:jc w:val="both"/>
        <w:rPr>
          <w:rFonts w:ascii="Aptos" w:hAnsi="Aptos"/>
          <w:sz w:val="24"/>
          <w:szCs w:val="24"/>
        </w:rPr>
      </w:pPr>
      <w:r>
        <w:rPr>
          <w:rFonts w:ascii="Aptos" w:hAnsi="Aptos"/>
          <w:sz w:val="24"/>
          <w:szCs w:val="24"/>
        </w:rPr>
        <w:t xml:space="preserve">Kroz ove, kao i ostala svoja mišljenja Europski odbor regija  kontinuirano traži da se prepozna značaj lokalnih zajednica u odgovoru na krize. Mišljenje Europskog odbora regija bitno utječu na kreiranje  odgovora tijela Europske unije  u području prirodnih nepogoda. </w:t>
      </w:r>
    </w:p>
    <w:p w:rsidR="005C1E80" w:rsidRDefault="005C1E80" w:rsidP="005C1E80">
      <w:pPr>
        <w:jc w:val="both"/>
        <w:rPr>
          <w:rFonts w:ascii="Aptos" w:eastAsia="Calibri" w:hAnsi="Aptos" w:cstheme="minorHAnsi"/>
          <w:color w:val="000000"/>
          <w:sz w:val="24"/>
          <w:szCs w:val="24"/>
        </w:rPr>
      </w:pPr>
    </w:p>
    <w:p w:rsidR="005C1E80" w:rsidRDefault="005C1E80" w:rsidP="005C1E80">
      <w:pPr>
        <w:pStyle w:val="Razina2"/>
        <w:rPr>
          <w:rFonts w:ascii="Aptos" w:eastAsia="Calibri" w:hAnsi="Aptos"/>
        </w:rPr>
      </w:pPr>
      <w:bookmarkStart w:id="100" w:name="_Toc87270613"/>
      <w:bookmarkStart w:id="101" w:name="_Toc114432706"/>
      <w:bookmarkStart w:id="102" w:name="_Toc210900543"/>
      <w:bookmarkStart w:id="103" w:name="_Hlk209175286"/>
      <w:r>
        <w:rPr>
          <w:rFonts w:ascii="Aptos" w:eastAsia="Calibri" w:hAnsi="Aptos"/>
        </w:rPr>
        <w:t>Suradnja sa nadležnim tijelima na nacionalnoj razini</w:t>
      </w:r>
      <w:bookmarkEnd w:id="100"/>
      <w:bookmarkEnd w:id="101"/>
      <w:bookmarkEnd w:id="102"/>
    </w:p>
    <w:bookmarkEnd w:id="103"/>
    <w:p w:rsidR="005C1E80" w:rsidRDefault="005C1E80" w:rsidP="005C1E80">
      <w:pPr>
        <w:rPr>
          <w:lang w:eastAsia="zh-CN"/>
        </w:rPr>
      </w:pPr>
    </w:p>
    <w:p w:rsidR="005C1E80" w:rsidRDefault="005C1E80" w:rsidP="005C1E80">
      <w:pPr>
        <w:jc w:val="both"/>
        <w:rPr>
          <w:rFonts w:ascii="Aptos" w:hAnsi="Aptos"/>
          <w:sz w:val="24"/>
          <w:szCs w:val="24"/>
        </w:rPr>
      </w:pPr>
      <w:bookmarkStart w:id="104" w:name="_Toc114432707"/>
      <w:bookmarkStart w:id="105" w:name="_Toc87270614"/>
      <w:r>
        <w:rPr>
          <w:rFonts w:ascii="Aptos" w:hAnsi="Aptos"/>
          <w:sz w:val="24"/>
          <w:szCs w:val="24"/>
        </w:rPr>
        <w:t>Na razini Republike Hrvatske doneseni su ključni dokument koji imaju za cilj pojačati odgovor na prirodne nepogode i smanjiti utjecaj klimatskih promjena:</w:t>
      </w:r>
    </w:p>
    <w:p w:rsidR="005C1E80" w:rsidRDefault="005C1E80" w:rsidP="00A66748">
      <w:pPr>
        <w:pStyle w:val="Odlomakpopisa"/>
        <w:numPr>
          <w:ilvl w:val="0"/>
          <w:numId w:val="92"/>
        </w:numPr>
        <w:spacing w:after="200" w:line="276" w:lineRule="auto"/>
        <w:jc w:val="both"/>
        <w:rPr>
          <w:rFonts w:ascii="Aptos" w:hAnsi="Aptos"/>
          <w:sz w:val="24"/>
          <w:szCs w:val="24"/>
        </w:rPr>
      </w:pPr>
      <w:r>
        <w:rPr>
          <w:rFonts w:ascii="Aptos" w:hAnsi="Aptos"/>
          <w:sz w:val="24"/>
          <w:szCs w:val="24"/>
        </w:rPr>
        <w:t>Strategija prilagodbe klimatskim promjenama za razdoblje do 2040. s pogledom na 2070. godinu</w:t>
      </w:r>
    </w:p>
    <w:p w:rsidR="005C1E80" w:rsidRDefault="005C1E80" w:rsidP="005C1E80">
      <w:pPr>
        <w:jc w:val="both"/>
        <w:rPr>
          <w:rFonts w:ascii="Aptos" w:hAnsi="Aptos"/>
          <w:sz w:val="24"/>
          <w:szCs w:val="24"/>
        </w:rPr>
      </w:pPr>
      <w:r>
        <w:rPr>
          <w:rFonts w:ascii="Aptos" w:hAnsi="Aptos"/>
          <w:sz w:val="24"/>
          <w:szCs w:val="24"/>
        </w:rPr>
        <w:t>Strategijom je određeno 85 mjera prilagodbe kao i ključni dionici. U odnosu na JLP(R)S bitno je istaknuti:</w:t>
      </w:r>
    </w:p>
    <w:p w:rsidR="005C1E80" w:rsidRDefault="005C1E80" w:rsidP="00A66748">
      <w:pPr>
        <w:pStyle w:val="Odlomakpopisa"/>
        <w:numPr>
          <w:ilvl w:val="0"/>
          <w:numId w:val="93"/>
        </w:numPr>
        <w:spacing w:after="200" w:line="276" w:lineRule="auto"/>
        <w:jc w:val="both"/>
        <w:rPr>
          <w:rFonts w:ascii="Aptos" w:hAnsi="Aptos"/>
          <w:sz w:val="24"/>
          <w:szCs w:val="24"/>
        </w:rPr>
      </w:pPr>
      <w:r>
        <w:rPr>
          <w:rFonts w:ascii="Aptos" w:hAnsi="Aptos"/>
          <w:sz w:val="24"/>
          <w:szCs w:val="24"/>
        </w:rPr>
        <w:lastRenderedPageBreak/>
        <w:t>Strategija ima nacionalni karakter, ali veliki dio mjera uključuje JLP(R)S kao ključne sudionike cijelog procesa koji će biti baza u provedbi niza mjera i surađivati sa raznim tijelima više hijerarhijske razine.</w:t>
      </w:r>
    </w:p>
    <w:p w:rsidR="005C1E80" w:rsidRDefault="005C1E80" w:rsidP="00A66748">
      <w:pPr>
        <w:pStyle w:val="Odlomakpopisa"/>
        <w:numPr>
          <w:ilvl w:val="0"/>
          <w:numId w:val="93"/>
        </w:numPr>
        <w:spacing w:after="200" w:line="276" w:lineRule="auto"/>
        <w:jc w:val="both"/>
        <w:rPr>
          <w:rFonts w:ascii="Aptos" w:hAnsi="Aptos"/>
          <w:sz w:val="24"/>
          <w:szCs w:val="24"/>
        </w:rPr>
      </w:pPr>
      <w:r>
        <w:rPr>
          <w:rFonts w:ascii="Aptos" w:hAnsi="Aptos"/>
          <w:sz w:val="24"/>
          <w:szCs w:val="24"/>
        </w:rPr>
        <w:t>Strategija prilagodbe provodit se putem akcijskih planova  čije mjere i aktivnosti moraju biti komplementarni sa ciljevima iz Europskog zelenog plana. Od ključnog značaja za uspješno provođenja mjera iz akcijskih planova je jačanje stručnih i provedbenih kapaciteta JLP(R)S.</w:t>
      </w:r>
    </w:p>
    <w:p w:rsidR="005C1E80" w:rsidRDefault="005C1E80" w:rsidP="00A66748">
      <w:pPr>
        <w:pStyle w:val="Odlomakpopisa"/>
        <w:numPr>
          <w:ilvl w:val="0"/>
          <w:numId w:val="93"/>
        </w:numPr>
        <w:spacing w:after="200" w:line="276" w:lineRule="auto"/>
        <w:jc w:val="both"/>
        <w:rPr>
          <w:rFonts w:ascii="Aptos" w:hAnsi="Aptos"/>
          <w:sz w:val="24"/>
          <w:szCs w:val="24"/>
        </w:rPr>
      </w:pPr>
      <w:r>
        <w:rPr>
          <w:rFonts w:ascii="Aptos" w:hAnsi="Aptos"/>
          <w:sz w:val="24"/>
          <w:szCs w:val="24"/>
        </w:rPr>
        <w:t xml:space="preserve">Provedbom Strategije između ostalog smanjit će se ranjivost sustava na prirodne nepogode i smanjiti negativni financijski učinci. </w:t>
      </w:r>
    </w:p>
    <w:p w:rsidR="005C1E80" w:rsidRDefault="005C1E80" w:rsidP="005C1E80">
      <w:pPr>
        <w:jc w:val="both"/>
        <w:rPr>
          <w:rFonts w:ascii="Aptos" w:hAnsi="Aptos"/>
          <w:sz w:val="24"/>
          <w:szCs w:val="24"/>
        </w:rPr>
      </w:pPr>
    </w:p>
    <w:p w:rsidR="005C1E80" w:rsidRDefault="005C1E80" w:rsidP="00A66748">
      <w:pPr>
        <w:pStyle w:val="Odlomakpopisa"/>
        <w:numPr>
          <w:ilvl w:val="0"/>
          <w:numId w:val="92"/>
        </w:numPr>
        <w:spacing w:after="200" w:line="276" w:lineRule="auto"/>
        <w:jc w:val="both"/>
        <w:rPr>
          <w:rFonts w:ascii="Aptos" w:hAnsi="Aptos"/>
          <w:sz w:val="24"/>
          <w:szCs w:val="24"/>
        </w:rPr>
      </w:pPr>
      <w:r>
        <w:rPr>
          <w:rFonts w:ascii="Aptos" w:hAnsi="Aptos"/>
          <w:sz w:val="24"/>
          <w:szCs w:val="24"/>
        </w:rPr>
        <w:t xml:space="preserve">Strategija upravljanja rizicima od katastrofa do 2030. godine </w:t>
      </w:r>
    </w:p>
    <w:p w:rsidR="005C1E80" w:rsidRDefault="005C1E80" w:rsidP="005C1E80">
      <w:pPr>
        <w:jc w:val="both"/>
        <w:rPr>
          <w:rFonts w:ascii="Aptos" w:hAnsi="Aptos"/>
          <w:sz w:val="24"/>
          <w:szCs w:val="24"/>
        </w:rPr>
      </w:pPr>
      <w:r>
        <w:rPr>
          <w:rFonts w:ascii="Aptos" w:hAnsi="Aptos"/>
          <w:sz w:val="24"/>
          <w:szCs w:val="24"/>
        </w:rPr>
        <w:t>Strategija upravljanja rizicima od katastrofa do 2030. godine  ima sljedeće strateške ciljeve:</w:t>
      </w:r>
    </w:p>
    <w:p w:rsidR="005C1E80" w:rsidRDefault="005C1E80" w:rsidP="00A66748">
      <w:pPr>
        <w:pStyle w:val="Odlomakpopisa"/>
        <w:numPr>
          <w:ilvl w:val="0"/>
          <w:numId w:val="94"/>
        </w:numPr>
        <w:spacing w:after="200" w:line="276" w:lineRule="auto"/>
        <w:jc w:val="both"/>
        <w:rPr>
          <w:rFonts w:ascii="Aptos" w:hAnsi="Aptos"/>
          <w:sz w:val="24"/>
          <w:szCs w:val="24"/>
        </w:rPr>
      </w:pPr>
      <w:r>
        <w:rPr>
          <w:rFonts w:ascii="Aptos" w:hAnsi="Aptos"/>
          <w:sz w:val="24"/>
          <w:szCs w:val="24"/>
        </w:rPr>
        <w:t>smanjenje rizika od katastrofa — postizanje otpornije Hrvatske kroz proaktivne mjere prevencije</w:t>
      </w:r>
    </w:p>
    <w:p w:rsidR="005C1E80" w:rsidRDefault="005C1E80" w:rsidP="00A66748">
      <w:pPr>
        <w:pStyle w:val="Odlomakpopisa"/>
        <w:numPr>
          <w:ilvl w:val="0"/>
          <w:numId w:val="94"/>
        </w:numPr>
        <w:spacing w:after="200" w:line="276" w:lineRule="auto"/>
        <w:jc w:val="both"/>
        <w:rPr>
          <w:rFonts w:ascii="Aptos" w:hAnsi="Aptos"/>
          <w:sz w:val="24"/>
          <w:szCs w:val="24"/>
        </w:rPr>
      </w:pPr>
      <w:r>
        <w:rPr>
          <w:rFonts w:ascii="Aptos" w:hAnsi="Aptos"/>
          <w:sz w:val="24"/>
          <w:szCs w:val="24"/>
        </w:rPr>
        <w:t>povećanje spremnosti za upravljanje katastrofama — jačanje kapaciteta i efikasnosti u reakciji te oporavku od katastrofa.</w:t>
      </w:r>
    </w:p>
    <w:p w:rsidR="005C1E80" w:rsidRDefault="005C1E80" w:rsidP="005C1E80">
      <w:pPr>
        <w:jc w:val="both"/>
        <w:rPr>
          <w:rFonts w:ascii="Aptos" w:hAnsi="Aptos"/>
          <w:sz w:val="24"/>
          <w:szCs w:val="24"/>
        </w:rPr>
      </w:pPr>
      <w:r>
        <w:rPr>
          <w:rFonts w:ascii="Aptos" w:hAnsi="Aptos"/>
          <w:sz w:val="24"/>
          <w:szCs w:val="24"/>
        </w:rPr>
        <w:t>Dokument traži da osim na nacionalnoj razini ciljevi se implementiraju u buduće planove upravljanja rizicima i planove razvoja na lokalnim i regionalnim razinama.</w:t>
      </w:r>
    </w:p>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p>
    <w:p w:rsidR="005C1E80" w:rsidRDefault="005C1E80" w:rsidP="00A66748">
      <w:pPr>
        <w:pStyle w:val="Odlomakpopisa"/>
        <w:numPr>
          <w:ilvl w:val="0"/>
          <w:numId w:val="92"/>
        </w:numPr>
        <w:spacing w:after="200" w:line="276" w:lineRule="auto"/>
        <w:jc w:val="both"/>
        <w:rPr>
          <w:rFonts w:ascii="Aptos" w:hAnsi="Aptos"/>
          <w:sz w:val="24"/>
          <w:szCs w:val="24"/>
        </w:rPr>
      </w:pPr>
      <w:r>
        <w:rPr>
          <w:rFonts w:ascii="Aptos" w:hAnsi="Aptos"/>
          <w:sz w:val="24"/>
          <w:szCs w:val="24"/>
        </w:rPr>
        <w:t>Zakon o klimatskim promjenama i zaštiti ozonskog omotača (NN 67/25)</w:t>
      </w:r>
    </w:p>
    <w:p w:rsidR="005C1E80" w:rsidRDefault="005C1E80" w:rsidP="005C1E80">
      <w:pPr>
        <w:jc w:val="both"/>
        <w:rPr>
          <w:rFonts w:ascii="Aptos" w:hAnsi="Aptos"/>
          <w:sz w:val="24"/>
          <w:szCs w:val="24"/>
        </w:rPr>
      </w:pPr>
      <w:r>
        <w:rPr>
          <w:rFonts w:ascii="Aptos" w:hAnsi="Aptos"/>
          <w:sz w:val="24"/>
          <w:szCs w:val="24"/>
        </w:rPr>
        <w:t>Propis se donio zbog postizanja  klimatskih ciljeva na koje se Republika Hrvatska obvezala, ali  između ostalog  i zbog:</w:t>
      </w:r>
    </w:p>
    <w:p w:rsidR="005C1E80" w:rsidRDefault="005C1E80" w:rsidP="005C1E80">
      <w:pPr>
        <w:jc w:val="both"/>
        <w:rPr>
          <w:rFonts w:ascii="Aptos" w:hAnsi="Aptos"/>
          <w:sz w:val="24"/>
          <w:szCs w:val="24"/>
        </w:rPr>
      </w:pPr>
      <w:r>
        <w:rPr>
          <w:rFonts w:ascii="Aptos" w:hAnsi="Aptos"/>
          <w:sz w:val="24"/>
          <w:szCs w:val="24"/>
        </w:rPr>
        <w:t>-</w:t>
      </w:r>
      <w:r>
        <w:rPr>
          <w:rFonts w:ascii="Aptos" w:hAnsi="Aptos"/>
          <w:sz w:val="24"/>
          <w:szCs w:val="24"/>
        </w:rPr>
        <w:tab/>
        <w:t>usklađivanja s pravnom stečevinom Europske unije na području klimatskih promjena, ublažavanja klimatskih promjena, prilagodbe klimatskim promjenama i zaštite ozonskog sloja, a proces će se nastaviti donošenjem provedbenih propisa i planskih dokumenata</w:t>
      </w:r>
    </w:p>
    <w:p w:rsidR="005C1E80" w:rsidRDefault="005C1E80" w:rsidP="005C1E80">
      <w:pPr>
        <w:jc w:val="both"/>
        <w:rPr>
          <w:rFonts w:ascii="Aptos" w:hAnsi="Aptos"/>
          <w:sz w:val="24"/>
          <w:szCs w:val="24"/>
        </w:rPr>
      </w:pPr>
      <w:r>
        <w:rPr>
          <w:rFonts w:ascii="Aptos" w:hAnsi="Aptos"/>
          <w:sz w:val="24"/>
          <w:szCs w:val="24"/>
        </w:rPr>
        <w:t>-</w:t>
      </w:r>
      <w:r>
        <w:rPr>
          <w:rFonts w:ascii="Aptos" w:hAnsi="Aptos"/>
          <w:sz w:val="24"/>
          <w:szCs w:val="24"/>
        </w:rPr>
        <w:tab/>
        <w:t>unaprjeđenja institucionalnih uvjeta za donošenje strateških dokumenata u području zaštite klime i ozonskog sloja</w:t>
      </w:r>
    </w:p>
    <w:p w:rsidR="005C1E80" w:rsidRDefault="005C1E80" w:rsidP="005C1E80">
      <w:pPr>
        <w:jc w:val="both"/>
        <w:rPr>
          <w:rFonts w:ascii="Aptos" w:hAnsi="Aptos"/>
          <w:sz w:val="24"/>
          <w:szCs w:val="24"/>
        </w:rPr>
      </w:pPr>
      <w:r>
        <w:rPr>
          <w:rFonts w:ascii="Aptos" w:hAnsi="Aptos"/>
          <w:sz w:val="24"/>
          <w:szCs w:val="24"/>
        </w:rPr>
        <w:t>-</w:t>
      </w:r>
      <w:r>
        <w:rPr>
          <w:rFonts w:ascii="Aptos" w:hAnsi="Aptos"/>
          <w:sz w:val="24"/>
          <w:szCs w:val="24"/>
        </w:rPr>
        <w:tab/>
        <w:t>uspostava sustava odgovornosti za postizanje klimatskih ciljeva.</w:t>
      </w:r>
    </w:p>
    <w:p w:rsidR="005C1E80" w:rsidRDefault="005C1E80" w:rsidP="005C1E80">
      <w:pPr>
        <w:jc w:val="both"/>
        <w:rPr>
          <w:rFonts w:ascii="Aptos" w:hAnsi="Aptos"/>
          <w:sz w:val="24"/>
          <w:szCs w:val="24"/>
        </w:rPr>
      </w:pPr>
      <w:r>
        <w:rPr>
          <w:rFonts w:ascii="Aptos" w:hAnsi="Aptos"/>
          <w:sz w:val="24"/>
          <w:szCs w:val="24"/>
        </w:rPr>
        <w:t>Propis jasno prepoznaje i propisuje ulogu JLPRS — ne samo formalno, već kroz konkretne zadaće u planiranju, provedbi, financiranju i izvještavanju. JLPRS su kao subjekti ključni dionici u nacionalnoj klimatskoj politici i zaštiti ozonskog sloja.</w:t>
      </w:r>
    </w:p>
    <w:p w:rsidR="005C1E80" w:rsidRDefault="005C1E80" w:rsidP="005C1E80">
      <w:pPr>
        <w:pStyle w:val="Odlomakpopisa"/>
        <w:jc w:val="both"/>
        <w:rPr>
          <w:rFonts w:ascii="Aptos" w:hAnsi="Aptos"/>
          <w:color w:val="FF0000"/>
          <w:sz w:val="24"/>
          <w:szCs w:val="24"/>
        </w:rPr>
      </w:pPr>
    </w:p>
    <w:p w:rsidR="005C1E80" w:rsidRDefault="005C1E80" w:rsidP="005C1E80">
      <w:pPr>
        <w:pStyle w:val="Razina2"/>
        <w:rPr>
          <w:rFonts w:ascii="Aptos" w:hAnsi="Aptos"/>
        </w:rPr>
      </w:pPr>
      <w:bookmarkStart w:id="106" w:name="_Toc210900544"/>
      <w:r>
        <w:rPr>
          <w:rFonts w:ascii="Aptos" w:hAnsi="Aptos"/>
        </w:rPr>
        <w:lastRenderedPageBreak/>
        <w:t>Suradnja sa znanstvenim ustanovama</w:t>
      </w:r>
      <w:bookmarkEnd w:id="106"/>
    </w:p>
    <w:p w:rsidR="005C1E80" w:rsidRDefault="005C1E80" w:rsidP="005C1E80">
      <w:pPr>
        <w:rPr>
          <w:lang w:eastAsia="zh-CN"/>
        </w:rPr>
      </w:pPr>
    </w:p>
    <w:p w:rsidR="005C1E80" w:rsidRDefault="005C1E80" w:rsidP="005C1E80">
      <w:pPr>
        <w:jc w:val="both"/>
        <w:rPr>
          <w:rFonts w:ascii="Aptos" w:hAnsi="Aptos"/>
          <w:sz w:val="24"/>
          <w:szCs w:val="24"/>
        </w:rPr>
      </w:pPr>
      <w:r>
        <w:rPr>
          <w:rFonts w:ascii="Aptos" w:hAnsi="Aptos"/>
          <w:sz w:val="24"/>
          <w:szCs w:val="24"/>
        </w:rPr>
        <w:t xml:space="preserve">Najveći oslonac za razvoj odgovora na prirodne nepogode  predstavljaju hrvatska sveučilišta i veleučilišta, prvenstveno Sveučilište u Slavonskom Brodu. Znanstvena zajednica predstavlja značajnu bazu za razvoj raznih projekata unutar studijskih programa od čega će koristi imati i lokalna zajednica kroz razvoj novih ideja i saznanja. </w:t>
      </w:r>
    </w:p>
    <w:p w:rsidR="005C1E80" w:rsidRDefault="005C1E80" w:rsidP="005C1E80">
      <w:pPr>
        <w:rPr>
          <w:lang w:eastAsia="zh-CN"/>
        </w:rPr>
      </w:pPr>
    </w:p>
    <w:p w:rsidR="005C1E80" w:rsidRDefault="005C1E80" w:rsidP="005C1E80">
      <w:pPr>
        <w:pStyle w:val="Razina2"/>
        <w:rPr>
          <w:rFonts w:ascii="Aptos" w:hAnsi="Aptos"/>
        </w:rPr>
      </w:pPr>
    </w:p>
    <w:p w:rsidR="005C1E80" w:rsidRDefault="005C1E80" w:rsidP="005C1E80">
      <w:pPr>
        <w:pStyle w:val="Razina2"/>
        <w:rPr>
          <w:i/>
          <w:iCs/>
        </w:rPr>
      </w:pPr>
      <w:bookmarkStart w:id="107" w:name="_Toc208190529"/>
      <w:bookmarkStart w:id="108" w:name="_Toc210900545"/>
      <w:r>
        <w:rPr>
          <w:i/>
          <w:iCs/>
        </w:rPr>
        <w:t>Suradnja sa stručnjacima za prirodne nepogode</w:t>
      </w:r>
      <w:bookmarkEnd w:id="107"/>
      <w:bookmarkEnd w:id="108"/>
    </w:p>
    <w:p w:rsidR="005C1E80" w:rsidRDefault="005C1E80" w:rsidP="005C1E80">
      <w:pPr>
        <w:rPr>
          <w:lang w:eastAsia="zh-CN"/>
        </w:rPr>
      </w:pPr>
    </w:p>
    <w:p w:rsidR="005C1E80" w:rsidRDefault="005C1E80" w:rsidP="005C1E80">
      <w:pPr>
        <w:jc w:val="both"/>
        <w:rPr>
          <w:rFonts w:ascii="Aptos" w:hAnsi="Aptos"/>
          <w:sz w:val="24"/>
          <w:szCs w:val="24"/>
        </w:rPr>
      </w:pPr>
      <w:r>
        <w:rPr>
          <w:rFonts w:ascii="Aptos" w:hAnsi="Aptos"/>
          <w:sz w:val="24"/>
          <w:szCs w:val="24"/>
        </w:rPr>
        <w:t>Suradnja sa stručnjacima zasniva se na osiguranju potrebnih znanja o prirodnim nepogodama, prevenciji, organizaciji i aktivnosti sustava u slučaju prirodne nepogode.</w:t>
      </w:r>
    </w:p>
    <w:p w:rsidR="005C1E80" w:rsidRDefault="005C1E80" w:rsidP="005C1E80">
      <w:pPr>
        <w:jc w:val="both"/>
        <w:rPr>
          <w:rFonts w:ascii="Aptos" w:hAnsi="Aptos"/>
          <w:sz w:val="24"/>
          <w:szCs w:val="24"/>
        </w:rPr>
      </w:pPr>
      <w:r>
        <w:rPr>
          <w:rFonts w:ascii="Aptos" w:hAnsi="Aptos"/>
          <w:sz w:val="24"/>
          <w:szCs w:val="24"/>
        </w:rPr>
        <w:t>Stručnjaci svojim stručnim znanjem mogu pružiti podršku prilikom izrada potrebne dokumentacije, provođenja edukacija i vježbi, te provođenju projekata.</w:t>
      </w:r>
    </w:p>
    <w:p w:rsidR="005C1E80" w:rsidRDefault="005C1E80" w:rsidP="005C1E80">
      <w:pPr>
        <w:jc w:val="both"/>
        <w:rPr>
          <w:rFonts w:ascii="Aptos" w:hAnsi="Aptos"/>
          <w:i/>
          <w:iCs/>
          <w:color w:val="767171" w:themeColor="background2" w:themeShade="80"/>
          <w:sz w:val="24"/>
          <w:szCs w:val="24"/>
        </w:rPr>
      </w:pPr>
      <w:r>
        <w:rPr>
          <w:rFonts w:ascii="Aptos" w:hAnsi="Aptos"/>
          <w:i/>
          <w:iCs/>
          <w:color w:val="767171" w:themeColor="background2" w:themeShade="80"/>
          <w:sz w:val="24"/>
          <w:szCs w:val="24"/>
        </w:rPr>
        <w:t>Edukacija građana</w:t>
      </w:r>
    </w:p>
    <w:p w:rsidR="005C1E80" w:rsidRDefault="005C1E80" w:rsidP="005C1E80">
      <w:pPr>
        <w:jc w:val="both"/>
        <w:rPr>
          <w:rFonts w:ascii="Aptos" w:hAnsi="Aptos"/>
          <w:sz w:val="24"/>
          <w:szCs w:val="24"/>
        </w:rPr>
      </w:pPr>
      <w:r>
        <w:rPr>
          <w:rFonts w:ascii="Aptos" w:hAnsi="Aptos"/>
          <w:sz w:val="24"/>
          <w:szCs w:val="24"/>
        </w:rPr>
        <w:t xml:space="preserve">Strategija upravljanja rizicima od katastrofa do 2030. godine poseban naglasak stavlja na jačanje svijesti građana i  edukaciju. Poseban fokus pri planiranju edukacija treba staviti na ranjive skupine kao što su djeca, osobe sa invaliditetom, ali i starije osobe.  </w:t>
      </w:r>
    </w:p>
    <w:p w:rsidR="005C1E80" w:rsidRDefault="005C1E80" w:rsidP="005C1E80">
      <w:pPr>
        <w:jc w:val="both"/>
        <w:rPr>
          <w:rFonts w:ascii="Aptos" w:hAnsi="Aptos"/>
          <w:sz w:val="24"/>
          <w:szCs w:val="24"/>
        </w:rPr>
      </w:pPr>
      <w:r>
        <w:rPr>
          <w:rFonts w:ascii="Aptos" w:hAnsi="Aptos"/>
          <w:sz w:val="24"/>
          <w:szCs w:val="24"/>
        </w:rPr>
        <w:t>Posebno je bitno naglasiti kako ne postoji obrazovanje o klimatskim promjenama u osnovnim i srednjim školama, a radi se o generacijama koje će izravno biti pogođene promjenama koje će uključivati povećanje ekstremnih vremenskih prilika kao što su poplave, suša, olujno nevrijeme, tuča pa nadalje. Također ne postoji sustavno obrazovanje o ponašanju u slučaju prirodnih nepogoda, pogotovo u potresima.</w:t>
      </w:r>
    </w:p>
    <w:p w:rsidR="005C1E80" w:rsidRDefault="005C1E80" w:rsidP="005C1E80">
      <w:pPr>
        <w:pStyle w:val="Razina2"/>
        <w:rPr>
          <w:rFonts w:ascii="Aptos" w:hAnsi="Aptos"/>
        </w:rPr>
      </w:pPr>
    </w:p>
    <w:p w:rsidR="005C1E80" w:rsidRDefault="005C1E80" w:rsidP="005C1E80">
      <w:pPr>
        <w:rPr>
          <w:lang w:eastAsia="zh-CN"/>
        </w:rPr>
      </w:pPr>
    </w:p>
    <w:p w:rsidR="005C1E80" w:rsidRDefault="005C1E80" w:rsidP="005C1E80">
      <w:pPr>
        <w:pStyle w:val="Razina1"/>
      </w:pPr>
      <w:bookmarkStart w:id="109" w:name="_Toc208190530"/>
      <w:bookmarkStart w:id="110" w:name="_Toc210900546"/>
      <w:r>
        <w:t>POPIS MJERA ZA DJELOVANJE U PODRUČJU PRIRODNIH NEPOGODA</w:t>
      </w:r>
      <w:bookmarkEnd w:id="109"/>
      <w:bookmarkEnd w:id="110"/>
    </w:p>
    <w:p w:rsidR="005C1E80" w:rsidRDefault="005C1E80" w:rsidP="005C1E80">
      <w:pPr>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Kroz analizu postojećeg stanja i utjecaja klimatskih promjena uočena je potreba za razvojem odgovora koji će uključiti niz sudionika i provesti se kroz više aktivnosti. U nastavku će se prikazati mjere i aktivnosti koje se redovito provode i koje će se provesti, a koje se odnose na razvoj sustava odgovora na prirodne nepogode,  te će se pružiti okvirni rokovi za provedbu pojedine aktivnosti.</w:t>
      </w:r>
    </w:p>
    <w:p w:rsidR="005C1E80" w:rsidRDefault="005C1E80" w:rsidP="005C1E80">
      <w:pPr>
        <w:jc w:val="both"/>
        <w:rPr>
          <w:rFonts w:ascii="Aptos" w:hAnsi="Aptos"/>
          <w:sz w:val="24"/>
          <w:szCs w:val="24"/>
        </w:rPr>
      </w:pPr>
      <w:r>
        <w:rPr>
          <w:rFonts w:ascii="Aptos" w:hAnsi="Aptos"/>
          <w:sz w:val="24"/>
          <w:szCs w:val="24"/>
        </w:rPr>
        <w:t>Ostvarenje aktivnosti u 2026. godini ovisiti će o mogućnostima izvora financiranja, raspoloživim ljudskim resursima i drugim faktorima koji se ne mogu u cijelosti unaprijed definirati.</w:t>
      </w:r>
    </w:p>
    <w:p w:rsidR="005C1E80" w:rsidRDefault="005C1E80" w:rsidP="005C1E80">
      <w:pPr>
        <w:jc w:val="both"/>
        <w:rPr>
          <w:rFonts w:ascii="Aptos" w:eastAsia="Times New Roman" w:hAnsi="Aptos" w:cstheme="minorHAnsi"/>
          <w:i/>
          <w:sz w:val="24"/>
          <w:szCs w:val="24"/>
        </w:rPr>
      </w:pPr>
    </w:p>
    <w:p w:rsidR="005C1E80" w:rsidRDefault="005C1E80" w:rsidP="005C1E80">
      <w:pPr>
        <w:pStyle w:val="Razina2"/>
      </w:pPr>
      <w:bookmarkStart w:id="111" w:name="_Toc208190531"/>
      <w:bookmarkStart w:id="112" w:name="_Toc210900547"/>
      <w:r>
        <w:lastRenderedPageBreak/>
        <w:t>MJERE – KLIMATSKE PROMJENE</w:t>
      </w:r>
      <w:bookmarkEnd w:id="111"/>
      <w:bookmarkEnd w:id="112"/>
    </w:p>
    <w:p w:rsidR="005C1E80" w:rsidRDefault="005C1E80" w:rsidP="005C1E80">
      <w:pPr>
        <w:jc w:val="both"/>
        <w:rPr>
          <w:lang w:eastAsia="zh-CN"/>
        </w:rPr>
      </w:pP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Dva su osnovan cilja kod klimatskih promjena:</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 smanjiti uzroke klimatskih promjena, odnosno spriječiti daljnje promjene</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 smanjiti posljedice klimatskih promjena, odnosno ublažiti negativne učinke (prilagodba).</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Duži niz godina kroz niz međunarodnih akata i politika veći naglasak se stavljao na smanjenje uzroka klimatskih promjena. Međutim, Pariškim sporazumom iz 2014. godine jednak naglasak se stavio i na prilagodbu klimatskim promjenama.</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Naime, prema izvješću Međuvladinog panela o klimatskim promjenama iz  2014. godine</w:t>
      </w:r>
      <w:r>
        <w:rPr>
          <w:rFonts w:ascii="Aptos" w:hAnsi="Aptos"/>
          <w:color w:val="000000" w:themeColor="text1"/>
          <w:sz w:val="24"/>
          <w:szCs w:val="24"/>
          <w:vertAlign w:val="superscript"/>
        </w:rPr>
        <w:footnoteReference w:id="7"/>
      </w:r>
      <w:r>
        <w:rPr>
          <w:rFonts w:ascii="Aptos" w:hAnsi="Aptos"/>
          <w:color w:val="000000" w:themeColor="text1"/>
          <w:sz w:val="24"/>
          <w:szCs w:val="24"/>
        </w:rPr>
        <w:t xml:space="preserve"> većina aspekata klimatskih promjena trajat će stoljećima čak i ako se danas zaustave emisije CO2</w:t>
      </w:r>
      <w:r>
        <w:rPr>
          <w:rFonts w:ascii="Aptos" w:hAnsi="Aptos"/>
          <w:color w:val="000000" w:themeColor="text1"/>
          <w:sz w:val="24"/>
          <w:szCs w:val="24"/>
          <w:vertAlign w:val="superscript"/>
        </w:rPr>
        <w:footnoteReference w:id="8"/>
      </w:r>
      <w:r>
        <w:rPr>
          <w:rFonts w:ascii="Aptos" w:hAnsi="Aptos"/>
          <w:color w:val="000000" w:themeColor="text1"/>
          <w:sz w:val="24"/>
          <w:szCs w:val="24"/>
        </w:rPr>
        <w:t xml:space="preserve"> .</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Jedan od prioriteta Europske Unije je ostvarenje održive, klimatski neutralne i zelene Europe. Komunikacija Komisije Europskom parlamentu, Europskom vijeću, Vijeću, Europskom gospodarskom i socijalnom odboru i Odboru regija: Europski zeleni plan (COM(2019) 640 final) od 11.12.2019. godine  razvija ambiciozan smjer zelene i održive Europe te ističe iznimnu važnost intenzivnijeg djelovanja u pogledu otpornosti na klimatske promjene, izgradnje te otpornosti, prevencije klimatskih promjena i pripravnosti na njih.</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Iz navedenog razloga Republika Hrvatska donijela je Strategiju prilagodbe klimatskim promjena, a u travnju 2025. stupio je i na snagu novi Zakon o klimatskim promjenama i zaštiti ozonskog omotača.</w:t>
      </w:r>
    </w:p>
    <w:p w:rsidR="005C1E80" w:rsidRDefault="005C1E80" w:rsidP="005C1E80">
      <w:pPr>
        <w:rPr>
          <w:lang w:eastAsia="zh-CN"/>
        </w:rPr>
      </w:pPr>
    </w:p>
    <w:p w:rsidR="005C1E80" w:rsidRDefault="005C1E80" w:rsidP="005C1E80">
      <w:pPr>
        <w:jc w:val="both"/>
        <w:rPr>
          <w:rFonts w:ascii="Aptos" w:eastAsia="Times New Roman" w:hAnsi="Aptos" w:cstheme="minorHAnsi"/>
          <w:i/>
          <w:sz w:val="24"/>
          <w:szCs w:val="24"/>
        </w:rPr>
      </w:pPr>
    </w:p>
    <w:p w:rsidR="005C1E80" w:rsidRDefault="005C1E80" w:rsidP="005C1E80">
      <w:pPr>
        <w:jc w:val="both"/>
        <w:rPr>
          <w:rFonts w:ascii="Aptos" w:eastAsia="Times New Roman" w:hAnsi="Aptos" w:cstheme="minorHAnsi"/>
          <w:i/>
          <w:sz w:val="24"/>
          <w:szCs w:val="24"/>
        </w:rPr>
      </w:pPr>
    </w:p>
    <w:p w:rsidR="005C1E80" w:rsidRDefault="005C1E80" w:rsidP="005C1E80">
      <w:pPr>
        <w:jc w:val="both"/>
        <w:rPr>
          <w:rFonts w:ascii="Aptos" w:eastAsia="Times New Roman" w:hAnsi="Aptos" w:cstheme="minorHAnsi"/>
          <w:i/>
          <w:sz w:val="24"/>
          <w:szCs w:val="24"/>
        </w:rPr>
        <w:sectPr w:rsidR="005C1E80" w:rsidSect="005C1E80">
          <w:pgSz w:w="11906" w:h="16838"/>
          <w:pgMar w:top="1418" w:right="1418" w:bottom="1418" w:left="1418" w:header="709" w:footer="709" w:gutter="0"/>
          <w:cols w:space="708"/>
          <w:titlePg/>
          <w:docGrid w:linePitch="360"/>
        </w:sectPr>
      </w:pPr>
    </w:p>
    <w:p w:rsidR="005C1E80" w:rsidRDefault="005C1E80" w:rsidP="005C1E80">
      <w:pPr>
        <w:spacing w:after="0" w:line="240" w:lineRule="auto"/>
        <w:jc w:val="center"/>
        <w:rPr>
          <w:rFonts w:ascii="Aptos" w:hAnsi="Aptos"/>
          <w:b/>
          <w:bCs/>
          <w:sz w:val="24"/>
          <w:szCs w:val="24"/>
        </w:rPr>
      </w:pPr>
      <w:bookmarkStart w:id="113" w:name="_Hlk208178727"/>
      <w:r>
        <w:rPr>
          <w:b/>
          <w:bCs/>
          <w:sz w:val="18"/>
          <w:szCs w:val="18"/>
        </w:rPr>
        <w:lastRenderedPageBreak/>
        <w:t xml:space="preserve">Tablica </w:t>
      </w:r>
      <w:r w:rsidR="00DD1C99">
        <w:rPr>
          <w:b/>
          <w:bCs/>
          <w:sz w:val="18"/>
          <w:szCs w:val="18"/>
        </w:rPr>
        <w:fldChar w:fldCharType="begin"/>
      </w:r>
      <w:r>
        <w:rPr>
          <w:b/>
          <w:bCs/>
          <w:sz w:val="18"/>
          <w:szCs w:val="18"/>
        </w:rPr>
        <w:instrText xml:space="preserve"> SEQ Tablica \* ARABIC </w:instrText>
      </w:r>
      <w:r w:rsidR="00DD1C99">
        <w:rPr>
          <w:b/>
          <w:bCs/>
          <w:sz w:val="18"/>
          <w:szCs w:val="18"/>
        </w:rPr>
        <w:fldChar w:fldCharType="separate"/>
      </w:r>
      <w:r>
        <w:rPr>
          <w:b/>
          <w:bCs/>
          <w:sz w:val="18"/>
          <w:szCs w:val="18"/>
        </w:rPr>
        <w:t>4</w:t>
      </w:r>
      <w:r w:rsidR="00DD1C99">
        <w:rPr>
          <w:b/>
          <w:bCs/>
          <w:sz w:val="18"/>
          <w:szCs w:val="18"/>
        </w:rPr>
        <w:fldChar w:fldCharType="end"/>
      </w:r>
      <w:r>
        <w:rPr>
          <w:rFonts w:ascii="Aptos" w:hAnsi="Aptos"/>
          <w:b/>
          <w:bCs/>
          <w:sz w:val="24"/>
          <w:szCs w:val="24"/>
        </w:rPr>
        <w:t xml:space="preserve">: </w:t>
      </w:r>
      <w:r>
        <w:rPr>
          <w:rFonts w:ascii="Aptos" w:hAnsi="Aptos"/>
          <w:b/>
          <w:bCs/>
          <w:sz w:val="18"/>
          <w:szCs w:val="18"/>
        </w:rPr>
        <w:t>Mjere</w:t>
      </w:r>
    </w:p>
    <w:tbl>
      <w:tblPr>
        <w:tblStyle w:val="Tablicapopisa2-isticanje51"/>
        <w:tblW w:w="14317" w:type="dxa"/>
        <w:tblLook w:val="04A0"/>
      </w:tblPr>
      <w:tblGrid>
        <w:gridCol w:w="3790"/>
        <w:gridCol w:w="10527"/>
      </w:tblGrid>
      <w:tr w:rsidR="005C1E80" w:rsidTr="00F57898">
        <w:trPr>
          <w:cnfStyle w:val="100000000000"/>
        </w:trPr>
        <w:tc>
          <w:tcPr>
            <w:cnfStyle w:val="001000000000"/>
            <w:tcW w:w="3790" w:type="dxa"/>
          </w:tcPr>
          <w:p w:rsidR="005C1E80" w:rsidRDefault="005C1E80" w:rsidP="00F57898">
            <w:pPr>
              <w:jc w:val="both"/>
              <w:rPr>
                <w:rFonts w:ascii="Aptos" w:hAnsi="Aptos"/>
                <w:sz w:val="24"/>
                <w:szCs w:val="24"/>
              </w:rPr>
            </w:pPr>
            <w:r>
              <w:rPr>
                <w:rFonts w:ascii="Aptos" w:eastAsiaTheme="minorEastAsia" w:hAnsi="Aptos"/>
                <w:b w:val="0"/>
                <w:bCs w:val="0"/>
                <w:sz w:val="24"/>
                <w:szCs w:val="24"/>
                <w:lang w:eastAsia="hr-HR"/>
              </w:rPr>
              <w:t>AKTIVNOST</w:t>
            </w:r>
          </w:p>
        </w:tc>
        <w:tc>
          <w:tcPr>
            <w:tcW w:w="10527" w:type="dxa"/>
          </w:tcPr>
          <w:p w:rsidR="005C1E80" w:rsidRDefault="005C1E80" w:rsidP="00F57898">
            <w:pPr>
              <w:jc w:val="both"/>
              <w:cnfStyle w:val="100000000000"/>
              <w:rPr>
                <w:rFonts w:ascii="Aptos" w:hAnsi="Aptos"/>
                <w:sz w:val="24"/>
                <w:szCs w:val="24"/>
              </w:rPr>
            </w:pPr>
            <w:r>
              <w:rPr>
                <w:rFonts w:ascii="Aptos" w:eastAsiaTheme="minorEastAsia" w:hAnsi="Aptos"/>
                <w:b w:val="0"/>
                <w:bCs w:val="0"/>
                <w:sz w:val="24"/>
                <w:szCs w:val="24"/>
                <w:lang w:eastAsia="hr-HR"/>
              </w:rPr>
              <w:t>OPIS AKTIVNOSTI</w:t>
            </w:r>
          </w:p>
        </w:tc>
      </w:tr>
      <w:tr w:rsidR="005C1E80" w:rsidTr="00F57898">
        <w:trPr>
          <w:trHeight w:val="1074"/>
        </w:trPr>
        <w:tc>
          <w:tcPr>
            <w:cnfStyle w:val="001000000000"/>
            <w:tcW w:w="3790" w:type="dxa"/>
            <w:shd w:val="clear" w:color="auto" w:fill="DEEAF6" w:themeFill="accent5" w:themeFillTint="33"/>
          </w:tcPr>
          <w:p w:rsidR="005C1E80" w:rsidRDefault="005C1E80" w:rsidP="00F57898">
            <w:pPr>
              <w:jc w:val="both"/>
              <w:rPr>
                <w:rFonts w:ascii="Aptos" w:hAnsi="Aptos"/>
                <w:b w:val="0"/>
                <w:bCs w:val="0"/>
                <w:sz w:val="24"/>
                <w:szCs w:val="24"/>
              </w:rPr>
            </w:pPr>
            <w:bookmarkStart w:id="114" w:name="_Hlk209177139"/>
            <w:r>
              <w:rPr>
                <w:rFonts w:ascii="Aptos" w:eastAsiaTheme="minorEastAsia" w:hAnsi="Aptos"/>
                <w:sz w:val="24"/>
                <w:szCs w:val="24"/>
                <w:lang w:eastAsia="hr-HR"/>
              </w:rPr>
              <w:t xml:space="preserve"> </w:t>
            </w:r>
            <w:r>
              <w:rPr>
                <w:rFonts w:ascii="Aptos" w:eastAsiaTheme="minorEastAsia" w:hAnsi="Aptos"/>
                <w:b w:val="0"/>
                <w:bCs w:val="0"/>
                <w:sz w:val="24"/>
                <w:szCs w:val="24"/>
                <w:lang w:eastAsia="zh-CN"/>
              </w:rPr>
              <w:t>Program ublažavanja klimatskih promjena, prilagodbe klimatskim promjenama i zaštite ozonskog sloja</w:t>
            </w:r>
            <w:bookmarkEnd w:id="114"/>
          </w:p>
        </w:tc>
        <w:tc>
          <w:tcPr>
            <w:tcW w:w="10527" w:type="dxa"/>
            <w:shd w:val="clear" w:color="auto" w:fill="DEEAF6" w:themeFill="accent5" w:themeFillTint="33"/>
          </w:tcPr>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Brodsko-posavska županija donijela je Program zaštite zraka, ozonskog sloja, ublažavanja klimatskih promjena i prilagodbe klimatskim promjenama, međutim ove godine stupio je na snagu novi Zakon o klimatskim promjenama i zaštiti ozonskog omotača, pa postoji mogućnost potrebe usklađenja sa novim propisom, što će utvrditi stručne službe.</w:t>
            </w:r>
          </w:p>
          <w:p w:rsidR="005C1E80" w:rsidRDefault="005C1E80" w:rsidP="00F57898">
            <w:pPr>
              <w:jc w:val="both"/>
              <w:cnfStyle w:val="000000000000"/>
              <w:rPr>
                <w:rFonts w:ascii="Aptos" w:hAnsi="Aptos"/>
                <w:sz w:val="24"/>
                <w:szCs w:val="24"/>
              </w:rPr>
            </w:pPr>
          </w:p>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Sukladno st.1.  čl. 18. Zakona o klimatskim promjenama i zaštiti ozonskog omotača (NN 67/25) predstavničko tijelo donosi program ublažavanja klimatskih promjena, prilagodbe klimatskim promjenama i zaštite ozonskog sloja koji je sastavni dio programa zaštite okoliša koji se donosi sukladno zakonu kojim se uređuje zaštita okoliša.</w:t>
            </w:r>
          </w:p>
          <w:p w:rsidR="005C1E80" w:rsidRDefault="005C1E80" w:rsidP="00F57898">
            <w:pPr>
              <w:jc w:val="both"/>
              <w:cnfStyle w:val="000000000000"/>
              <w:rPr>
                <w:rFonts w:ascii="Aptos" w:hAnsi="Aptos"/>
                <w:sz w:val="24"/>
                <w:szCs w:val="24"/>
              </w:rPr>
            </w:pPr>
          </w:p>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 xml:space="preserve">Brodsko-posavska dužna je dostaviti Ministarstvu raspoložive podatke o mjerama vezano za niskougljični razvoj i prilagodbu klimatskim promjenama svake dvije godine. </w:t>
            </w:r>
          </w:p>
          <w:p w:rsidR="005C1E80" w:rsidRDefault="005C1E80" w:rsidP="00F57898">
            <w:pPr>
              <w:jc w:val="both"/>
              <w:cnfStyle w:val="000000000000"/>
              <w:rPr>
                <w:rFonts w:ascii="Aptos" w:hAnsi="Aptos"/>
                <w:sz w:val="24"/>
                <w:szCs w:val="24"/>
              </w:rPr>
            </w:pPr>
          </w:p>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Program ublažavanja klimatskih promjena, prilagodbe klimatskim promjenama i zaštite ozonskog sloja određuje ciljeve i prioritete za provedbu mjera ublažavanja klimatskih promjena, prilagodbe klimatskim promjenama i zaštite ozonskog sloja u skladu s područnim odnosno lokalnim posebnostima i obilježjima područja te opisuje institucionalni okvir i mehanizam koordinacije kako bi se osigurala učinkovita provedba mjera.</w:t>
            </w:r>
          </w:p>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Uloga Općine je provesti</w:t>
            </w:r>
            <w:bookmarkStart w:id="115" w:name="_Hlk209427747"/>
            <w:r>
              <w:rPr>
                <w:rFonts w:ascii="Aptos" w:eastAsiaTheme="minorEastAsia" w:hAnsi="Aptos"/>
                <w:sz w:val="24"/>
                <w:szCs w:val="24"/>
                <w:lang w:eastAsia="hr-HR"/>
              </w:rPr>
              <w:t xml:space="preserve"> mjere prilagodbe klimatskih promjena  i mjere smanjenja emisija stakleničkih plinova</w:t>
            </w:r>
            <w:bookmarkEnd w:id="115"/>
            <w:r>
              <w:rPr>
                <w:rFonts w:ascii="Aptos" w:eastAsiaTheme="minorEastAsia" w:hAnsi="Aptos"/>
                <w:sz w:val="24"/>
                <w:szCs w:val="24"/>
                <w:lang w:eastAsia="hr-HR"/>
              </w:rPr>
              <w:t xml:space="preserve"> u skladu sa Programom.</w:t>
            </w:r>
          </w:p>
        </w:tc>
      </w:tr>
      <w:tr w:rsidR="005C1E80" w:rsidTr="00F57898">
        <w:trPr>
          <w:trHeight w:val="1074"/>
        </w:trPr>
        <w:tc>
          <w:tcPr>
            <w:cnfStyle w:val="001000000000"/>
            <w:tcW w:w="3790" w:type="dxa"/>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t>Mjere plave i zelene infrastrukture</w:t>
            </w:r>
          </w:p>
        </w:tc>
        <w:tc>
          <w:tcPr>
            <w:tcW w:w="10527" w:type="dxa"/>
          </w:tcPr>
          <w:p w:rsidR="005C1E80" w:rsidRDefault="005C1E80" w:rsidP="00F57898">
            <w:pPr>
              <w:jc w:val="both"/>
              <w:cnfStyle w:val="000000000000"/>
              <w:rPr>
                <w:rFonts w:ascii="Aptos" w:hAnsi="Aptos"/>
                <w:sz w:val="24"/>
                <w:szCs w:val="24"/>
                <w:lang w:eastAsia="zh-CN"/>
              </w:rPr>
            </w:pPr>
            <w:r>
              <w:rPr>
                <w:rFonts w:ascii="Aptos" w:eastAsiaTheme="minorEastAsia" w:hAnsi="Aptos"/>
                <w:sz w:val="24"/>
                <w:szCs w:val="24"/>
                <w:lang w:eastAsia="zh-CN"/>
              </w:rPr>
              <w:t>Strateški dokument Komunikacija Komisije Europskom parlamentu, Vijeću, Europskom gospodarskom i socijalnom odboru i Odboru regija: Zelena infrastruktura (ZI) – Unapređenje Europskog prirodnog kapitala (COM(2013) 249 final) od 6.5.2013. godine , definira zelenu infrastrukturu kao „strateški planiranu mrežu prirodnih i poluprirodnih površina koja je, s drugim elementima okoliša, projektirana i upravljana da uspostavi široki raspon usluga ekosustava. Ona obuhvaća krajobrazne i ozelenjene prostore (ili plave ukoliko se odnosi na vodene ekosustave) i ostale fizičke elemente u kopnenim (uključujući obalne) i morskim područjima. Na kopnu je zelena infrastruktura prisutna u ruralnom i urbanom okruženju.“</w:t>
            </w:r>
          </w:p>
          <w:p w:rsidR="005C1E80" w:rsidRDefault="005C1E80" w:rsidP="00F57898">
            <w:pPr>
              <w:jc w:val="both"/>
              <w:cnfStyle w:val="000000000000"/>
              <w:rPr>
                <w:rFonts w:ascii="Aptos" w:hAnsi="Aptos"/>
                <w:sz w:val="24"/>
                <w:szCs w:val="24"/>
                <w:lang w:eastAsia="zh-CN"/>
              </w:rPr>
            </w:pPr>
            <w:r>
              <w:rPr>
                <w:rFonts w:ascii="Aptos" w:eastAsiaTheme="minorEastAsia" w:hAnsi="Aptos"/>
                <w:sz w:val="24"/>
                <w:szCs w:val="24"/>
                <w:lang w:eastAsia="zh-CN"/>
              </w:rPr>
              <w:t xml:space="preserve">U Strategiji prostornog razvoja Republike Hrvatske (SPRRH) , temeljnom državnom dokumentu za usmjeravanje razvoja u prostoru, otpornost na klimatske promjene je jedan od prioriteta </w:t>
            </w:r>
            <w:r>
              <w:rPr>
                <w:rFonts w:ascii="Aptos" w:eastAsiaTheme="minorEastAsia" w:hAnsi="Aptos"/>
                <w:sz w:val="24"/>
                <w:szCs w:val="24"/>
                <w:lang w:eastAsia="zh-CN"/>
              </w:rPr>
              <w:lastRenderedPageBreak/>
              <w:t>prostornog razvoja, koji se, između ostalog, ostvaruje jačanjem prirodnog kapitala i planiranjem razvoja zelene infrastrukture. SPRRH navodi da je „potrebno promišljati i postupcima planiranja uspostavljati nove te čuvati postojeće sustave urbane zelene infrastrukture – mreže zelenih površina u kojima i s pomoću kojih se doprinosi očuvanju, poboljšanju i obnavljanju prirode, prirodnih funkcija i procesa u gradovima.“</w:t>
            </w:r>
            <w:r>
              <w:rPr>
                <w:rStyle w:val="Referencafusnote"/>
                <w:rFonts w:ascii="Aptos" w:eastAsiaTheme="minorEastAsia" w:hAnsi="Aptos"/>
                <w:sz w:val="24"/>
                <w:szCs w:val="24"/>
                <w:lang w:eastAsia="zh-CN"/>
              </w:rPr>
              <w:footnoteReference w:id="9"/>
            </w:r>
          </w:p>
          <w:p w:rsidR="005C1E80" w:rsidRDefault="005C1E80" w:rsidP="00F57898">
            <w:pPr>
              <w:jc w:val="both"/>
              <w:cnfStyle w:val="000000000000"/>
              <w:rPr>
                <w:rFonts w:ascii="Aptos" w:hAnsi="Aptos"/>
                <w:sz w:val="24"/>
                <w:szCs w:val="24"/>
                <w:lang w:eastAsia="zh-CN"/>
              </w:rPr>
            </w:pPr>
            <w:r>
              <w:rPr>
                <w:rFonts w:ascii="Aptos" w:eastAsiaTheme="minorEastAsia" w:hAnsi="Aptos"/>
                <w:sz w:val="24"/>
                <w:szCs w:val="24"/>
                <w:lang w:eastAsia="zh-CN"/>
              </w:rPr>
              <w:t>Mjere plave i zelene infrastrukture imaju poseban značaj u dugoročnom odgovoru na toplinske udare, a uključuju:</w:t>
            </w:r>
          </w:p>
          <w:p w:rsidR="005C1E80" w:rsidRDefault="005C1E80" w:rsidP="00A66748">
            <w:pPr>
              <w:numPr>
                <w:ilvl w:val="0"/>
                <w:numId w:val="91"/>
              </w:numPr>
              <w:spacing w:after="200" w:line="276" w:lineRule="auto"/>
              <w:contextualSpacing/>
              <w:jc w:val="both"/>
              <w:cnfStyle w:val="000000000000"/>
              <w:rPr>
                <w:rFonts w:ascii="Aptos" w:hAnsi="Aptos"/>
                <w:sz w:val="24"/>
                <w:szCs w:val="24"/>
                <w:lang w:eastAsia="zh-CN"/>
              </w:rPr>
            </w:pPr>
            <w:r>
              <w:rPr>
                <w:rFonts w:ascii="Aptos" w:eastAsiaTheme="minorEastAsia" w:hAnsi="Aptos"/>
                <w:sz w:val="24"/>
                <w:szCs w:val="24"/>
                <w:lang w:eastAsia="zh-CN"/>
              </w:rPr>
              <w:t>sadnju drvoreda uz prometnice i na javnim površinama kao što su ulice, trgovi, parkirališta, školska dvorišta, dječja igrališta (povećanje zasjenjenosti, smanjenje refleksije i temperature asfalta, poboljšava kvalitetu zraka, smanjuje CO₂)</w:t>
            </w:r>
          </w:p>
          <w:p w:rsidR="005C1E80" w:rsidRDefault="005C1E80" w:rsidP="00F57898">
            <w:pPr>
              <w:jc w:val="both"/>
              <w:cnfStyle w:val="000000000000"/>
              <w:rPr>
                <w:rFonts w:ascii="Aptos" w:hAnsi="Aptos"/>
                <w:sz w:val="24"/>
                <w:szCs w:val="24"/>
                <w:lang w:eastAsia="zh-CN"/>
              </w:rPr>
            </w:pPr>
          </w:p>
          <w:p w:rsidR="005C1E80" w:rsidRDefault="005C1E80" w:rsidP="00A66748">
            <w:pPr>
              <w:numPr>
                <w:ilvl w:val="0"/>
                <w:numId w:val="91"/>
              </w:numPr>
              <w:spacing w:after="200" w:line="276" w:lineRule="auto"/>
              <w:contextualSpacing/>
              <w:jc w:val="both"/>
              <w:cnfStyle w:val="000000000000"/>
              <w:rPr>
                <w:rFonts w:ascii="Aptos" w:hAnsi="Aptos"/>
                <w:sz w:val="24"/>
                <w:szCs w:val="24"/>
                <w:lang w:eastAsia="zh-CN"/>
              </w:rPr>
            </w:pPr>
            <w:r>
              <w:rPr>
                <w:rFonts w:ascii="Aptos" w:eastAsiaTheme="minorEastAsia" w:hAnsi="Aptos"/>
                <w:sz w:val="24"/>
                <w:szCs w:val="24"/>
                <w:lang w:eastAsia="zh-CN"/>
              </w:rPr>
              <w:t>uređenje i širenje parkova i urbanih zelenih oaza u gusto izgrađenim područjima. Na taj način stvaraju se mjesta za odmor i društvene aktivnosti što je posebno bitno za starije građane koji su zbog toplotnih udara vrlo često u stanovima veći dio dana. Takve točke se jako bitne u blizini zdravstvenih ustanova i javnih ustanova gdje građani se zadržavaju.</w:t>
            </w:r>
          </w:p>
          <w:p w:rsidR="005C1E80" w:rsidRDefault="005C1E80" w:rsidP="00A66748">
            <w:pPr>
              <w:numPr>
                <w:ilvl w:val="0"/>
                <w:numId w:val="91"/>
              </w:numPr>
              <w:spacing w:after="200" w:line="276" w:lineRule="auto"/>
              <w:contextualSpacing/>
              <w:jc w:val="both"/>
              <w:cnfStyle w:val="000000000000"/>
              <w:rPr>
                <w:rFonts w:ascii="Aptos" w:hAnsi="Aptos"/>
                <w:sz w:val="24"/>
                <w:szCs w:val="24"/>
                <w:lang w:eastAsia="zh-CN"/>
              </w:rPr>
            </w:pPr>
          </w:p>
          <w:p w:rsidR="005C1E80" w:rsidRDefault="005C1E80" w:rsidP="00A66748">
            <w:pPr>
              <w:numPr>
                <w:ilvl w:val="0"/>
                <w:numId w:val="91"/>
              </w:numPr>
              <w:spacing w:after="200" w:line="276" w:lineRule="auto"/>
              <w:contextualSpacing/>
              <w:jc w:val="both"/>
              <w:cnfStyle w:val="000000000000"/>
              <w:rPr>
                <w:rFonts w:ascii="Aptos" w:hAnsi="Aptos"/>
                <w:sz w:val="24"/>
                <w:szCs w:val="24"/>
                <w:lang w:eastAsia="zh-CN"/>
              </w:rPr>
            </w:pPr>
            <w:r>
              <w:rPr>
                <w:rFonts w:ascii="Aptos" w:eastAsiaTheme="minorEastAsia" w:hAnsi="Aptos"/>
                <w:sz w:val="24"/>
                <w:szCs w:val="24"/>
                <w:lang w:eastAsia="zh-CN"/>
              </w:rPr>
              <w:t>razmotriti sa strukom zelene krovove i zelene zidove u svrhu smanjenja temperature zgrada i okolnog zraka  na zgradama, vrtićima, školama, sportskim dvoranama.</w:t>
            </w:r>
          </w:p>
          <w:p w:rsidR="005C1E80" w:rsidRDefault="005C1E80" w:rsidP="00F57898">
            <w:pPr>
              <w:ind w:left="720"/>
              <w:contextualSpacing/>
              <w:cnfStyle w:val="000000000000"/>
              <w:rPr>
                <w:rFonts w:ascii="Aptos" w:hAnsi="Aptos"/>
                <w:sz w:val="24"/>
                <w:szCs w:val="24"/>
                <w:lang w:eastAsia="zh-CN"/>
              </w:rPr>
            </w:pPr>
          </w:p>
          <w:p w:rsidR="005C1E80" w:rsidRDefault="005C1E80" w:rsidP="00A66748">
            <w:pPr>
              <w:numPr>
                <w:ilvl w:val="0"/>
                <w:numId w:val="91"/>
              </w:numPr>
              <w:spacing w:after="200" w:line="276" w:lineRule="auto"/>
              <w:contextualSpacing/>
              <w:jc w:val="both"/>
              <w:cnfStyle w:val="000000000000"/>
              <w:rPr>
                <w:rFonts w:ascii="Aptos" w:hAnsi="Aptos"/>
                <w:sz w:val="24"/>
                <w:szCs w:val="24"/>
                <w:lang w:eastAsia="zh-CN"/>
              </w:rPr>
            </w:pPr>
            <w:r>
              <w:rPr>
                <w:rFonts w:ascii="Aptos" w:eastAsiaTheme="minorEastAsia" w:hAnsi="Aptos"/>
                <w:sz w:val="24"/>
                <w:szCs w:val="24"/>
                <w:lang w:eastAsia="zh-CN"/>
              </w:rPr>
              <w:t>postavljanje javnih slavina, fontana, raspršivača vode i pojilišta za životinje.</w:t>
            </w:r>
          </w:p>
          <w:p w:rsidR="005C1E80" w:rsidRDefault="005C1E80" w:rsidP="00F57898">
            <w:pPr>
              <w:ind w:left="720"/>
              <w:contextualSpacing/>
              <w:cnfStyle w:val="000000000000"/>
              <w:rPr>
                <w:rFonts w:ascii="Aptos" w:hAnsi="Aptos"/>
                <w:sz w:val="24"/>
                <w:szCs w:val="24"/>
                <w:lang w:eastAsia="zh-CN"/>
              </w:rPr>
            </w:pPr>
          </w:p>
          <w:p w:rsidR="005C1E80" w:rsidRDefault="005C1E80" w:rsidP="00F57898">
            <w:pPr>
              <w:contextualSpacing/>
              <w:jc w:val="both"/>
              <w:cnfStyle w:val="000000000000"/>
              <w:rPr>
                <w:rFonts w:ascii="Aptos" w:hAnsi="Aptos"/>
                <w:sz w:val="24"/>
                <w:szCs w:val="24"/>
                <w:lang w:eastAsia="zh-CN"/>
              </w:rPr>
            </w:pPr>
          </w:p>
        </w:tc>
      </w:tr>
      <w:bookmarkEnd w:id="113"/>
    </w:tbl>
    <w:p w:rsidR="005C1E80" w:rsidRDefault="005C1E80" w:rsidP="005C1E80">
      <w:pPr>
        <w:spacing w:after="0" w:line="240" w:lineRule="auto"/>
        <w:jc w:val="both"/>
        <w:outlineLvl w:val="0"/>
        <w:rPr>
          <w:rFonts w:ascii="Calibri" w:eastAsia="Times New Roman" w:hAnsi="Calibri" w:cs="Times New Roman"/>
          <w:b/>
          <w:i/>
          <w:color w:val="2F5496" w:themeColor="accent1" w:themeShade="BF"/>
          <w:sz w:val="28"/>
          <w:szCs w:val="28"/>
          <w:lang w:eastAsia="zh-CN"/>
        </w:rPr>
        <w:sectPr w:rsidR="005C1E80" w:rsidSect="005C1E80">
          <w:pgSz w:w="16838" w:h="11906" w:orient="landscape"/>
          <w:pgMar w:top="1418" w:right="1418" w:bottom="1418" w:left="1418" w:header="709" w:footer="709" w:gutter="0"/>
          <w:cols w:space="708"/>
          <w:titlePg/>
          <w:docGrid w:linePitch="360"/>
        </w:sectPr>
      </w:pPr>
    </w:p>
    <w:p w:rsidR="005C1E80" w:rsidRDefault="005C1E80" w:rsidP="005C1E80">
      <w:pPr>
        <w:pStyle w:val="Razina2"/>
      </w:pPr>
      <w:bookmarkStart w:id="116" w:name="_Toc208190532"/>
      <w:bookmarkStart w:id="117" w:name="_Toc210900548"/>
      <w:r>
        <w:lastRenderedPageBreak/>
        <w:t>DODATNE MJERE – POJEDINA PRIRODNA NEPOGODA</w:t>
      </w:r>
      <w:bookmarkEnd w:id="116"/>
      <w:bookmarkEnd w:id="117"/>
    </w:p>
    <w:p w:rsidR="005C1E80" w:rsidRDefault="005C1E80" w:rsidP="005C1E80">
      <w:pPr>
        <w:jc w:val="both"/>
        <w:rPr>
          <w:lang w:eastAsia="zh-CN"/>
        </w:rPr>
      </w:pP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Mjere za  prirodne nepogoda obrađuju se kroz niz stručnih dokumenata koja obrađuju posebna područja kao što su Planovi obrane od poplave, Plan zaštite od požara ili Plan djelovanje civilne zaštite.</w:t>
      </w: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Stoga će se u nastavku pružiti pregled dodatnih ciljanih mjera i aktivnosti koje  Općina provodi i koje će provest.</w:t>
      </w:r>
    </w:p>
    <w:p w:rsidR="005C1E80" w:rsidRDefault="005C1E80" w:rsidP="005C1E80">
      <w:pPr>
        <w:spacing w:after="0" w:line="240" w:lineRule="auto"/>
        <w:jc w:val="center"/>
        <w:rPr>
          <w:rFonts w:ascii="Aptos" w:hAnsi="Aptos"/>
          <w:b/>
          <w:bCs/>
          <w:sz w:val="24"/>
          <w:szCs w:val="24"/>
        </w:rPr>
      </w:pPr>
      <w:r>
        <w:rPr>
          <w:b/>
          <w:bCs/>
          <w:sz w:val="18"/>
          <w:szCs w:val="18"/>
        </w:rPr>
        <w:t xml:space="preserve">Tablica </w:t>
      </w:r>
      <w:r w:rsidR="00DD1C99">
        <w:rPr>
          <w:b/>
          <w:bCs/>
          <w:sz w:val="18"/>
          <w:szCs w:val="18"/>
        </w:rPr>
        <w:fldChar w:fldCharType="begin"/>
      </w:r>
      <w:r>
        <w:rPr>
          <w:b/>
          <w:bCs/>
          <w:sz w:val="18"/>
          <w:szCs w:val="18"/>
        </w:rPr>
        <w:instrText xml:space="preserve"> SEQ Tablica \* ARABIC </w:instrText>
      </w:r>
      <w:r w:rsidR="00DD1C99">
        <w:rPr>
          <w:b/>
          <w:bCs/>
          <w:sz w:val="18"/>
          <w:szCs w:val="18"/>
        </w:rPr>
        <w:fldChar w:fldCharType="separate"/>
      </w:r>
      <w:r>
        <w:rPr>
          <w:b/>
          <w:bCs/>
          <w:sz w:val="18"/>
          <w:szCs w:val="18"/>
        </w:rPr>
        <w:t>5</w:t>
      </w:r>
      <w:r w:rsidR="00DD1C99">
        <w:rPr>
          <w:b/>
          <w:bCs/>
          <w:sz w:val="18"/>
          <w:szCs w:val="18"/>
        </w:rPr>
        <w:fldChar w:fldCharType="end"/>
      </w:r>
      <w:r>
        <w:rPr>
          <w:rFonts w:ascii="Aptos" w:hAnsi="Aptos"/>
          <w:b/>
          <w:bCs/>
          <w:sz w:val="24"/>
          <w:szCs w:val="24"/>
        </w:rPr>
        <w:t xml:space="preserve">: </w:t>
      </w:r>
      <w:r>
        <w:rPr>
          <w:rFonts w:ascii="Aptos" w:hAnsi="Aptos"/>
          <w:b/>
          <w:bCs/>
          <w:sz w:val="18"/>
          <w:szCs w:val="18"/>
        </w:rPr>
        <w:t>Mjere</w:t>
      </w:r>
    </w:p>
    <w:tbl>
      <w:tblPr>
        <w:tblStyle w:val="Tablicapopisa2-isticanje51"/>
        <w:tblW w:w="5000" w:type="pct"/>
        <w:tblLook w:val="04A0"/>
      </w:tblPr>
      <w:tblGrid>
        <w:gridCol w:w="2435"/>
        <w:gridCol w:w="6851"/>
      </w:tblGrid>
      <w:tr w:rsidR="005C1E80" w:rsidTr="00F57898">
        <w:trPr>
          <w:cnfStyle w:val="100000000000"/>
        </w:trPr>
        <w:tc>
          <w:tcPr>
            <w:cnfStyle w:val="001000000000"/>
            <w:tcW w:w="1311" w:type="pct"/>
          </w:tcPr>
          <w:p w:rsidR="005C1E80" w:rsidRDefault="005C1E80" w:rsidP="00F57898">
            <w:pPr>
              <w:jc w:val="center"/>
              <w:rPr>
                <w:rFonts w:ascii="Aptos" w:hAnsi="Aptos"/>
                <w:sz w:val="24"/>
                <w:szCs w:val="24"/>
              </w:rPr>
            </w:pPr>
            <w:bookmarkStart w:id="118" w:name="_Hlk208183858"/>
            <w:r>
              <w:rPr>
                <w:rFonts w:ascii="Aptos" w:eastAsiaTheme="minorEastAsia" w:hAnsi="Aptos"/>
                <w:b w:val="0"/>
                <w:bCs w:val="0"/>
                <w:sz w:val="24"/>
                <w:szCs w:val="24"/>
                <w:lang w:eastAsia="hr-HR"/>
              </w:rPr>
              <w:t>PRIRODNA NEPOGODA</w:t>
            </w:r>
          </w:p>
        </w:tc>
        <w:tc>
          <w:tcPr>
            <w:tcW w:w="3689" w:type="pct"/>
          </w:tcPr>
          <w:p w:rsidR="005C1E80" w:rsidRDefault="005C1E80" w:rsidP="00F57898">
            <w:pPr>
              <w:jc w:val="center"/>
              <w:cnfStyle w:val="100000000000"/>
              <w:rPr>
                <w:rFonts w:ascii="Aptos" w:hAnsi="Aptos"/>
                <w:sz w:val="24"/>
                <w:szCs w:val="24"/>
              </w:rPr>
            </w:pPr>
            <w:r>
              <w:rPr>
                <w:rFonts w:ascii="Aptos" w:eastAsiaTheme="minorEastAsia" w:hAnsi="Aptos"/>
                <w:b w:val="0"/>
                <w:bCs w:val="0"/>
                <w:sz w:val="24"/>
                <w:szCs w:val="24"/>
                <w:lang w:eastAsia="hr-HR"/>
              </w:rPr>
              <w:t>OPIS AKTIVNOSTI</w:t>
            </w:r>
          </w:p>
        </w:tc>
      </w:tr>
      <w:tr w:rsidR="005C1E80" w:rsidTr="00F57898">
        <w:trPr>
          <w:trHeight w:val="1074"/>
        </w:trPr>
        <w:tc>
          <w:tcPr>
            <w:cnfStyle w:val="001000000000"/>
            <w:tcW w:w="1311" w:type="pct"/>
            <w:vMerge w:val="restart"/>
            <w:shd w:val="clear" w:color="auto" w:fill="DEEAF6" w:themeFill="accent5" w:themeFillTint="33"/>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t>Potres</w:t>
            </w:r>
          </w:p>
        </w:tc>
        <w:tc>
          <w:tcPr>
            <w:tcW w:w="3689" w:type="pct"/>
            <w:shd w:val="clear" w:color="auto" w:fill="DEEAF6" w:themeFill="accent5" w:themeFillTint="33"/>
          </w:tcPr>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Planiranje mjera zaštite i spašavanja u dokumentima prostornog uređenja u skladu sa Pravilnikom o mjerama zaštite od elementarnih nepogoda i ratnih opasnosti u prostornom planiranju i uređivanju prostora („Narodne novine'' broj 29/83, 36/85 i 42/86).</w:t>
            </w:r>
          </w:p>
        </w:tc>
      </w:tr>
      <w:tr w:rsidR="005C1E80" w:rsidTr="00F57898">
        <w:trPr>
          <w:trHeight w:val="1074"/>
        </w:trPr>
        <w:tc>
          <w:tcPr>
            <w:cnfStyle w:val="001000000000"/>
            <w:tcW w:w="1311" w:type="pct"/>
            <w:vMerge/>
          </w:tcPr>
          <w:p w:rsidR="005C1E80" w:rsidRDefault="005C1E80" w:rsidP="00F57898">
            <w:pPr>
              <w:rPr>
                <w:rFonts w:ascii="Aptos" w:hAnsi="Aptos"/>
                <w:b w:val="0"/>
                <w:bCs w:val="0"/>
                <w:sz w:val="24"/>
                <w:szCs w:val="24"/>
                <w:lang w:eastAsia="zh-CN"/>
              </w:rPr>
            </w:pPr>
          </w:p>
        </w:tc>
        <w:tc>
          <w:tcPr>
            <w:tcW w:w="3689" w:type="pct"/>
          </w:tcPr>
          <w:p w:rsidR="005C1E80" w:rsidRDefault="005C1E80" w:rsidP="00F57898">
            <w:pPr>
              <w:jc w:val="both"/>
              <w:cnfStyle w:val="000000000000"/>
              <w:rPr>
                <w:rFonts w:ascii="Aptos" w:hAnsi="Aptos"/>
                <w:sz w:val="24"/>
                <w:szCs w:val="24"/>
                <w:lang w:eastAsia="zh-CN"/>
              </w:rPr>
            </w:pPr>
            <w:r>
              <w:rPr>
                <w:rFonts w:ascii="Aptos" w:eastAsiaTheme="minorEastAsia" w:hAnsi="Aptos" w:cstheme="minorHAnsi"/>
                <w:sz w:val="24"/>
                <w:szCs w:val="24"/>
                <w:lang w:eastAsia="zh-CN"/>
              </w:rPr>
              <w:t>U skladu sa mogućnostima proračuna sudjelovanje na natječajima energetske obnove zgrada u javnom sektoru kojima se podupire sveobuhvatna obnova što uključuje mjere za unaprjeđenje ispunjavanja temeljnog zahtjeva mehaničke otpornosti i stabilnosti zgrade, posebice radi povećanja potresne otpornosti zgrade.</w:t>
            </w:r>
          </w:p>
        </w:tc>
      </w:tr>
      <w:tr w:rsidR="005C1E80" w:rsidTr="00F57898">
        <w:trPr>
          <w:trHeight w:val="1074"/>
        </w:trPr>
        <w:tc>
          <w:tcPr>
            <w:cnfStyle w:val="001000000000"/>
            <w:tcW w:w="1311" w:type="pct"/>
            <w:vMerge/>
            <w:shd w:val="clear" w:color="auto" w:fill="DEEAF6" w:themeFill="accent5" w:themeFillTint="33"/>
          </w:tcPr>
          <w:p w:rsidR="005C1E80" w:rsidRDefault="005C1E80" w:rsidP="00F57898">
            <w:pPr>
              <w:rPr>
                <w:rFonts w:ascii="Aptos" w:hAnsi="Aptos"/>
                <w:b w:val="0"/>
                <w:bCs w:val="0"/>
                <w:sz w:val="24"/>
                <w:szCs w:val="24"/>
                <w:lang w:eastAsia="zh-CN"/>
              </w:rPr>
            </w:pPr>
          </w:p>
        </w:tc>
        <w:tc>
          <w:tcPr>
            <w:tcW w:w="3689" w:type="pct"/>
            <w:shd w:val="clear" w:color="auto" w:fill="DEEAF6" w:themeFill="accent5" w:themeFillTint="33"/>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Podizanje svijesti stanovništva o potrebama provjere svojih građevina (stručna analiza građevine kako bi se procijenila njezina otpornost na djelovanje potresa i odredila možebitna građevinska poboljšanja konstrukcije, te po potrebi i provedba građevinskih poboljšanja konstrukcije).</w:t>
            </w:r>
          </w:p>
        </w:tc>
      </w:tr>
      <w:tr w:rsidR="005C1E80" w:rsidTr="00F57898">
        <w:trPr>
          <w:trHeight w:val="1074"/>
        </w:trPr>
        <w:tc>
          <w:tcPr>
            <w:cnfStyle w:val="001000000000"/>
            <w:tcW w:w="1311" w:type="pct"/>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t>Poplave</w:t>
            </w:r>
          </w:p>
        </w:tc>
        <w:tc>
          <w:tcPr>
            <w:tcW w:w="3689" w:type="pct"/>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Kako bi se smanjile posljedice urbanih poplava redovito će se provoditi mjere propisane čl. 140 Zakona o vodama koja se odnose na oborinsku odvodnju. </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Građevine oborinske odvodnje iz stambenih zgrada, poslovnih i drugih prostora grade i održavaju njihovi vlasnici.</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Građevine oborinske odvodnje s javnih površina i iz prethodno navedenih građevina koje se na njih imaju priključiti, u građevinskim područjima, grade i održavaju jedinice lokalne samouprave iz svog proračuna (građevine urbane oborinske odvodnje).</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Na vodotoke i sušna korita koji prolaze kroz građevinska područja Općine  natkriveni su i služe ujedno i namjenama oborinske odvodnje primjenjuje se pravila iz prethodnog stavka.</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(Kanale oborinske odvodnje s prometnica, koji su izgrađeni na cestovnom zemljištu ili željezničkom zemljištu, luka i lučkih područja, zračnih luka i zrakoplovne infrastrukture, održavaju osobe koje su posebnim propisima određene za gospodarenje prometnicom).</w:t>
            </w:r>
          </w:p>
        </w:tc>
      </w:tr>
      <w:tr w:rsidR="005C1E80" w:rsidTr="00F57898">
        <w:trPr>
          <w:trHeight w:val="1074"/>
        </w:trPr>
        <w:tc>
          <w:tcPr>
            <w:cnfStyle w:val="001000000000"/>
            <w:tcW w:w="1311" w:type="pct"/>
            <w:shd w:val="clear" w:color="auto" w:fill="DEEAF6" w:themeFill="accent5" w:themeFillTint="33"/>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lastRenderedPageBreak/>
              <w:t>Olujni i orkanski vjetar, tuča</w:t>
            </w:r>
          </w:p>
        </w:tc>
        <w:tc>
          <w:tcPr>
            <w:tcW w:w="3689" w:type="pct"/>
            <w:shd w:val="clear" w:color="auto" w:fill="DEEAF6" w:themeFill="accent5" w:themeFillTint="33"/>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DHMZ 2018. godine izradio na zahtjev Ministarstva poljoprivrede Analizu sustava obrane od tuče - Izvješće i mišljenje o opravdanosti daljnjeg rada sustava obrane od tuče u Republici Hrvatskoj.</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Analiza je pokazala kako ne postoji niti jedan znanstveno utemeljen dokaz da je aktualna operativna obrana od tuče kakva se provodi u Hrvatskoj po sadašnjoj tehnologiji učinkovita i gospodarski isplativa te da ostvaruje uštede.</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Također je upozoreno na problematičnost obrane od tuče s obzirom na očuvanje i zaštitu okoliša. </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Tijekom zasijavanja bez ekološke kontrole ispušta se kemijski reagens srebrov jodid u slobodnu atmosferu pri tlu, kada se radi o zasijavanju generatorima odnosno po visini kada se radi o zasijavanju raketama.</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S obzirom da se sustav obrane od tuče financira iz sredstava Državnog proračuna i proračuna jedinica područne (regionalne) samouprave, DHMZ predlaže da je efikasnije i isplativije ta sredstva usmjeriti u sufinanciranje postavljanja zaštitnih mreža, jačanje sustava osiguranja u slučaju nastalih šteta od vremenskih nepogoda, posebice u svijetu očekivanih klimatskih promjena. Navedene metode već su dale pozitivne učinke u zemljama koje ih primjenjuju.</w:t>
            </w:r>
            <w:r>
              <w:rPr>
                <w:rFonts w:ascii="Aptos" w:eastAsiaTheme="minorEastAsia" w:hAnsi="Aptos" w:cstheme="minorHAnsi"/>
                <w:sz w:val="24"/>
                <w:szCs w:val="24"/>
                <w:vertAlign w:val="superscript"/>
                <w:lang w:eastAsia="zh-CN"/>
              </w:rPr>
              <w:footnoteReference w:id="10"/>
            </w:r>
          </w:p>
        </w:tc>
      </w:tr>
      <w:tr w:rsidR="005C1E80" w:rsidTr="00F57898">
        <w:trPr>
          <w:trHeight w:val="1074"/>
        </w:trPr>
        <w:tc>
          <w:tcPr>
            <w:cnfStyle w:val="001000000000"/>
            <w:tcW w:w="1311" w:type="pct"/>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t>Mraz</w:t>
            </w:r>
          </w:p>
        </w:tc>
        <w:tc>
          <w:tcPr>
            <w:tcW w:w="3689" w:type="pct"/>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Sufinanciranje zaštite od mraza kroz europske fondove u skladu sa mogućnostima proračuna.</w:t>
            </w:r>
          </w:p>
        </w:tc>
      </w:tr>
      <w:tr w:rsidR="005C1E80" w:rsidTr="00F57898">
        <w:trPr>
          <w:trHeight w:val="1074"/>
        </w:trPr>
        <w:tc>
          <w:tcPr>
            <w:cnfStyle w:val="001000000000"/>
            <w:tcW w:w="1311" w:type="pct"/>
            <w:shd w:val="clear" w:color="auto" w:fill="DEEAF6" w:themeFill="accent5" w:themeFillTint="33"/>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t>Suša</w:t>
            </w:r>
          </w:p>
        </w:tc>
        <w:tc>
          <w:tcPr>
            <w:tcW w:w="3689" w:type="pct"/>
            <w:shd w:val="clear" w:color="auto" w:fill="DEEAF6" w:themeFill="accent5" w:themeFillTint="33"/>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Pametno upravljanje oborinskim vodama (retencije, zadržavanje kišnice – kišni vrtovi, zelene površine koje propuštaju vodu, propusne podloge)</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Detekcija gubitka u vodovodnoj mreži</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Ugradnja štedljivih slavina</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Sadnja autohtonih biljaka koje su otporne na sušu</w:t>
            </w:r>
          </w:p>
        </w:tc>
      </w:tr>
      <w:tr w:rsidR="005C1E80" w:rsidTr="00F57898">
        <w:trPr>
          <w:trHeight w:val="1074"/>
        </w:trPr>
        <w:tc>
          <w:tcPr>
            <w:cnfStyle w:val="001000000000"/>
            <w:tcW w:w="1311" w:type="pct"/>
          </w:tcPr>
          <w:p w:rsidR="005C1E80" w:rsidRDefault="005C1E80" w:rsidP="00F57898">
            <w:pPr>
              <w:rPr>
                <w:rFonts w:ascii="Aptos" w:hAnsi="Aptos"/>
                <w:b w:val="0"/>
                <w:bCs w:val="0"/>
                <w:sz w:val="24"/>
                <w:szCs w:val="24"/>
                <w:lang w:eastAsia="zh-CN"/>
              </w:rPr>
            </w:pPr>
            <w:r>
              <w:rPr>
                <w:rFonts w:ascii="Aptos" w:eastAsiaTheme="minorEastAsia" w:hAnsi="Aptos"/>
                <w:b w:val="0"/>
                <w:bCs w:val="0"/>
                <w:sz w:val="24"/>
                <w:szCs w:val="24"/>
                <w:lang w:eastAsia="zh-CN"/>
              </w:rPr>
              <w:t>Izvanredno velika visina snijega</w:t>
            </w:r>
          </w:p>
        </w:tc>
        <w:tc>
          <w:tcPr>
            <w:tcW w:w="3689" w:type="pct"/>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Županijska uprava za ceste Brodsko-posavske županije odgovorna je za održavanje županijskih i lokalnih cesta na području VPŽ U skladu sa Pravilnikom o održavanju cesta (NN 90/14,  3/21) donosi svake godine Izvedbeni program zimske službe.</w:t>
            </w:r>
          </w:p>
        </w:tc>
      </w:tr>
      <w:tr w:rsidR="005C1E80" w:rsidTr="00F57898">
        <w:trPr>
          <w:trHeight w:val="1074"/>
        </w:trPr>
        <w:tc>
          <w:tcPr>
            <w:cnfStyle w:val="001000000000"/>
            <w:tcW w:w="1311" w:type="pct"/>
            <w:shd w:val="clear" w:color="auto" w:fill="DEEAF6" w:themeFill="accent5" w:themeFillTint="33"/>
          </w:tcPr>
          <w:p w:rsidR="005C1E80" w:rsidRDefault="005C1E80" w:rsidP="00F57898">
            <w:pPr>
              <w:rPr>
                <w:rFonts w:ascii="Aptos" w:hAnsi="Aptos"/>
                <w:sz w:val="24"/>
                <w:szCs w:val="24"/>
                <w:lang w:eastAsia="zh-CN"/>
              </w:rPr>
            </w:pPr>
            <w:r>
              <w:rPr>
                <w:rFonts w:ascii="Aptos" w:eastAsiaTheme="minorEastAsia" w:hAnsi="Aptos"/>
                <w:b w:val="0"/>
                <w:bCs w:val="0"/>
                <w:sz w:val="24"/>
                <w:szCs w:val="24"/>
                <w:lang w:eastAsia="zh-CN"/>
              </w:rPr>
              <w:t>Toplinski udari</w:t>
            </w:r>
          </w:p>
        </w:tc>
        <w:tc>
          <w:tcPr>
            <w:tcW w:w="3689" w:type="pct"/>
            <w:shd w:val="clear" w:color="auto" w:fill="DEEAF6" w:themeFill="accent5" w:themeFillTint="33"/>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Na određene zdravstvene poteškoće toplinski valovi iznimno utječu pogoršavajući stanje osoba ( npr. multipla skleroza)- provjeriti sa predstavnicima udruga i predstavnicima zdravstvenih službi što će njihovim članovima olakšati razdoblja toplinskog vala kako bi se isto moglo pravovremeno planirati.</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Tijekom toplinskih valova raste opterećenje žurnih službi i bitno otežava radne uvjete stoga je potrebno strogo nadzirati radne uvjete i tamo gdje je moguće u suradnji sa predstavnicima zaštite na radu po potrebi zabraniti rad u određeno doba (npr. radnici koji rade na građevinskim </w:t>
            </w:r>
            <w:r>
              <w:rPr>
                <w:rFonts w:ascii="Aptos" w:eastAsiaTheme="minorEastAsia" w:hAnsi="Aptos" w:cstheme="minorHAnsi"/>
                <w:sz w:val="24"/>
                <w:szCs w:val="24"/>
                <w:lang w:eastAsia="zh-CN"/>
              </w:rPr>
              <w:lastRenderedPageBreak/>
              <w:t>projektima za Općinu).</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Postoji veća mogućnost ozljeda ili smrti kod događaja na otvorenom gdje se okuplja veći broj ljudi ili događaji traju dosta dugo, stoga iste odobravati samo uz strogo propisane preduvjete.</w:t>
            </w:r>
          </w:p>
          <w:p w:rsidR="005C1E80" w:rsidRDefault="005C1E80" w:rsidP="00F57898">
            <w:pPr>
              <w:jc w:val="both"/>
              <w:cnfStyle w:val="000000000000"/>
              <w:rPr>
                <w:rFonts w:ascii="Aptos" w:hAnsi="Aptos" w:cstheme="minorHAnsi"/>
                <w:sz w:val="24"/>
                <w:szCs w:val="24"/>
                <w:lang w:eastAsia="zh-CN"/>
              </w:rPr>
            </w:pPr>
          </w:p>
          <w:p w:rsidR="005C1E80" w:rsidRDefault="005C1E80" w:rsidP="00F57898">
            <w:pPr>
              <w:jc w:val="both"/>
              <w:cnfStyle w:val="000000000000"/>
              <w:rPr>
                <w:rFonts w:ascii="Aptos" w:hAnsi="Aptos" w:cstheme="minorHAnsi"/>
                <w:sz w:val="24"/>
                <w:szCs w:val="24"/>
                <w:lang w:eastAsia="zh-CN"/>
              </w:rPr>
            </w:pPr>
          </w:p>
          <w:p w:rsidR="005C1E80" w:rsidRDefault="005C1E80" w:rsidP="00F57898">
            <w:pPr>
              <w:jc w:val="both"/>
              <w:cnfStyle w:val="000000000000"/>
              <w:rPr>
                <w:rFonts w:ascii="Aptos" w:hAnsi="Aptos" w:cstheme="minorHAnsi"/>
                <w:sz w:val="24"/>
                <w:szCs w:val="24"/>
                <w:lang w:eastAsia="zh-CN"/>
              </w:rPr>
            </w:pPr>
          </w:p>
          <w:p w:rsidR="005C1E80" w:rsidRDefault="005C1E80" w:rsidP="00F57898">
            <w:pPr>
              <w:jc w:val="both"/>
              <w:cnfStyle w:val="000000000000"/>
              <w:rPr>
                <w:rFonts w:ascii="Aptos" w:hAnsi="Aptos" w:cstheme="minorHAnsi"/>
                <w:sz w:val="24"/>
                <w:szCs w:val="24"/>
                <w:lang w:eastAsia="zh-CN"/>
              </w:rPr>
            </w:pPr>
          </w:p>
        </w:tc>
      </w:tr>
    </w:tbl>
    <w:p w:rsidR="005C1E80" w:rsidRDefault="005C1E80" w:rsidP="005C1E80">
      <w:pPr>
        <w:pStyle w:val="Razina2"/>
      </w:pPr>
      <w:bookmarkStart w:id="119" w:name="_Toc210900549"/>
      <w:bookmarkStart w:id="120" w:name="_Toc208190533"/>
      <w:bookmarkEnd w:id="118"/>
      <w:r>
        <w:lastRenderedPageBreak/>
        <w:t>DODATNE MJERE – SURADNJU S NADLEŽNIM TIJELIMA, ZNANSTVENIM USTANOVAMA I STRUČNJACIMA ZA PODRUČJE PRIRODNIH NEPOGODA</w:t>
      </w:r>
      <w:bookmarkEnd w:id="119"/>
      <w:bookmarkEnd w:id="120"/>
    </w:p>
    <w:p w:rsidR="005C1E80" w:rsidRDefault="005C1E80" w:rsidP="005C1E80">
      <w:pPr>
        <w:rPr>
          <w:lang w:eastAsia="zh-CN"/>
        </w:rPr>
      </w:pPr>
    </w:p>
    <w:p w:rsidR="005C1E80" w:rsidRDefault="005C1E80" w:rsidP="005C1E80">
      <w:pPr>
        <w:jc w:val="both"/>
        <w:rPr>
          <w:rFonts w:ascii="Aptos" w:hAnsi="Aptos"/>
          <w:color w:val="000000" w:themeColor="text1"/>
          <w:sz w:val="24"/>
          <w:szCs w:val="24"/>
        </w:rPr>
      </w:pPr>
      <w:r>
        <w:rPr>
          <w:rFonts w:ascii="Aptos" w:hAnsi="Aptos"/>
          <w:color w:val="000000" w:themeColor="text1"/>
          <w:sz w:val="24"/>
          <w:szCs w:val="24"/>
        </w:rPr>
        <w:t xml:space="preserve">Suradnja sa nadležnim tijelima, znanstvenim ustanova i stručnjacima za područje prirodne nepogode je bitna zbog razmjena znanja, iskustava i razvoja sustava. </w:t>
      </w:r>
    </w:p>
    <w:p w:rsidR="005C1E80" w:rsidRDefault="005C1E80" w:rsidP="005C1E80">
      <w:pPr>
        <w:pStyle w:val="Opisslike"/>
        <w:jc w:val="center"/>
        <w:rPr>
          <w:rFonts w:ascii="Aptos" w:hAnsi="Aptos"/>
          <w:color w:val="000000" w:themeColor="text1"/>
          <w:sz w:val="24"/>
          <w:szCs w:val="24"/>
        </w:rPr>
      </w:pPr>
      <w:r>
        <w:t xml:space="preserve">Tablica </w:t>
      </w:r>
      <w:r w:rsidR="00DD1C99">
        <w:fldChar w:fldCharType="begin"/>
      </w:r>
      <w:r>
        <w:instrText xml:space="preserve"> SEQ Tablica \* ARABIC </w:instrText>
      </w:r>
      <w:r w:rsidR="00DD1C99">
        <w:fldChar w:fldCharType="separate"/>
      </w:r>
      <w:r>
        <w:t>6</w:t>
      </w:r>
      <w:r w:rsidR="00DD1C99">
        <w:fldChar w:fldCharType="end"/>
      </w:r>
      <w:r>
        <w:t>:Mjere</w:t>
      </w:r>
    </w:p>
    <w:tbl>
      <w:tblPr>
        <w:tblStyle w:val="Tablicapopisa2-isticanje51"/>
        <w:tblW w:w="5000" w:type="pct"/>
        <w:tblLook w:val="04A0"/>
      </w:tblPr>
      <w:tblGrid>
        <w:gridCol w:w="2435"/>
        <w:gridCol w:w="6851"/>
      </w:tblGrid>
      <w:tr w:rsidR="005C1E80" w:rsidTr="00F57898">
        <w:trPr>
          <w:cnfStyle w:val="100000000000"/>
        </w:trPr>
        <w:tc>
          <w:tcPr>
            <w:cnfStyle w:val="001000000000"/>
            <w:tcW w:w="1311" w:type="pct"/>
          </w:tcPr>
          <w:p w:rsidR="005C1E80" w:rsidRDefault="005C1E80" w:rsidP="00F57898">
            <w:pPr>
              <w:jc w:val="center"/>
              <w:rPr>
                <w:rFonts w:ascii="Aptos" w:hAnsi="Aptos"/>
                <w:sz w:val="24"/>
                <w:szCs w:val="24"/>
              </w:rPr>
            </w:pPr>
            <w:r>
              <w:rPr>
                <w:rFonts w:ascii="Aptos" w:eastAsiaTheme="minorEastAsia" w:hAnsi="Aptos"/>
                <w:b w:val="0"/>
                <w:bCs w:val="0"/>
                <w:sz w:val="24"/>
                <w:szCs w:val="24"/>
                <w:lang w:eastAsia="hr-HR"/>
              </w:rPr>
              <w:t>TIJELO</w:t>
            </w:r>
          </w:p>
        </w:tc>
        <w:tc>
          <w:tcPr>
            <w:tcW w:w="3689" w:type="pct"/>
          </w:tcPr>
          <w:p w:rsidR="005C1E80" w:rsidRDefault="005C1E80" w:rsidP="00F57898">
            <w:pPr>
              <w:jc w:val="center"/>
              <w:cnfStyle w:val="100000000000"/>
              <w:rPr>
                <w:rFonts w:ascii="Aptos" w:hAnsi="Aptos"/>
                <w:sz w:val="24"/>
                <w:szCs w:val="24"/>
              </w:rPr>
            </w:pPr>
            <w:r>
              <w:rPr>
                <w:rFonts w:ascii="Aptos" w:eastAsiaTheme="minorEastAsia" w:hAnsi="Aptos"/>
                <w:b w:val="0"/>
                <w:bCs w:val="0"/>
                <w:sz w:val="24"/>
                <w:szCs w:val="24"/>
                <w:lang w:eastAsia="hr-HR"/>
              </w:rPr>
              <w:t>OPIS AKTIVNOSTI</w:t>
            </w:r>
          </w:p>
        </w:tc>
      </w:tr>
      <w:tr w:rsidR="005C1E80" w:rsidTr="00F57898">
        <w:trPr>
          <w:trHeight w:val="1629"/>
        </w:trPr>
        <w:tc>
          <w:tcPr>
            <w:cnfStyle w:val="001000000000"/>
            <w:tcW w:w="1311" w:type="pct"/>
            <w:shd w:val="clear" w:color="auto" w:fill="DEEAF6" w:themeFill="accent5" w:themeFillTint="33"/>
            <w:vAlign w:val="center"/>
          </w:tcPr>
          <w:p w:rsidR="005C1E80" w:rsidRDefault="005C1E80" w:rsidP="00F57898">
            <w:pPr>
              <w:jc w:val="center"/>
              <w:rPr>
                <w:rFonts w:ascii="Aptos" w:hAnsi="Aptos"/>
                <w:b w:val="0"/>
                <w:bCs w:val="0"/>
                <w:sz w:val="24"/>
                <w:szCs w:val="24"/>
                <w:lang w:eastAsia="zh-CN"/>
              </w:rPr>
            </w:pPr>
            <w:r>
              <w:rPr>
                <w:rFonts w:ascii="Aptos" w:eastAsiaTheme="minorEastAsia" w:hAnsi="Aptos"/>
                <w:b w:val="0"/>
                <w:bCs w:val="0"/>
                <w:sz w:val="24"/>
                <w:szCs w:val="24"/>
                <w:lang w:eastAsia="zh-CN"/>
              </w:rPr>
              <w:t>EUROPSKI ODBOR REGIJA</w:t>
            </w:r>
          </w:p>
        </w:tc>
        <w:tc>
          <w:tcPr>
            <w:tcW w:w="3689" w:type="pct"/>
            <w:shd w:val="clear" w:color="auto" w:fill="DEEAF6" w:themeFill="accent5" w:themeFillTint="33"/>
          </w:tcPr>
          <w:p w:rsidR="005C1E80" w:rsidRDefault="005C1E80" w:rsidP="00F57898">
            <w:pPr>
              <w:jc w:val="both"/>
              <w:cnfStyle w:val="000000000000"/>
              <w:rPr>
                <w:rFonts w:ascii="Aptos" w:hAnsi="Aptos"/>
                <w:sz w:val="24"/>
                <w:szCs w:val="24"/>
              </w:rPr>
            </w:pPr>
            <w:r>
              <w:rPr>
                <w:rFonts w:ascii="Aptos" w:eastAsiaTheme="minorEastAsia" w:hAnsi="Aptos"/>
                <w:sz w:val="24"/>
                <w:szCs w:val="24"/>
                <w:lang w:eastAsia="hr-HR"/>
              </w:rPr>
              <w:t>Putem predstavnika Republike Hrvatske u Europskom odbora regija prenositi iskustva i potrebe općina u odnosu na razvoj sustava odgovora na prirodne nepogode i prilagodbe klimatskim promjenama.</w:t>
            </w:r>
          </w:p>
        </w:tc>
      </w:tr>
      <w:tr w:rsidR="005C1E80" w:rsidTr="00F57898">
        <w:trPr>
          <w:trHeight w:val="2545"/>
        </w:trPr>
        <w:tc>
          <w:tcPr>
            <w:cnfStyle w:val="001000000000"/>
            <w:tcW w:w="1311" w:type="pct"/>
          </w:tcPr>
          <w:p w:rsidR="005C1E80" w:rsidRDefault="005C1E80" w:rsidP="00F57898">
            <w:pPr>
              <w:rPr>
                <w:rFonts w:ascii="Aptos" w:hAnsi="Aptos"/>
                <w:sz w:val="24"/>
                <w:szCs w:val="24"/>
                <w:lang w:eastAsia="zh-CN"/>
              </w:rPr>
            </w:pPr>
          </w:p>
          <w:p w:rsidR="005C1E80" w:rsidRDefault="005C1E80" w:rsidP="00F57898">
            <w:pPr>
              <w:rPr>
                <w:rFonts w:ascii="Aptos" w:hAnsi="Aptos"/>
                <w:b w:val="0"/>
                <w:bCs w:val="0"/>
                <w:sz w:val="24"/>
                <w:szCs w:val="24"/>
                <w:lang w:eastAsia="zh-CN"/>
              </w:rPr>
            </w:pPr>
          </w:p>
          <w:p w:rsidR="005C1E80" w:rsidRDefault="005C1E80" w:rsidP="00F57898">
            <w:pPr>
              <w:jc w:val="center"/>
              <w:rPr>
                <w:rFonts w:ascii="Aptos" w:hAnsi="Aptos"/>
                <w:b w:val="0"/>
                <w:bCs w:val="0"/>
                <w:sz w:val="24"/>
                <w:szCs w:val="24"/>
                <w:lang w:eastAsia="zh-CN"/>
              </w:rPr>
            </w:pPr>
            <w:r>
              <w:rPr>
                <w:rFonts w:ascii="Aptos" w:eastAsiaTheme="minorEastAsia" w:hAnsi="Aptos"/>
                <w:b w:val="0"/>
                <w:bCs w:val="0"/>
                <w:sz w:val="24"/>
                <w:szCs w:val="24"/>
                <w:lang w:eastAsia="zh-CN"/>
              </w:rPr>
              <w:t>NADLEŽNA TIJELA NA NACIONALNOJ RAZINI</w:t>
            </w:r>
          </w:p>
          <w:p w:rsidR="005C1E80" w:rsidRDefault="005C1E80" w:rsidP="00F57898">
            <w:pPr>
              <w:rPr>
                <w:rFonts w:ascii="Aptos" w:hAnsi="Aptos"/>
                <w:sz w:val="24"/>
                <w:szCs w:val="24"/>
                <w:lang w:eastAsia="zh-CN"/>
              </w:rPr>
            </w:pPr>
          </w:p>
          <w:p w:rsidR="005C1E80" w:rsidRDefault="005C1E80" w:rsidP="00F57898">
            <w:pPr>
              <w:rPr>
                <w:rFonts w:ascii="Aptos" w:hAnsi="Aptos"/>
                <w:sz w:val="24"/>
                <w:szCs w:val="24"/>
                <w:lang w:eastAsia="zh-CN"/>
              </w:rPr>
            </w:pPr>
          </w:p>
          <w:p w:rsidR="005C1E80" w:rsidRDefault="005C1E80" w:rsidP="00F57898">
            <w:pPr>
              <w:rPr>
                <w:rFonts w:ascii="Aptos" w:hAnsi="Aptos"/>
                <w:sz w:val="24"/>
                <w:szCs w:val="24"/>
                <w:lang w:eastAsia="zh-CN"/>
              </w:rPr>
            </w:pPr>
          </w:p>
          <w:p w:rsidR="005C1E80" w:rsidRDefault="005C1E80" w:rsidP="00F57898">
            <w:pPr>
              <w:rPr>
                <w:rFonts w:ascii="Aptos" w:hAnsi="Aptos"/>
                <w:b w:val="0"/>
                <w:bCs w:val="0"/>
                <w:sz w:val="24"/>
                <w:szCs w:val="24"/>
                <w:lang w:eastAsia="zh-CN"/>
              </w:rPr>
            </w:pPr>
          </w:p>
        </w:tc>
        <w:tc>
          <w:tcPr>
            <w:tcW w:w="3689" w:type="pct"/>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Prenositi svoja iskustva i znanja prilikom izrade strateških i planskih dokumenata najviše razine.</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 </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Prilikom izrade svih strategija, procjena i ostalih planskih dokumenata iste usklađivati sa strateškim ciljevima i posebnim ciljeva dokumenata više razine, te voditi računa o aktivnostima i mjerama koje su usmjerene na razvoj sustava zaštite od prirodnih nepogoda.</w:t>
            </w:r>
          </w:p>
          <w:p w:rsidR="005C1E80" w:rsidRDefault="005C1E80" w:rsidP="00F57898">
            <w:pPr>
              <w:jc w:val="both"/>
              <w:cnfStyle w:val="000000000000"/>
              <w:rPr>
                <w:rFonts w:ascii="Aptos" w:hAnsi="Aptos" w:cstheme="minorHAnsi"/>
                <w:sz w:val="24"/>
                <w:szCs w:val="24"/>
                <w:lang w:eastAsia="zh-CN"/>
              </w:rPr>
            </w:pP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Strategije, procjene i planovi lokalne razine moraju međusobno biti kompatibilni i moraju biti usklađeni sa dokumentima više razine.</w:t>
            </w:r>
          </w:p>
        </w:tc>
      </w:tr>
      <w:tr w:rsidR="005C1E80" w:rsidTr="00F57898">
        <w:trPr>
          <w:trHeight w:val="1074"/>
        </w:trPr>
        <w:tc>
          <w:tcPr>
            <w:cnfStyle w:val="001000000000"/>
            <w:tcW w:w="1311" w:type="pct"/>
            <w:shd w:val="clear" w:color="auto" w:fill="DEEAF6" w:themeFill="accent5" w:themeFillTint="33"/>
            <w:vAlign w:val="center"/>
          </w:tcPr>
          <w:p w:rsidR="005C1E80" w:rsidRDefault="005C1E80" w:rsidP="00F57898">
            <w:pPr>
              <w:jc w:val="center"/>
              <w:rPr>
                <w:rFonts w:ascii="Aptos" w:hAnsi="Aptos"/>
                <w:b w:val="0"/>
                <w:bCs w:val="0"/>
                <w:sz w:val="24"/>
                <w:szCs w:val="24"/>
                <w:lang w:eastAsia="zh-CN"/>
              </w:rPr>
            </w:pPr>
            <w:r>
              <w:rPr>
                <w:rFonts w:ascii="Aptos" w:eastAsiaTheme="minorEastAsia" w:hAnsi="Aptos"/>
                <w:b w:val="0"/>
                <w:bCs w:val="0"/>
                <w:sz w:val="24"/>
                <w:szCs w:val="24"/>
                <w:lang w:eastAsia="zh-CN"/>
              </w:rPr>
              <w:t>NADLEŽNA TIJELA NA LOKALNOJ RAZINI</w:t>
            </w:r>
          </w:p>
        </w:tc>
        <w:tc>
          <w:tcPr>
            <w:tcW w:w="3689" w:type="pct"/>
            <w:shd w:val="clear" w:color="auto" w:fill="DEEAF6" w:themeFill="accent5" w:themeFillTint="33"/>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 Nadležna tijela na lokalnoj razini uključuje:</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Područni ured civilne zaštite</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 žurne službe  </w:t>
            </w: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-institucije kojima je Županija osnivač.</w:t>
            </w:r>
          </w:p>
          <w:p w:rsidR="005C1E80" w:rsidRDefault="005C1E80" w:rsidP="00F57898">
            <w:pPr>
              <w:jc w:val="both"/>
              <w:cnfStyle w:val="000000000000"/>
              <w:rPr>
                <w:rFonts w:ascii="Aptos" w:hAnsi="Aptos" w:cstheme="minorHAnsi"/>
                <w:sz w:val="24"/>
                <w:szCs w:val="24"/>
                <w:lang w:eastAsia="zh-CN"/>
              </w:rPr>
            </w:pP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Prilikom izrade svih strategija, procjena i planova posebno tražiti mišljenje i iskustva navedenih tijela kako bi se vidjelo s kojim se poteškoćama najčešće susreću u odgovoru na prirodne nepogode.</w:t>
            </w:r>
          </w:p>
          <w:p w:rsidR="005C1E80" w:rsidRDefault="005C1E80" w:rsidP="00F57898">
            <w:pPr>
              <w:jc w:val="both"/>
              <w:cnfStyle w:val="000000000000"/>
              <w:rPr>
                <w:rFonts w:ascii="Aptos" w:hAnsi="Aptos" w:cstheme="minorHAnsi"/>
                <w:sz w:val="24"/>
                <w:szCs w:val="24"/>
                <w:lang w:eastAsia="zh-CN"/>
              </w:rPr>
            </w:pPr>
          </w:p>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 xml:space="preserve">U slučaju prirodne nepogode sva područja koja su u ingerenciji JLP(R)S mogu biti pogođena;  od školstva, zdravstva, prometa, pa nadalje, stoga je jako bitno da sve strategije, procjene i planovi sadrže  adekvatne prevencijske </w:t>
            </w:r>
            <w:r>
              <w:rPr>
                <w:rFonts w:ascii="Aptos" w:eastAsiaTheme="minorEastAsia" w:hAnsi="Aptos" w:cstheme="minorHAnsi"/>
                <w:sz w:val="24"/>
                <w:szCs w:val="24"/>
                <w:lang w:eastAsia="zh-CN"/>
              </w:rPr>
              <w:lastRenderedPageBreak/>
              <w:t>mjere koje se odnose na smanjenje rizika od prirodnih nepogoda kao npr. potresa, poplava, požara, ali  i ublažavanje klimatskih promjena.</w:t>
            </w:r>
          </w:p>
        </w:tc>
      </w:tr>
      <w:tr w:rsidR="005C1E80" w:rsidTr="00F57898">
        <w:trPr>
          <w:trHeight w:val="1074"/>
        </w:trPr>
        <w:tc>
          <w:tcPr>
            <w:cnfStyle w:val="001000000000"/>
            <w:tcW w:w="1311" w:type="pct"/>
          </w:tcPr>
          <w:p w:rsidR="005C1E80" w:rsidRDefault="005C1E80" w:rsidP="00F57898">
            <w:pPr>
              <w:jc w:val="center"/>
              <w:rPr>
                <w:rFonts w:ascii="Aptos" w:hAnsi="Aptos"/>
                <w:sz w:val="24"/>
                <w:szCs w:val="24"/>
                <w:lang w:eastAsia="zh-CN"/>
              </w:rPr>
            </w:pPr>
            <w:r>
              <w:rPr>
                <w:rFonts w:ascii="Aptos" w:eastAsiaTheme="minorEastAsia" w:hAnsi="Aptos"/>
                <w:b w:val="0"/>
                <w:bCs w:val="0"/>
                <w:sz w:val="24"/>
                <w:szCs w:val="24"/>
                <w:lang w:eastAsia="zh-CN"/>
              </w:rPr>
              <w:lastRenderedPageBreak/>
              <w:t xml:space="preserve">ZNANSTVENA </w:t>
            </w:r>
          </w:p>
          <w:p w:rsidR="005C1E80" w:rsidRDefault="005C1E80" w:rsidP="00F57898">
            <w:pPr>
              <w:jc w:val="center"/>
              <w:rPr>
                <w:rFonts w:ascii="Aptos" w:hAnsi="Aptos"/>
                <w:b w:val="0"/>
                <w:bCs w:val="0"/>
                <w:sz w:val="24"/>
                <w:szCs w:val="24"/>
                <w:lang w:eastAsia="zh-CN"/>
              </w:rPr>
            </w:pPr>
            <w:r>
              <w:rPr>
                <w:rFonts w:ascii="Aptos" w:eastAsiaTheme="minorEastAsia" w:hAnsi="Aptos"/>
                <w:b w:val="0"/>
                <w:bCs w:val="0"/>
                <w:sz w:val="24"/>
                <w:szCs w:val="24"/>
                <w:lang w:eastAsia="zh-CN"/>
              </w:rPr>
              <w:t>ZAJEDNICA</w:t>
            </w:r>
          </w:p>
        </w:tc>
        <w:tc>
          <w:tcPr>
            <w:tcW w:w="3689" w:type="pct"/>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U suradnji sa znanstvenom zajednicom poticati projekte koji jačaju razvoj odgovora na prirodne nepogode.</w:t>
            </w:r>
          </w:p>
        </w:tc>
      </w:tr>
      <w:tr w:rsidR="005C1E80" w:rsidTr="00F57898">
        <w:trPr>
          <w:trHeight w:val="1074"/>
        </w:trPr>
        <w:tc>
          <w:tcPr>
            <w:cnfStyle w:val="001000000000"/>
            <w:tcW w:w="1311" w:type="pct"/>
            <w:shd w:val="clear" w:color="auto" w:fill="DEEAF6" w:themeFill="accent5" w:themeFillTint="33"/>
          </w:tcPr>
          <w:p w:rsidR="005C1E80" w:rsidRDefault="005C1E80" w:rsidP="00F57898">
            <w:pPr>
              <w:jc w:val="center"/>
              <w:rPr>
                <w:rFonts w:ascii="Aptos" w:hAnsi="Aptos"/>
                <w:b w:val="0"/>
                <w:bCs w:val="0"/>
                <w:sz w:val="24"/>
                <w:szCs w:val="24"/>
                <w:lang w:eastAsia="zh-CN"/>
              </w:rPr>
            </w:pPr>
            <w:r>
              <w:rPr>
                <w:rFonts w:ascii="Aptos" w:eastAsiaTheme="minorEastAsia" w:hAnsi="Aptos"/>
                <w:b w:val="0"/>
                <w:bCs w:val="0"/>
                <w:sz w:val="24"/>
                <w:szCs w:val="24"/>
                <w:lang w:eastAsia="zh-CN"/>
              </w:rPr>
              <w:t>SURADNJA SA STRUČNJACIMA ZA PRIRODNE NEPOGODE</w:t>
            </w:r>
          </w:p>
        </w:tc>
        <w:tc>
          <w:tcPr>
            <w:tcW w:w="3689" w:type="pct"/>
            <w:shd w:val="clear" w:color="auto" w:fill="DEEAF6" w:themeFill="accent5" w:themeFillTint="33"/>
          </w:tcPr>
          <w:p w:rsidR="005C1E80" w:rsidRDefault="005C1E80" w:rsidP="00F57898">
            <w:pPr>
              <w:jc w:val="both"/>
              <w:cnfStyle w:val="000000000000"/>
              <w:rPr>
                <w:rFonts w:ascii="Aptos" w:hAnsi="Aptos" w:cstheme="minorHAnsi"/>
                <w:sz w:val="24"/>
                <w:szCs w:val="24"/>
                <w:lang w:eastAsia="zh-CN"/>
              </w:rPr>
            </w:pPr>
            <w:r>
              <w:rPr>
                <w:rFonts w:ascii="Aptos" w:eastAsiaTheme="minorEastAsia" w:hAnsi="Aptos" w:cstheme="minorHAnsi"/>
                <w:sz w:val="24"/>
                <w:szCs w:val="24"/>
                <w:lang w:eastAsia="zh-CN"/>
              </w:rPr>
              <w:t>U slučaju prirodne nepogode sva područja koja su u ingerenciji JLP(R)S mogu biti pogođena;  od školstva, zdravstva, prometa, pa nadalje. Stoga je bitno  uključiti   stručnjake za prirodne nepogode prilikom izrada svih strateških, planskih i ostalih dokumenata  JLP(R)S kako bi se ugradile i integrirale sve potrebne mjere za pojedino područje.</w:t>
            </w:r>
          </w:p>
        </w:tc>
      </w:tr>
    </w:tbl>
    <w:p w:rsidR="005C1E80" w:rsidRDefault="005C1E80" w:rsidP="005C1E80">
      <w:pPr>
        <w:rPr>
          <w:rFonts w:ascii="Aptos" w:hAnsi="Aptos"/>
          <w:color w:val="000000" w:themeColor="text1"/>
          <w:sz w:val="24"/>
          <w:szCs w:val="24"/>
        </w:rPr>
      </w:pPr>
    </w:p>
    <w:p w:rsidR="005C1E80" w:rsidRDefault="005C1E80" w:rsidP="005C1E80">
      <w:pPr>
        <w:pStyle w:val="Razina2"/>
      </w:pPr>
      <w:bookmarkStart w:id="121" w:name="_Toc208190534"/>
      <w:bookmarkStart w:id="122" w:name="_Toc210900550"/>
      <w:r>
        <w:t>DODATNE MJERE – PODIZANJE SVIJESTI GRAĐANA</w:t>
      </w:r>
      <w:bookmarkEnd w:id="121"/>
      <w:bookmarkEnd w:id="122"/>
    </w:p>
    <w:p w:rsidR="005C1E80" w:rsidRDefault="005C1E80" w:rsidP="005C1E80">
      <w:pPr>
        <w:rPr>
          <w:lang w:eastAsia="zh-CN"/>
        </w:rPr>
      </w:pPr>
    </w:p>
    <w:p w:rsidR="005C1E80" w:rsidRDefault="005C1E80" w:rsidP="005C1E80">
      <w:pPr>
        <w:jc w:val="both"/>
        <w:rPr>
          <w:rFonts w:ascii="Aptos" w:hAnsi="Aptos"/>
          <w:sz w:val="24"/>
          <w:szCs w:val="24"/>
          <w:lang w:eastAsia="zh-CN"/>
        </w:rPr>
      </w:pPr>
      <w:r>
        <w:rPr>
          <w:rFonts w:ascii="Aptos" w:hAnsi="Aptos"/>
          <w:sz w:val="24"/>
          <w:szCs w:val="24"/>
          <w:lang w:eastAsia="zh-CN"/>
        </w:rPr>
        <w:t>Kako bi se postavio sustav odgovora na prirodne nepogode u njega moraju biti uključeni i građani. Građani se ne mogu isključivo osloniti na žurne i komunalne službe u slučaju prirodnih nepogoda već trebaju i sami aktivno sudjelovati. Podizanje svijesti građana može se provoditi kroz edukacije i medijske kampanje kojima se potiče građane na određene aktivnosti.</w:t>
      </w:r>
    </w:p>
    <w:p w:rsidR="005C1E80" w:rsidRDefault="005C1E80" w:rsidP="005C1E80">
      <w:pPr>
        <w:pStyle w:val="Razina3"/>
      </w:pPr>
      <w:bookmarkStart w:id="123" w:name="_Toc210900551"/>
      <w:r>
        <w:t>Informativno edukativne aktivnosti za djecu i mlade</w:t>
      </w:r>
      <w:bookmarkEnd w:id="123"/>
    </w:p>
    <w:p w:rsidR="005C1E80" w:rsidRDefault="005C1E80" w:rsidP="005C1E80">
      <w:pPr>
        <w:rPr>
          <w:lang w:val="en-US"/>
        </w:rPr>
      </w:pPr>
    </w:p>
    <w:p w:rsidR="005C1E80" w:rsidRDefault="005C1E80" w:rsidP="005C1E80">
      <w:pPr>
        <w:spacing w:after="0" w:line="240" w:lineRule="auto"/>
        <w:jc w:val="center"/>
        <w:rPr>
          <w:rFonts w:ascii="Aptos" w:hAnsi="Aptos"/>
          <w:b/>
          <w:bCs/>
          <w:sz w:val="24"/>
          <w:szCs w:val="24"/>
        </w:rPr>
      </w:pPr>
      <w:r>
        <w:rPr>
          <w:b/>
          <w:bCs/>
          <w:sz w:val="18"/>
          <w:szCs w:val="18"/>
        </w:rPr>
        <w:t xml:space="preserve">Tablica </w:t>
      </w:r>
      <w:r w:rsidR="00DD1C99">
        <w:rPr>
          <w:b/>
          <w:bCs/>
          <w:sz w:val="18"/>
          <w:szCs w:val="18"/>
        </w:rPr>
        <w:fldChar w:fldCharType="begin"/>
      </w:r>
      <w:r>
        <w:rPr>
          <w:b/>
          <w:bCs/>
          <w:sz w:val="18"/>
          <w:szCs w:val="18"/>
        </w:rPr>
        <w:instrText xml:space="preserve"> SEQ Tablica \* ARABIC </w:instrText>
      </w:r>
      <w:r w:rsidR="00DD1C99">
        <w:rPr>
          <w:b/>
          <w:bCs/>
          <w:sz w:val="18"/>
          <w:szCs w:val="18"/>
        </w:rPr>
        <w:fldChar w:fldCharType="separate"/>
      </w:r>
      <w:r>
        <w:rPr>
          <w:b/>
          <w:bCs/>
          <w:sz w:val="18"/>
          <w:szCs w:val="18"/>
        </w:rPr>
        <w:t>7</w:t>
      </w:r>
      <w:r w:rsidR="00DD1C99">
        <w:rPr>
          <w:b/>
          <w:bCs/>
          <w:sz w:val="18"/>
          <w:szCs w:val="18"/>
        </w:rPr>
        <w:fldChar w:fldCharType="end"/>
      </w:r>
      <w:r>
        <w:rPr>
          <w:b/>
          <w:bCs/>
          <w:sz w:val="18"/>
          <w:szCs w:val="18"/>
        </w:rPr>
        <w:t>:</w:t>
      </w:r>
      <w:r>
        <w:rPr>
          <w:rFonts w:ascii="Aptos" w:hAnsi="Aptos"/>
          <w:b/>
          <w:bCs/>
          <w:sz w:val="18"/>
          <w:szCs w:val="18"/>
        </w:rPr>
        <w:t>Informativno-edukativne aktivnosti za djecu i mlade</w:t>
      </w:r>
    </w:p>
    <w:tbl>
      <w:tblPr>
        <w:tblStyle w:val="Reetkatablice"/>
        <w:tblW w:w="9180" w:type="dxa"/>
        <w:tblLook w:val="04A0"/>
      </w:tblPr>
      <w:tblGrid>
        <w:gridCol w:w="2930"/>
        <w:gridCol w:w="6250"/>
      </w:tblGrid>
      <w:tr w:rsidR="005C1E80" w:rsidTr="00F57898">
        <w:tc>
          <w:tcPr>
            <w:tcW w:w="2930" w:type="dxa"/>
            <w:shd w:val="clear" w:color="auto" w:fill="0070C0"/>
          </w:tcPr>
          <w:p w:rsidR="005C1E80" w:rsidRDefault="005C1E80" w:rsidP="00F57898">
            <w:pPr>
              <w:jc w:val="center"/>
              <w:rPr>
                <w:rFonts w:ascii="Aptos" w:hAnsi="Aptos"/>
                <w:color w:val="FFFFFF" w:themeColor="background1"/>
                <w:sz w:val="24"/>
                <w:szCs w:val="24"/>
              </w:rPr>
            </w:pPr>
            <w:bookmarkStart w:id="124" w:name="_Hlk84239473"/>
            <w:r>
              <w:rPr>
                <w:rFonts w:ascii="Aptos" w:hAnsi="Aptos"/>
                <w:color w:val="FFFFFF" w:themeColor="background1"/>
                <w:sz w:val="24"/>
                <w:szCs w:val="24"/>
              </w:rPr>
              <w:t>AKTIVNOST</w:t>
            </w:r>
            <w:r>
              <w:rPr>
                <w:rFonts w:ascii="Aptos" w:hAnsi="Aptos"/>
                <w:color w:val="FFFFFF" w:themeColor="background1"/>
                <w:sz w:val="24"/>
                <w:szCs w:val="24"/>
                <w:vertAlign w:val="superscript"/>
              </w:rPr>
              <w:footnoteReference w:id="11"/>
            </w:r>
          </w:p>
        </w:tc>
        <w:tc>
          <w:tcPr>
            <w:tcW w:w="6250" w:type="dxa"/>
            <w:shd w:val="clear" w:color="auto" w:fill="0070C0"/>
          </w:tcPr>
          <w:p w:rsidR="005C1E80" w:rsidRDefault="005C1E80" w:rsidP="00F57898">
            <w:pPr>
              <w:jc w:val="center"/>
              <w:rPr>
                <w:rFonts w:ascii="Aptos" w:hAnsi="Aptos"/>
                <w:color w:val="FFFFFF" w:themeColor="background1"/>
                <w:sz w:val="24"/>
                <w:szCs w:val="24"/>
              </w:rPr>
            </w:pPr>
            <w:r>
              <w:rPr>
                <w:rFonts w:ascii="Aptos" w:hAnsi="Aptos"/>
                <w:color w:val="FFFFFF" w:themeColor="background1"/>
                <w:sz w:val="24"/>
                <w:szCs w:val="24"/>
              </w:rPr>
              <w:t>SVRHA</w:t>
            </w:r>
          </w:p>
        </w:tc>
      </w:tr>
      <w:tr w:rsidR="005C1E80" w:rsidTr="00F57898">
        <w:tc>
          <w:tcPr>
            <w:tcW w:w="2930" w:type="dxa"/>
          </w:tcPr>
          <w:p w:rsidR="005C1E80" w:rsidRDefault="005C1E80" w:rsidP="00F57898">
            <w:pPr>
              <w:jc w:val="both"/>
              <w:rPr>
                <w:rFonts w:ascii="Aptos" w:hAnsi="Aptos"/>
                <w:sz w:val="24"/>
                <w:szCs w:val="24"/>
              </w:rPr>
            </w:pPr>
            <w:r>
              <w:rPr>
                <w:rFonts w:ascii="Aptos" w:hAnsi="Aptos"/>
                <w:sz w:val="24"/>
                <w:szCs w:val="24"/>
              </w:rPr>
              <w:t>Informativno-edukativne aktivnosti za djecu u slučaju požara, potresa i poplava, olujno nevrijeme i ostalih prirodnih nepogoda.</w:t>
            </w:r>
          </w:p>
        </w:tc>
        <w:tc>
          <w:tcPr>
            <w:tcW w:w="6250" w:type="dxa"/>
          </w:tcPr>
          <w:p w:rsidR="005C1E80" w:rsidRDefault="005C1E80" w:rsidP="00F57898">
            <w:pPr>
              <w:jc w:val="both"/>
              <w:rPr>
                <w:rFonts w:ascii="Aptos" w:hAnsi="Aptos"/>
                <w:sz w:val="24"/>
                <w:szCs w:val="24"/>
              </w:rPr>
            </w:pPr>
            <w:r>
              <w:rPr>
                <w:rFonts w:ascii="Aptos" w:hAnsi="Aptos"/>
                <w:sz w:val="24"/>
                <w:szCs w:val="24"/>
              </w:rPr>
              <w:t>Svrha je učiti djecu kako se pravilno ponašati ne samo unutar odgojne institucije, već i u svakodnevnom životu u slučaju potresa, ali i prirodnih nepogoda čiji intenzitet će se pojačavati zahvaljujući klimatskim promjenama (npr. poplave, požari, olujno nevrijeme). Usvajanjem znanja ima za svrhu i smanjenje mogućnosti ozljede djece.</w:t>
            </w:r>
          </w:p>
          <w:p w:rsidR="005C1E80" w:rsidRDefault="005C1E80" w:rsidP="00F57898">
            <w:pPr>
              <w:jc w:val="both"/>
              <w:rPr>
                <w:rFonts w:ascii="Aptos" w:hAnsi="Aptos"/>
                <w:sz w:val="24"/>
                <w:szCs w:val="24"/>
              </w:rPr>
            </w:pPr>
            <w:r>
              <w:rPr>
                <w:rFonts w:ascii="Aptos" w:hAnsi="Aptos"/>
                <w:sz w:val="24"/>
                <w:szCs w:val="24"/>
              </w:rPr>
              <w:t>Edukacije trebaju obuhvatiti studente, djecu u srednjoj i osnovnoj školi, djecu u predškolskim ustanovama.</w:t>
            </w:r>
          </w:p>
          <w:p w:rsidR="005C1E80" w:rsidRDefault="005C1E80" w:rsidP="00F57898">
            <w:pPr>
              <w:jc w:val="both"/>
              <w:rPr>
                <w:rFonts w:ascii="Aptos" w:hAnsi="Aptos"/>
                <w:sz w:val="24"/>
                <w:szCs w:val="24"/>
              </w:rPr>
            </w:pPr>
            <w:r>
              <w:rPr>
                <w:rFonts w:ascii="Aptos" w:hAnsi="Aptos"/>
                <w:sz w:val="24"/>
                <w:szCs w:val="24"/>
              </w:rPr>
              <w:t>Za studente se u suradnji sa znanstvenim institucijama i stručnjacima mogu organizirati i javne tribine.</w:t>
            </w:r>
          </w:p>
        </w:tc>
      </w:tr>
    </w:tbl>
    <w:p w:rsidR="005C1E80" w:rsidRDefault="005C1E80" w:rsidP="005C1E80">
      <w:pPr>
        <w:pStyle w:val="Razina3"/>
      </w:pPr>
      <w:bookmarkStart w:id="125" w:name="_Toc210900552"/>
      <w:bookmarkStart w:id="126" w:name="_Toc208190535"/>
      <w:bookmarkEnd w:id="124"/>
      <w:r>
        <w:t>Informativno-edukativne aktivnosti odraslog stanovništva o utjecaju klimatskih promjena i postupanju u slučaju prirodnih nepogode</w:t>
      </w:r>
      <w:bookmarkEnd w:id="125"/>
      <w:bookmarkEnd w:id="126"/>
    </w:p>
    <w:p w:rsidR="005C1E80" w:rsidRDefault="005C1E80" w:rsidP="005C1E80">
      <w:pPr>
        <w:spacing w:after="0" w:line="240" w:lineRule="auto"/>
        <w:rPr>
          <w:rFonts w:ascii="Aptos" w:eastAsia="Times New Roman" w:hAnsi="Aptos" w:cs="Times New Roman"/>
          <w:sz w:val="24"/>
          <w:szCs w:val="24"/>
        </w:rPr>
      </w:pPr>
    </w:p>
    <w:p w:rsidR="005C1E80" w:rsidRDefault="005C1E80" w:rsidP="005C1E80">
      <w:pPr>
        <w:spacing w:after="0" w:line="240" w:lineRule="auto"/>
        <w:jc w:val="center"/>
        <w:rPr>
          <w:rFonts w:ascii="Aptos" w:hAnsi="Aptos"/>
          <w:b/>
          <w:bCs/>
          <w:sz w:val="18"/>
          <w:szCs w:val="18"/>
        </w:rPr>
      </w:pPr>
      <w:r>
        <w:rPr>
          <w:rFonts w:ascii="Aptos" w:hAnsi="Aptos"/>
          <w:b/>
          <w:bCs/>
          <w:sz w:val="18"/>
          <w:szCs w:val="18"/>
        </w:rPr>
        <w:t xml:space="preserve">Tablica </w:t>
      </w:r>
      <w:r w:rsidR="00DD1C99">
        <w:rPr>
          <w:rFonts w:ascii="Aptos" w:hAnsi="Aptos"/>
          <w:b/>
          <w:bCs/>
          <w:sz w:val="18"/>
          <w:szCs w:val="18"/>
        </w:rPr>
        <w:fldChar w:fldCharType="begin"/>
      </w:r>
      <w:r>
        <w:rPr>
          <w:rFonts w:ascii="Aptos" w:hAnsi="Aptos"/>
          <w:b/>
          <w:bCs/>
          <w:sz w:val="18"/>
          <w:szCs w:val="18"/>
        </w:rPr>
        <w:instrText xml:space="preserve"> SEQ Tablica \* ARABIC </w:instrText>
      </w:r>
      <w:r w:rsidR="00DD1C99">
        <w:rPr>
          <w:rFonts w:ascii="Aptos" w:hAnsi="Aptos"/>
          <w:b/>
          <w:bCs/>
          <w:sz w:val="18"/>
          <w:szCs w:val="18"/>
        </w:rPr>
        <w:fldChar w:fldCharType="separate"/>
      </w:r>
      <w:r>
        <w:rPr>
          <w:rFonts w:ascii="Aptos" w:hAnsi="Aptos"/>
          <w:b/>
          <w:bCs/>
          <w:sz w:val="18"/>
          <w:szCs w:val="18"/>
        </w:rPr>
        <w:t>8</w:t>
      </w:r>
      <w:r w:rsidR="00DD1C99">
        <w:rPr>
          <w:rFonts w:ascii="Aptos" w:hAnsi="Aptos"/>
          <w:b/>
          <w:bCs/>
          <w:sz w:val="18"/>
          <w:szCs w:val="18"/>
        </w:rPr>
        <w:fldChar w:fldCharType="end"/>
      </w:r>
      <w:r>
        <w:rPr>
          <w:rFonts w:ascii="Aptos" w:hAnsi="Aptos"/>
          <w:b/>
          <w:bCs/>
          <w:sz w:val="18"/>
          <w:szCs w:val="18"/>
        </w:rPr>
        <w:t>:Informativno-edukativne aktivnosti za odraslo stanovništvo</w:t>
      </w:r>
    </w:p>
    <w:tbl>
      <w:tblPr>
        <w:tblStyle w:val="Reetkatablice"/>
        <w:tblW w:w="8930" w:type="dxa"/>
        <w:tblInd w:w="250" w:type="dxa"/>
        <w:tblLook w:val="04A0"/>
      </w:tblPr>
      <w:tblGrid>
        <w:gridCol w:w="2047"/>
        <w:gridCol w:w="6883"/>
      </w:tblGrid>
      <w:tr w:rsidR="005C1E80" w:rsidTr="00F57898">
        <w:tc>
          <w:tcPr>
            <w:tcW w:w="2047" w:type="dxa"/>
            <w:shd w:val="clear" w:color="auto" w:fill="0070C0"/>
          </w:tcPr>
          <w:p w:rsidR="005C1E80" w:rsidRDefault="005C1E80" w:rsidP="00F57898">
            <w:pPr>
              <w:jc w:val="center"/>
              <w:rPr>
                <w:rFonts w:ascii="Aptos" w:hAnsi="Aptos"/>
                <w:color w:val="FFFFFF" w:themeColor="background1"/>
                <w:sz w:val="24"/>
                <w:szCs w:val="24"/>
              </w:rPr>
            </w:pPr>
            <w:bookmarkStart w:id="127" w:name="_Hlk84503608"/>
            <w:r>
              <w:rPr>
                <w:rFonts w:ascii="Aptos" w:hAnsi="Aptos"/>
                <w:color w:val="FFFFFF" w:themeColor="background1"/>
                <w:sz w:val="24"/>
                <w:szCs w:val="24"/>
              </w:rPr>
              <w:t>AKTIVNOST</w:t>
            </w:r>
          </w:p>
        </w:tc>
        <w:tc>
          <w:tcPr>
            <w:tcW w:w="6883" w:type="dxa"/>
            <w:shd w:val="clear" w:color="auto" w:fill="0070C0"/>
          </w:tcPr>
          <w:p w:rsidR="005C1E80" w:rsidRDefault="005C1E80" w:rsidP="00F57898">
            <w:pPr>
              <w:jc w:val="center"/>
              <w:rPr>
                <w:rFonts w:ascii="Aptos" w:hAnsi="Aptos"/>
                <w:color w:val="FFFFFF" w:themeColor="background1"/>
                <w:sz w:val="24"/>
                <w:szCs w:val="24"/>
              </w:rPr>
            </w:pPr>
            <w:r>
              <w:rPr>
                <w:rFonts w:ascii="Aptos" w:hAnsi="Aptos"/>
                <w:color w:val="FFFFFF" w:themeColor="background1"/>
                <w:sz w:val="24"/>
                <w:szCs w:val="24"/>
              </w:rPr>
              <w:t>SVRHA</w:t>
            </w:r>
          </w:p>
        </w:tc>
      </w:tr>
      <w:tr w:rsidR="005C1E80" w:rsidTr="00F57898">
        <w:tc>
          <w:tcPr>
            <w:tcW w:w="2047" w:type="dxa"/>
          </w:tcPr>
          <w:p w:rsidR="005C1E80" w:rsidRDefault="005C1E80" w:rsidP="00F57898">
            <w:pPr>
              <w:rPr>
                <w:rFonts w:ascii="Aptos" w:hAnsi="Aptos"/>
                <w:sz w:val="24"/>
                <w:szCs w:val="24"/>
              </w:rPr>
            </w:pPr>
            <w:r>
              <w:rPr>
                <w:rFonts w:ascii="Aptos" w:hAnsi="Aptos"/>
                <w:sz w:val="24"/>
                <w:szCs w:val="24"/>
              </w:rPr>
              <w:t xml:space="preserve">Provođenje edukativnih aktivnosti o </w:t>
            </w:r>
            <w:r>
              <w:rPr>
                <w:rFonts w:ascii="Aptos" w:hAnsi="Aptos"/>
                <w:sz w:val="24"/>
                <w:szCs w:val="24"/>
              </w:rPr>
              <w:lastRenderedPageBreak/>
              <w:t>ponašanju u slučaju prirodnih nepogoda, pogotovo onih koji su posljedica klimatskih promjena.</w:t>
            </w:r>
          </w:p>
        </w:tc>
        <w:tc>
          <w:tcPr>
            <w:tcW w:w="6883" w:type="dxa"/>
          </w:tcPr>
          <w:p w:rsidR="005C1E80" w:rsidRDefault="005C1E80" w:rsidP="00F57898">
            <w:pPr>
              <w:jc w:val="both"/>
              <w:rPr>
                <w:rFonts w:ascii="Aptos" w:hAnsi="Aptos"/>
                <w:sz w:val="24"/>
                <w:szCs w:val="24"/>
              </w:rPr>
            </w:pPr>
            <w:r>
              <w:rPr>
                <w:rFonts w:ascii="Aptos" w:hAnsi="Aptos"/>
                <w:sz w:val="24"/>
                <w:szCs w:val="24"/>
              </w:rPr>
              <w:lastRenderedPageBreak/>
              <w:t xml:space="preserve">Odraslo stanovništvo, posebno ono starije dobi, pogođeno je i teško se prilagođava ekstremnim temperaturama, ali i svim drugim prirodnim nepogodama. </w:t>
            </w:r>
          </w:p>
          <w:p w:rsidR="005C1E80" w:rsidRDefault="005C1E80" w:rsidP="00F57898">
            <w:pPr>
              <w:jc w:val="both"/>
              <w:rPr>
                <w:rFonts w:ascii="Aptos" w:hAnsi="Aptos"/>
                <w:sz w:val="24"/>
                <w:szCs w:val="24"/>
              </w:rPr>
            </w:pPr>
          </w:p>
          <w:p w:rsidR="005C1E80" w:rsidRDefault="005C1E80" w:rsidP="00F57898">
            <w:pPr>
              <w:jc w:val="both"/>
              <w:rPr>
                <w:rFonts w:ascii="Aptos" w:hAnsi="Aptos"/>
                <w:sz w:val="24"/>
                <w:szCs w:val="24"/>
              </w:rPr>
            </w:pPr>
            <w:r>
              <w:rPr>
                <w:rFonts w:ascii="Aptos" w:hAnsi="Aptos"/>
                <w:sz w:val="24"/>
                <w:szCs w:val="24"/>
              </w:rPr>
              <w:t>Edukativne aktivnosti imaju za cilj smanjenja rizika od stradavanja stanovništva</w:t>
            </w:r>
            <w:bookmarkStart w:id="128" w:name="_Hlk84424283"/>
            <w:r>
              <w:rPr>
                <w:rFonts w:ascii="Aptos" w:hAnsi="Aptos"/>
                <w:sz w:val="24"/>
                <w:szCs w:val="24"/>
              </w:rPr>
              <w:t>, omogućavanja lakšeg funkcioniranja žurnih službi, djelatnika JLP(R)S i operativnih snaga civilne službe</w:t>
            </w:r>
            <w:bookmarkEnd w:id="128"/>
            <w:r>
              <w:rPr>
                <w:rFonts w:ascii="Aptos" w:hAnsi="Aptos"/>
                <w:sz w:val="24"/>
                <w:szCs w:val="24"/>
              </w:rPr>
              <w:t>.</w:t>
            </w:r>
          </w:p>
          <w:p w:rsidR="005C1E80" w:rsidRDefault="005C1E80" w:rsidP="00F57898">
            <w:pPr>
              <w:jc w:val="both"/>
              <w:rPr>
                <w:rFonts w:ascii="Aptos" w:hAnsi="Aptos"/>
                <w:sz w:val="24"/>
                <w:szCs w:val="24"/>
              </w:rPr>
            </w:pPr>
          </w:p>
          <w:p w:rsidR="005C1E80" w:rsidRDefault="005C1E80" w:rsidP="00F57898">
            <w:pPr>
              <w:jc w:val="both"/>
              <w:rPr>
                <w:rFonts w:ascii="Aptos" w:hAnsi="Aptos"/>
                <w:sz w:val="24"/>
                <w:szCs w:val="24"/>
              </w:rPr>
            </w:pPr>
            <w:r>
              <w:rPr>
                <w:rFonts w:ascii="Aptos" w:hAnsi="Aptos"/>
                <w:sz w:val="24"/>
                <w:szCs w:val="24"/>
              </w:rPr>
              <w:t>Poticati građane na jaču uključenost – Npr. stariji građani koji sami žive i osobe na čije zdravstveno stanje utječe toplina veći dio dana provode u stanovima kroz duža vremenska razdoblja – poticati uključenost, provjeru građana, susjeda, uključenje u aktivnosti.</w:t>
            </w:r>
          </w:p>
          <w:p w:rsidR="005C1E80" w:rsidRDefault="005C1E80" w:rsidP="00F57898">
            <w:pPr>
              <w:jc w:val="both"/>
              <w:rPr>
                <w:rFonts w:ascii="Aptos" w:hAnsi="Aptos"/>
                <w:sz w:val="24"/>
                <w:szCs w:val="24"/>
              </w:rPr>
            </w:pPr>
            <w:r>
              <w:rPr>
                <w:rFonts w:ascii="Aptos" w:hAnsi="Aptos"/>
                <w:sz w:val="24"/>
                <w:szCs w:val="24"/>
              </w:rPr>
              <w:t>Tijekom toplinskih valova bilo je incidenti i smrtnih slučaja  kada se djeca ostavljaju u vozilima – tijekom navedenog razdoblja poticati kroz medije upozorenje na isto.</w:t>
            </w:r>
          </w:p>
        </w:tc>
      </w:tr>
      <w:tr w:rsidR="005C1E80" w:rsidTr="00F57898">
        <w:trPr>
          <w:trHeight w:val="1825"/>
        </w:trPr>
        <w:tc>
          <w:tcPr>
            <w:tcW w:w="2047" w:type="dxa"/>
          </w:tcPr>
          <w:p w:rsidR="005C1E80" w:rsidRDefault="005C1E80" w:rsidP="00F57898">
            <w:pPr>
              <w:jc w:val="both"/>
              <w:rPr>
                <w:rFonts w:ascii="Aptos" w:hAnsi="Aptos"/>
                <w:sz w:val="24"/>
                <w:szCs w:val="24"/>
              </w:rPr>
            </w:pPr>
            <w:r>
              <w:rPr>
                <w:rFonts w:ascii="Aptos" w:hAnsi="Aptos"/>
                <w:sz w:val="24"/>
                <w:szCs w:val="24"/>
              </w:rPr>
              <w:lastRenderedPageBreak/>
              <w:t>Informativne aktivnosti vezano za osiguranje štete od prirodnih nepogoda.</w:t>
            </w:r>
          </w:p>
        </w:tc>
        <w:tc>
          <w:tcPr>
            <w:tcW w:w="6883" w:type="dxa"/>
          </w:tcPr>
          <w:p w:rsidR="005C1E80" w:rsidRDefault="005C1E80" w:rsidP="00F57898">
            <w:pPr>
              <w:jc w:val="both"/>
              <w:rPr>
                <w:rFonts w:ascii="Aptos" w:hAnsi="Aptos"/>
                <w:sz w:val="24"/>
                <w:szCs w:val="24"/>
              </w:rPr>
            </w:pPr>
            <w:r>
              <w:rPr>
                <w:rFonts w:ascii="Aptos" w:hAnsi="Aptos"/>
                <w:sz w:val="24"/>
                <w:szCs w:val="24"/>
              </w:rPr>
              <w:t>Klimatske promjene uzrokuju povećanje prirodnih nepogoda koji utječu na visinu i učestalost šteta. Poticanjem osiguranja imovine smanjuje se iznosi pomoći i omogućava osiguranja sredstava za druge potrebe.</w:t>
            </w:r>
          </w:p>
          <w:p w:rsidR="005C1E80" w:rsidRDefault="005C1E80" w:rsidP="00F57898">
            <w:pPr>
              <w:jc w:val="both"/>
              <w:rPr>
                <w:rFonts w:ascii="Aptos" w:hAnsi="Aptos"/>
                <w:sz w:val="24"/>
                <w:szCs w:val="24"/>
              </w:rPr>
            </w:pPr>
          </w:p>
        </w:tc>
      </w:tr>
      <w:tr w:rsidR="005C1E80" w:rsidTr="00F57898">
        <w:tc>
          <w:tcPr>
            <w:tcW w:w="2047" w:type="dxa"/>
          </w:tcPr>
          <w:p w:rsidR="005C1E80" w:rsidRDefault="005C1E80" w:rsidP="00F57898">
            <w:pPr>
              <w:rPr>
                <w:rFonts w:ascii="Aptos" w:hAnsi="Aptos"/>
                <w:sz w:val="24"/>
                <w:szCs w:val="24"/>
              </w:rPr>
            </w:pPr>
            <w:r>
              <w:rPr>
                <w:rFonts w:ascii="Aptos" w:hAnsi="Aptos"/>
                <w:sz w:val="24"/>
                <w:szCs w:val="24"/>
              </w:rPr>
              <w:t>Informativne aktivnosti usmjerene na poslodavce i institucije</w:t>
            </w:r>
          </w:p>
        </w:tc>
        <w:tc>
          <w:tcPr>
            <w:tcW w:w="6883" w:type="dxa"/>
          </w:tcPr>
          <w:p w:rsidR="005C1E80" w:rsidRDefault="005C1E80" w:rsidP="00F57898">
            <w:pPr>
              <w:jc w:val="both"/>
              <w:rPr>
                <w:rFonts w:ascii="Aptos" w:hAnsi="Aptos"/>
                <w:sz w:val="24"/>
                <w:szCs w:val="24"/>
              </w:rPr>
            </w:pPr>
            <w:r>
              <w:rPr>
                <w:rFonts w:ascii="Aptos" w:hAnsi="Aptos"/>
                <w:sz w:val="24"/>
                <w:szCs w:val="24"/>
              </w:rPr>
              <w:t>Učestalije prirodne nepogode uzrokovane klimatskim promjenama tražit će određenu prilagodbu poslodavaca i institucija u organizaciji rada. Potrebno je razviti svijest i kod odgovornih osoba o istom kroz razne informativne aktivnosti i sugeriranjem organizacije drugačijeg radnog vremena i osiguranja prikladnih uvjeta za zaposlenike.</w:t>
            </w:r>
          </w:p>
        </w:tc>
      </w:tr>
      <w:tr w:rsidR="005C1E80" w:rsidTr="00F57898">
        <w:tc>
          <w:tcPr>
            <w:tcW w:w="2047" w:type="dxa"/>
            <w:shd w:val="clear" w:color="auto" w:fill="0070C0"/>
          </w:tcPr>
          <w:p w:rsidR="005C1E80" w:rsidRDefault="005C1E80" w:rsidP="00F57898">
            <w:pPr>
              <w:rPr>
                <w:rFonts w:ascii="Aptos" w:hAnsi="Aptos"/>
                <w:color w:val="FFFFFF" w:themeColor="background1"/>
                <w:sz w:val="24"/>
                <w:szCs w:val="24"/>
              </w:rPr>
            </w:pPr>
            <w:r>
              <w:rPr>
                <w:rFonts w:ascii="Aptos" w:hAnsi="Aptos"/>
                <w:color w:val="FFFFFF" w:themeColor="background1"/>
                <w:sz w:val="24"/>
                <w:szCs w:val="24"/>
              </w:rPr>
              <w:t>REALIZACIJA</w:t>
            </w:r>
          </w:p>
        </w:tc>
        <w:tc>
          <w:tcPr>
            <w:tcW w:w="6883" w:type="dxa"/>
          </w:tcPr>
          <w:p w:rsidR="005C1E80" w:rsidRDefault="005C1E80" w:rsidP="00F57898">
            <w:pPr>
              <w:jc w:val="both"/>
              <w:rPr>
                <w:rFonts w:ascii="Aptos" w:hAnsi="Aptos"/>
                <w:sz w:val="24"/>
                <w:szCs w:val="24"/>
              </w:rPr>
            </w:pPr>
            <w:r>
              <w:rPr>
                <w:rFonts w:ascii="Aptos" w:hAnsi="Aptos"/>
                <w:sz w:val="24"/>
                <w:szCs w:val="24"/>
              </w:rPr>
              <w:t>Odraslo stanovništvo vrlo rijetko se odaziva javnim tribinama, stoga je bolje edukacije i informiranje provoditi kroz lokalne medije kao što su radio i televizija.</w:t>
            </w:r>
          </w:p>
        </w:tc>
      </w:tr>
    </w:tbl>
    <w:p w:rsidR="005C1E80" w:rsidRDefault="005C1E80" w:rsidP="005C1E80">
      <w:pPr>
        <w:pStyle w:val="Razina3"/>
      </w:pPr>
      <w:bookmarkStart w:id="129" w:name="_Toc208190536"/>
      <w:bookmarkStart w:id="130" w:name="_Toc210900553"/>
      <w:bookmarkStart w:id="131" w:name="_Toc87270616"/>
      <w:bookmarkStart w:id="132" w:name="_Toc114432709"/>
      <w:bookmarkEnd w:id="127"/>
      <w:r>
        <w:t>Podrška osobama s invaliditetom tijekom opasnosti, kriznih situacija i katastrofa</w:t>
      </w:r>
      <w:bookmarkEnd w:id="129"/>
      <w:bookmarkEnd w:id="130"/>
      <w:bookmarkEnd w:id="131"/>
      <w:bookmarkEnd w:id="132"/>
    </w:p>
    <w:p w:rsidR="005C1E80" w:rsidRDefault="005C1E80" w:rsidP="005C1E80">
      <w:pPr>
        <w:rPr>
          <w:rFonts w:ascii="Aptos" w:hAnsi="Aptos"/>
          <w:sz w:val="24"/>
          <w:szCs w:val="24"/>
        </w:rPr>
      </w:pPr>
    </w:p>
    <w:p w:rsidR="005C1E80" w:rsidRDefault="005C1E80" w:rsidP="005C1E80">
      <w:pPr>
        <w:contextualSpacing/>
        <w:jc w:val="both"/>
        <w:rPr>
          <w:rFonts w:ascii="Aptos" w:hAnsi="Aptos"/>
          <w:sz w:val="24"/>
          <w:szCs w:val="24"/>
        </w:rPr>
      </w:pPr>
      <w:r>
        <w:rPr>
          <w:rFonts w:ascii="Aptos" w:hAnsi="Aptos"/>
          <w:sz w:val="24"/>
          <w:szCs w:val="24"/>
        </w:rPr>
        <w:t>Nacionalnom razvojnom strategijom Republike Hrvatske do 2030. godine poseban naglasak stavljen je na primjenu Konvencije o pravima osoba sa invaliditetom. Konvencijom je određeno kako Država potpisnica konvencije u skladu sa svojim obvezama proisteklim iz međunarodnog prava, uključujući međunarodno humanitarno pravo i međunarodno pravo koje obuhvaća ljudska prava poduzet će sve potrebne mjere za osiguranje zaštite i sigurnosti osoba s invaliditetom u rizičnim situacijama, uključujući situacije oružanog sukoba, humanitarnih kriza i prirodne katastrofe.</w:t>
      </w: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r>
        <w:rPr>
          <w:rFonts w:ascii="Aptos" w:hAnsi="Aptos"/>
          <w:sz w:val="24"/>
          <w:szCs w:val="24"/>
        </w:rPr>
        <w:t>Ured pravobraniteljice za osobe sa invaliditetom je nakon razornog potresa u Zagrebu i Petrinji skrenuo pažnju kako se treba posebno obratiti pažnja na osobe sa invaliditetom. Ured je nadležnim tijelima dostavio Vodič za podršku osobama s invaliditetom tijekom opasnosti, kriznih situacija i katastrofa  izdan od strane Zajednice saveza osoba sa invaliditetom Hrvatske.</w:t>
      </w:r>
    </w:p>
    <w:p w:rsidR="005C1E80" w:rsidRDefault="005C1E80" w:rsidP="005C1E80">
      <w:pPr>
        <w:contextualSpacing/>
        <w:jc w:val="both"/>
        <w:rPr>
          <w:rFonts w:ascii="Aptos" w:hAnsi="Aptos"/>
          <w:sz w:val="24"/>
          <w:szCs w:val="24"/>
        </w:rPr>
      </w:pPr>
    </w:p>
    <w:p w:rsidR="005C1E80" w:rsidRDefault="005C1E80" w:rsidP="005C1E80">
      <w:pPr>
        <w:spacing w:after="0" w:line="240" w:lineRule="auto"/>
        <w:jc w:val="center"/>
        <w:rPr>
          <w:rFonts w:ascii="Aptos" w:hAnsi="Aptos"/>
          <w:b/>
          <w:bCs/>
          <w:sz w:val="18"/>
          <w:szCs w:val="18"/>
        </w:rPr>
      </w:pPr>
      <w:r>
        <w:rPr>
          <w:rFonts w:ascii="Aptos" w:hAnsi="Aptos"/>
          <w:b/>
          <w:bCs/>
          <w:sz w:val="18"/>
          <w:szCs w:val="18"/>
        </w:rPr>
        <w:t xml:space="preserve">Tablica </w:t>
      </w:r>
      <w:r w:rsidR="00DD1C99">
        <w:rPr>
          <w:rFonts w:ascii="Aptos" w:hAnsi="Aptos"/>
          <w:b/>
          <w:bCs/>
          <w:sz w:val="18"/>
          <w:szCs w:val="18"/>
        </w:rPr>
        <w:fldChar w:fldCharType="begin"/>
      </w:r>
      <w:r>
        <w:rPr>
          <w:rFonts w:ascii="Aptos" w:hAnsi="Aptos"/>
          <w:b/>
          <w:bCs/>
          <w:sz w:val="18"/>
          <w:szCs w:val="18"/>
        </w:rPr>
        <w:instrText xml:space="preserve"> SEQ Tablica \* ARABIC </w:instrText>
      </w:r>
      <w:r w:rsidR="00DD1C99">
        <w:rPr>
          <w:rFonts w:ascii="Aptos" w:hAnsi="Aptos"/>
          <w:b/>
          <w:bCs/>
          <w:sz w:val="18"/>
          <w:szCs w:val="18"/>
        </w:rPr>
        <w:fldChar w:fldCharType="separate"/>
      </w:r>
      <w:r>
        <w:rPr>
          <w:rFonts w:ascii="Aptos" w:hAnsi="Aptos"/>
          <w:b/>
          <w:bCs/>
          <w:sz w:val="18"/>
          <w:szCs w:val="18"/>
        </w:rPr>
        <w:t>9</w:t>
      </w:r>
      <w:r w:rsidR="00DD1C99">
        <w:rPr>
          <w:rFonts w:ascii="Aptos" w:hAnsi="Aptos"/>
          <w:b/>
          <w:bCs/>
          <w:sz w:val="18"/>
          <w:szCs w:val="18"/>
        </w:rPr>
        <w:fldChar w:fldCharType="end"/>
      </w:r>
      <w:r>
        <w:rPr>
          <w:rFonts w:ascii="Aptos" w:hAnsi="Aptos"/>
          <w:b/>
          <w:bCs/>
          <w:sz w:val="18"/>
          <w:szCs w:val="18"/>
        </w:rPr>
        <w:t>: Podrška osobama s invaliditetom tijekom opasnosti, kriznih situacija i katastrofa</w:t>
      </w:r>
    </w:p>
    <w:tbl>
      <w:tblPr>
        <w:tblStyle w:val="Reetkatablice"/>
        <w:tblW w:w="8676" w:type="dxa"/>
        <w:tblInd w:w="250" w:type="dxa"/>
        <w:tblLook w:val="04A0"/>
      </w:tblPr>
      <w:tblGrid>
        <w:gridCol w:w="2013"/>
        <w:gridCol w:w="6663"/>
      </w:tblGrid>
      <w:tr w:rsidR="005C1E80" w:rsidTr="00F57898">
        <w:tc>
          <w:tcPr>
            <w:tcW w:w="2013" w:type="dxa"/>
            <w:shd w:val="clear" w:color="auto" w:fill="0070C0"/>
          </w:tcPr>
          <w:p w:rsidR="005C1E80" w:rsidRDefault="005C1E80" w:rsidP="00F57898">
            <w:pPr>
              <w:jc w:val="center"/>
              <w:rPr>
                <w:rFonts w:ascii="Aptos" w:hAnsi="Aptos"/>
                <w:color w:val="FFFFFF" w:themeColor="background1"/>
                <w:sz w:val="24"/>
                <w:szCs w:val="24"/>
              </w:rPr>
            </w:pPr>
            <w:bookmarkStart w:id="133" w:name="_Hlk84503658"/>
            <w:r>
              <w:rPr>
                <w:rFonts w:ascii="Aptos" w:hAnsi="Aptos"/>
                <w:color w:val="FFFFFF" w:themeColor="background1"/>
                <w:sz w:val="24"/>
                <w:szCs w:val="24"/>
              </w:rPr>
              <w:t>AKTIVNOST</w:t>
            </w:r>
          </w:p>
        </w:tc>
        <w:tc>
          <w:tcPr>
            <w:tcW w:w="6663" w:type="dxa"/>
            <w:shd w:val="clear" w:color="auto" w:fill="0070C0"/>
          </w:tcPr>
          <w:p w:rsidR="005C1E80" w:rsidRDefault="005C1E80" w:rsidP="00F57898">
            <w:pPr>
              <w:jc w:val="center"/>
              <w:rPr>
                <w:rFonts w:ascii="Aptos" w:hAnsi="Aptos"/>
                <w:color w:val="FFFFFF" w:themeColor="background1"/>
                <w:sz w:val="24"/>
                <w:szCs w:val="24"/>
              </w:rPr>
            </w:pPr>
            <w:r>
              <w:rPr>
                <w:rFonts w:ascii="Aptos" w:hAnsi="Aptos"/>
                <w:color w:val="FFFFFF" w:themeColor="background1"/>
                <w:sz w:val="24"/>
                <w:szCs w:val="24"/>
              </w:rPr>
              <w:t>SVRHA</w:t>
            </w:r>
          </w:p>
        </w:tc>
      </w:tr>
      <w:tr w:rsidR="005C1E80" w:rsidTr="00F57898">
        <w:tc>
          <w:tcPr>
            <w:tcW w:w="2013" w:type="dxa"/>
          </w:tcPr>
          <w:p w:rsidR="005C1E80" w:rsidRDefault="005C1E80" w:rsidP="00F57898">
            <w:pPr>
              <w:rPr>
                <w:rFonts w:ascii="Aptos" w:hAnsi="Aptos"/>
                <w:sz w:val="24"/>
                <w:szCs w:val="24"/>
              </w:rPr>
            </w:pPr>
            <w:r>
              <w:rPr>
                <w:rFonts w:ascii="Aptos" w:hAnsi="Aptos"/>
                <w:sz w:val="24"/>
                <w:szCs w:val="24"/>
              </w:rPr>
              <w:lastRenderedPageBreak/>
              <w:t>Edukacija povjerenika CZ</w:t>
            </w:r>
          </w:p>
        </w:tc>
        <w:tc>
          <w:tcPr>
            <w:tcW w:w="6663" w:type="dxa"/>
          </w:tcPr>
          <w:p w:rsidR="005C1E80" w:rsidRDefault="005C1E80" w:rsidP="00F57898">
            <w:pPr>
              <w:jc w:val="both"/>
              <w:rPr>
                <w:rFonts w:ascii="Aptos" w:hAnsi="Aptos"/>
                <w:sz w:val="24"/>
                <w:szCs w:val="24"/>
              </w:rPr>
            </w:pPr>
            <w:r>
              <w:rPr>
                <w:rFonts w:ascii="Aptos" w:hAnsi="Aptos"/>
                <w:sz w:val="24"/>
                <w:szCs w:val="24"/>
              </w:rPr>
              <w:t xml:space="preserve">Upoznati povjerenike CZ sa osobama sa invaliditetom i njihovim ograničenjima, na prostoru njegovog djelovanja. </w:t>
            </w:r>
          </w:p>
          <w:p w:rsidR="005C1E80" w:rsidRDefault="005C1E80" w:rsidP="00F57898">
            <w:pPr>
              <w:jc w:val="both"/>
              <w:rPr>
                <w:rFonts w:ascii="Aptos" w:hAnsi="Aptos"/>
                <w:sz w:val="24"/>
                <w:szCs w:val="24"/>
              </w:rPr>
            </w:pPr>
            <w:r>
              <w:rPr>
                <w:rFonts w:ascii="Aptos" w:hAnsi="Aptos"/>
                <w:sz w:val="24"/>
                <w:szCs w:val="24"/>
              </w:rPr>
              <w:t>Obučiti povjerenike CZ sa načinom postupanja s  osobom sa invaliditetom u skladu sa njegovim ograničenjima.</w:t>
            </w:r>
          </w:p>
        </w:tc>
      </w:tr>
      <w:tr w:rsidR="005C1E80" w:rsidTr="00F57898">
        <w:tc>
          <w:tcPr>
            <w:tcW w:w="2013" w:type="dxa"/>
          </w:tcPr>
          <w:p w:rsidR="005C1E80" w:rsidRDefault="005C1E80" w:rsidP="00F57898">
            <w:pPr>
              <w:rPr>
                <w:rFonts w:ascii="Aptos" w:hAnsi="Aptos"/>
                <w:sz w:val="24"/>
                <w:szCs w:val="24"/>
              </w:rPr>
            </w:pPr>
            <w:r>
              <w:rPr>
                <w:rFonts w:ascii="Aptos" w:hAnsi="Aptos"/>
                <w:sz w:val="24"/>
                <w:szCs w:val="24"/>
              </w:rPr>
              <w:t>Edukacija osoba sa invaliditetom</w:t>
            </w:r>
          </w:p>
        </w:tc>
        <w:tc>
          <w:tcPr>
            <w:tcW w:w="6663" w:type="dxa"/>
          </w:tcPr>
          <w:p w:rsidR="005C1E80" w:rsidRDefault="005C1E80" w:rsidP="00F57898">
            <w:pPr>
              <w:jc w:val="both"/>
              <w:rPr>
                <w:rFonts w:ascii="Aptos" w:hAnsi="Aptos"/>
                <w:sz w:val="24"/>
                <w:szCs w:val="24"/>
              </w:rPr>
            </w:pPr>
            <w:r>
              <w:rPr>
                <w:rFonts w:ascii="Aptos" w:hAnsi="Aptos"/>
                <w:sz w:val="24"/>
                <w:szCs w:val="24"/>
              </w:rPr>
              <w:t>Upoznati osobe sa invaliditetom sa načinom postupanja u kriznim situacijama u skladu sa njihovim ograničenjima.</w:t>
            </w:r>
          </w:p>
        </w:tc>
      </w:tr>
      <w:bookmarkEnd w:id="133"/>
    </w:tbl>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contextualSpacing/>
        <w:jc w:val="both"/>
        <w:rPr>
          <w:rFonts w:ascii="Aptos" w:hAnsi="Aptos"/>
          <w:sz w:val="24"/>
          <w:szCs w:val="24"/>
        </w:rPr>
      </w:pPr>
    </w:p>
    <w:p w:rsidR="005C1E80" w:rsidRDefault="005C1E80" w:rsidP="005C1E80">
      <w:pPr>
        <w:pStyle w:val="Razina2"/>
      </w:pPr>
      <w:bookmarkStart w:id="134" w:name="_Toc210900554"/>
      <w:bookmarkStart w:id="135" w:name="_Toc87270617"/>
      <w:bookmarkStart w:id="136" w:name="_Toc114432710"/>
      <w:bookmarkStart w:id="137" w:name="_Toc208190537"/>
      <w:r>
        <w:t>KORIŠTENJE DIGITALNIH TEHNOLOGIJA U SVRHU JAČANJA ODGOVORA NA PRIRODNE NEPOGODE</w:t>
      </w:r>
      <w:bookmarkEnd w:id="134"/>
      <w:bookmarkEnd w:id="135"/>
      <w:bookmarkEnd w:id="136"/>
      <w:bookmarkEnd w:id="137"/>
    </w:p>
    <w:p w:rsidR="005C1E80" w:rsidRDefault="005C1E80" w:rsidP="005C1E80">
      <w:pPr>
        <w:jc w:val="both"/>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 xml:space="preserve">Sukladno </w:t>
      </w:r>
      <w:bookmarkStart w:id="138" w:name="_Hlk84246732"/>
      <w:r>
        <w:rPr>
          <w:rFonts w:ascii="Aptos" w:hAnsi="Aptos"/>
          <w:sz w:val="24"/>
          <w:szCs w:val="24"/>
        </w:rPr>
        <w:t xml:space="preserve">Nacionalnoj razvojnoj strategiji Republike Hrvatske do 2030. godine </w:t>
      </w:r>
      <w:bookmarkEnd w:id="138"/>
      <w:r>
        <w:rPr>
          <w:rFonts w:ascii="Aptos" w:hAnsi="Aptos"/>
          <w:sz w:val="24"/>
          <w:szCs w:val="24"/>
        </w:rPr>
        <w:t>digitalna tehnologija i digitalizacija sustava za pomoć u odgovoru i upravljanje operativnim snagama civilne zaštite jedan je od instrumenata za unaprjeđenje kvalitete odgovora.</w:t>
      </w:r>
    </w:p>
    <w:p w:rsidR="005C1E80" w:rsidRDefault="005C1E80" w:rsidP="005C1E80">
      <w:pPr>
        <w:jc w:val="both"/>
        <w:rPr>
          <w:rFonts w:ascii="Aptos" w:hAnsi="Aptos"/>
          <w:sz w:val="24"/>
          <w:szCs w:val="24"/>
        </w:rPr>
      </w:pPr>
      <w:r>
        <w:rPr>
          <w:rFonts w:ascii="Aptos" w:hAnsi="Aptos"/>
          <w:sz w:val="24"/>
          <w:szCs w:val="24"/>
        </w:rPr>
        <w:t>Cilj je modernizacija postojećih i uspostava novih baza podataka o štetama i ranjivostima na negativne utjecaje prijetnji i njihovo sustavno  i digitalizirano prikupljanje, kako  bi se izradile  kvalitetne i vjerodostojne procjene rizike i učinkovito i brzo informiranje građana  u izvanrednim situacijama, ali i djelotvornost odgovora na katastrofe i velike nesreće.</w:t>
      </w:r>
      <w:r>
        <w:rPr>
          <w:rFonts w:ascii="Aptos" w:hAnsi="Aptos"/>
          <w:sz w:val="24"/>
          <w:szCs w:val="24"/>
          <w:vertAlign w:val="superscript"/>
        </w:rPr>
        <w:footnoteReference w:id="12"/>
      </w:r>
    </w:p>
    <w:p w:rsidR="005C1E80" w:rsidRDefault="005C1E80" w:rsidP="005C1E80">
      <w:pPr>
        <w:jc w:val="both"/>
        <w:rPr>
          <w:rFonts w:ascii="Aptos" w:hAnsi="Aptos"/>
          <w:sz w:val="24"/>
          <w:szCs w:val="24"/>
        </w:rPr>
      </w:pPr>
      <w:r>
        <w:rPr>
          <w:rFonts w:ascii="Aptos" w:hAnsi="Aptos"/>
          <w:sz w:val="24"/>
          <w:szCs w:val="24"/>
        </w:rPr>
        <w:t>U skladu sa svojim tehničkim mogućnostima pojačati korištenje digitalnih tehnologiju za praćenje stanja  o zelenoj i plavoj infrastrukturi i podataka kružnog gospodarenja prostorom i zgradama.</w:t>
      </w:r>
    </w:p>
    <w:p w:rsidR="005C1E80" w:rsidRDefault="005C1E80" w:rsidP="005C1E80">
      <w:pPr>
        <w:jc w:val="both"/>
        <w:rPr>
          <w:rFonts w:ascii="Aptos" w:hAnsi="Aptos"/>
          <w:sz w:val="24"/>
          <w:szCs w:val="24"/>
        </w:rPr>
      </w:pPr>
      <w:r>
        <w:rPr>
          <w:rFonts w:ascii="Aptos" w:hAnsi="Aptos"/>
          <w:sz w:val="24"/>
          <w:szCs w:val="24"/>
        </w:rPr>
        <w:t>Službena web stranica i društvene mreže mogu se koristiti za:</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 xml:space="preserve">promociju aktivnosti vezano za prevencijske mjere u smanjenju utjecaja klimatskih promjena </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promocija aktivnosti operativnih snaga civilne zaštite i uporaba broja 112</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promocija informativno-edukacijskih aktivnosti djece i odraslih</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nastavak digitalne pristupačnosti prilagodbe web stranice kako i osobe s invaliditetom ne bi imali nikakvih prepreka u interakciji ili pristupu digitalnom sadržaju koji se odnosi na prirodne nepogode</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lastRenderedPageBreak/>
        <w:t>razmjeni točnih i provjerenih informacija  sa građanima u slučaju prirodne nepogode i omogućavanja lakšeg funkcioniranja žurnih službi, djelatnika JLP(R)S i operativnih snaga civilne službe.  Kao predložak, mogu se koristi Upute za stanovništvo (</w:t>
      </w:r>
      <w:hyperlink r:id="rId78" w:history="1">
        <w:r>
          <w:rPr>
            <w:rFonts w:ascii="Aptos" w:hAnsi="Aptos"/>
            <w:color w:val="0563C1" w:themeColor="hyperlink"/>
            <w:sz w:val="24"/>
            <w:szCs w:val="24"/>
            <w:u w:val="single"/>
          </w:rPr>
          <w:t>prilog 6</w:t>
        </w:r>
      </w:hyperlink>
      <w:r>
        <w:rPr>
          <w:rFonts w:ascii="Aptos" w:hAnsi="Aptos"/>
          <w:sz w:val="24"/>
          <w:szCs w:val="24"/>
        </w:rPr>
        <w:t>)</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 xml:space="preserve">upućivanje na izvore sa točnim i provjerenim informacijama  </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smanjenja netočnih informacija i lažnih vijesti</w:t>
      </w:r>
    </w:p>
    <w:p w:rsidR="005C1E80" w:rsidRDefault="005C1E80" w:rsidP="00A66748">
      <w:pPr>
        <w:numPr>
          <w:ilvl w:val="0"/>
          <w:numId w:val="95"/>
        </w:numPr>
        <w:contextualSpacing/>
        <w:jc w:val="both"/>
        <w:rPr>
          <w:rFonts w:ascii="Aptos" w:hAnsi="Aptos"/>
          <w:sz w:val="24"/>
          <w:szCs w:val="24"/>
        </w:rPr>
      </w:pPr>
      <w:r>
        <w:rPr>
          <w:rFonts w:ascii="Aptos" w:hAnsi="Aptos"/>
          <w:sz w:val="24"/>
          <w:szCs w:val="24"/>
        </w:rPr>
        <w:t>primanja  pomoći ili volontiranja.</w:t>
      </w:r>
      <w:r>
        <w:rPr>
          <w:rFonts w:ascii="Aptos" w:hAnsi="Aptos"/>
          <w:sz w:val="24"/>
          <w:szCs w:val="24"/>
          <w:vertAlign w:val="superscript"/>
        </w:rPr>
        <w:footnoteReference w:id="13"/>
      </w:r>
      <w:r>
        <w:rPr>
          <w:rFonts w:ascii="Aptos" w:hAnsi="Aptos"/>
          <w:sz w:val="24"/>
          <w:szCs w:val="24"/>
        </w:rPr>
        <w:t xml:space="preserve"> </w:t>
      </w:r>
    </w:p>
    <w:p w:rsidR="005C1E80" w:rsidRDefault="005C1E80" w:rsidP="005C1E80">
      <w:pPr>
        <w:jc w:val="both"/>
        <w:rPr>
          <w:rFonts w:ascii="Aptos" w:hAnsi="Aptos"/>
          <w:sz w:val="24"/>
          <w:szCs w:val="24"/>
        </w:rPr>
      </w:pPr>
      <w:r>
        <w:rPr>
          <w:rFonts w:ascii="Aptos" w:hAnsi="Aptos"/>
          <w:sz w:val="24"/>
          <w:szCs w:val="24"/>
        </w:rPr>
        <w:t xml:space="preserve">Ministarstvo unutarnjih poslova, Ravnateljstvo civilne zaštite izdalo je niz uputa i brošura za građane koje imaju za cilj bolju edukaciju o prevencijskim mjerama u odnosu na  potrese, požare, sušu i druge izvanredne događaja. </w:t>
      </w:r>
    </w:p>
    <w:p w:rsidR="005C1E80" w:rsidRDefault="005C1E80" w:rsidP="005C1E80">
      <w:pPr>
        <w:jc w:val="both"/>
        <w:rPr>
          <w:rFonts w:ascii="Aptos" w:hAnsi="Aptos"/>
          <w:sz w:val="24"/>
          <w:szCs w:val="24"/>
        </w:rPr>
      </w:pPr>
      <w:r>
        <w:rPr>
          <w:rFonts w:ascii="Aptos" w:hAnsi="Aptos"/>
          <w:sz w:val="24"/>
          <w:szCs w:val="24"/>
        </w:rPr>
        <w:t>Dijeljenjem navedenih brošura i letaka putem službene web stranice i društvene mreže postići  bolju informiranost građana o prevencijskim mjerama koje mogu poduzeti.</w:t>
      </w:r>
      <w:r>
        <w:rPr>
          <w:rFonts w:ascii="Aptos" w:hAnsi="Aptos"/>
          <w:sz w:val="24"/>
          <w:szCs w:val="24"/>
          <w:vertAlign w:val="superscript"/>
        </w:rPr>
        <w:t>5</w:t>
      </w:r>
    </w:p>
    <w:p w:rsidR="005C1E80" w:rsidRDefault="005C1E80" w:rsidP="005C1E80">
      <w:pPr>
        <w:rPr>
          <w:rFonts w:ascii="Aptos" w:hAnsi="Aptos"/>
          <w:sz w:val="24"/>
          <w:szCs w:val="24"/>
          <w:highlight w:val="yellow"/>
        </w:rPr>
        <w:sectPr w:rsidR="005C1E80" w:rsidSect="005C1E80">
          <w:pgSz w:w="11906" w:h="16838"/>
          <w:pgMar w:top="1418" w:right="1418" w:bottom="1418" w:left="1418" w:header="709" w:footer="709" w:gutter="0"/>
          <w:cols w:space="708"/>
          <w:titlePg/>
          <w:docGrid w:linePitch="360"/>
        </w:sectPr>
      </w:pPr>
    </w:p>
    <w:p w:rsidR="005C1E80" w:rsidRDefault="005C1E80" w:rsidP="005C1E80">
      <w:pPr>
        <w:pStyle w:val="Razina1"/>
      </w:pPr>
      <w:bookmarkStart w:id="139" w:name="_Toc208190538"/>
      <w:bookmarkStart w:id="140" w:name="_Toc177515297"/>
      <w:bookmarkStart w:id="141" w:name="_Toc87270619"/>
      <w:bookmarkStart w:id="142" w:name="_Toc210900555"/>
      <w:bookmarkStart w:id="143" w:name="_Toc132273592"/>
      <w:r>
        <w:lastRenderedPageBreak/>
        <w:t>IZVORI FINANCIRANJA</w:t>
      </w:r>
      <w:bookmarkEnd w:id="139"/>
      <w:bookmarkEnd w:id="140"/>
      <w:bookmarkEnd w:id="141"/>
      <w:bookmarkEnd w:id="142"/>
      <w:bookmarkEnd w:id="143"/>
    </w:p>
    <w:p w:rsidR="005C1E80" w:rsidRDefault="005C1E80" w:rsidP="005C1E80">
      <w:pPr>
        <w:spacing w:after="0" w:line="240" w:lineRule="auto"/>
        <w:jc w:val="both"/>
        <w:outlineLvl w:val="0"/>
        <w:rPr>
          <w:rFonts w:ascii="Aptos" w:eastAsia="Times New Roman" w:hAnsi="Aptos" w:cs="Times New Roman"/>
          <w:b/>
          <w:i/>
          <w:color w:val="231F20"/>
          <w:sz w:val="24"/>
          <w:szCs w:val="24"/>
          <w:shd w:val="clear" w:color="auto" w:fill="FFFFFF"/>
          <w:lang w:eastAsia="zh-CN"/>
        </w:rPr>
      </w:pPr>
    </w:p>
    <w:p w:rsidR="005C1E80" w:rsidRDefault="005C1E80" w:rsidP="005C1E80">
      <w:pPr>
        <w:jc w:val="both"/>
        <w:rPr>
          <w:rFonts w:ascii="Aptos" w:hAnsi="Aptos"/>
          <w:sz w:val="24"/>
          <w:szCs w:val="24"/>
        </w:rPr>
      </w:pPr>
      <w:r>
        <w:rPr>
          <w:rFonts w:ascii="Aptos" w:hAnsi="Aptos"/>
          <w:sz w:val="24"/>
          <w:szCs w:val="24"/>
        </w:rPr>
        <w:t>Sredstva pomoći za ublažavanje i djelomično uklanjanje posljedica prirodnih nepogoda iz ovoga članka odnose se na novčana sredstva ili ostala materijalna sredstva, kao što je oprema za zaštitu imovine fizičkih i/ili pravnih osoba, javne infrastrukture te zdravlja i života stanovništva, koja su potrebna za djelomičnu sanaciju štete nastale od prirodne nepogode.</w:t>
      </w:r>
    </w:p>
    <w:p w:rsidR="005C1E80" w:rsidRDefault="005C1E80" w:rsidP="005C1E80">
      <w:pPr>
        <w:rPr>
          <w:rFonts w:ascii="Aptos" w:hAnsi="Aptos"/>
          <w:sz w:val="24"/>
          <w:szCs w:val="24"/>
          <w:lang w:eastAsia="zh-CN"/>
        </w:rPr>
      </w:pPr>
    </w:p>
    <w:p w:rsidR="005C1E80" w:rsidRDefault="005C1E80" w:rsidP="00A66748">
      <w:pPr>
        <w:numPr>
          <w:ilvl w:val="1"/>
          <w:numId w:val="68"/>
        </w:numPr>
        <w:spacing w:after="0" w:line="240" w:lineRule="auto"/>
        <w:jc w:val="both"/>
        <w:outlineLvl w:val="1"/>
        <w:rPr>
          <w:rFonts w:ascii="Aptos" w:eastAsia="Times New Roman" w:hAnsi="Aptos" w:cs="Times New Roman"/>
          <w:b/>
          <w:color w:val="000000"/>
          <w:sz w:val="24"/>
          <w:szCs w:val="24"/>
          <w:lang w:eastAsia="zh-CN"/>
        </w:rPr>
      </w:pPr>
      <w:bookmarkStart w:id="144" w:name="_Toc208190539"/>
      <w:bookmarkStart w:id="145" w:name="_Toc87270620"/>
      <w:bookmarkStart w:id="146" w:name="_Toc132273593"/>
      <w:bookmarkStart w:id="147" w:name="_Toc177515298"/>
      <w:r>
        <w:rPr>
          <w:rFonts w:ascii="Aptos" w:eastAsia="Times New Roman" w:hAnsi="Aptos" w:cs="Times New Roman"/>
          <w:b/>
          <w:color w:val="000000"/>
          <w:sz w:val="24"/>
          <w:szCs w:val="24"/>
          <w:lang w:eastAsia="zh-CN"/>
        </w:rPr>
        <w:t>Namjena sredstava</w:t>
      </w:r>
      <w:bookmarkEnd w:id="144"/>
    </w:p>
    <w:p w:rsidR="005C1E80" w:rsidRDefault="005C1E80" w:rsidP="005C1E80">
      <w:pPr>
        <w:rPr>
          <w:lang w:eastAsia="zh-CN"/>
        </w:rPr>
      </w:pPr>
    </w:p>
    <w:p w:rsidR="005C1E80" w:rsidRDefault="005C1E80" w:rsidP="005C1E80">
      <w:pPr>
        <w:jc w:val="both"/>
        <w:rPr>
          <w:rFonts w:ascii="Aptos" w:hAnsi="Aptos"/>
          <w:sz w:val="24"/>
          <w:szCs w:val="24"/>
          <w:lang w:eastAsia="zh-CN"/>
        </w:rPr>
      </w:pPr>
      <w:r>
        <w:rPr>
          <w:rFonts w:ascii="Aptos" w:hAnsi="Aptos"/>
          <w:sz w:val="24"/>
          <w:szCs w:val="24"/>
          <w:lang w:eastAsia="zh-CN"/>
        </w:rPr>
        <w:t xml:space="preserve"> Sredstva pomoći za ublažavanje i djelomično uklanjanje posljedica prirodnih nepogoda strogo su namjenska sredstva te se raspoređuju prema postotku oštećenja vrijednosti potvrđene konačne procjene štete.</w:t>
      </w:r>
    </w:p>
    <w:p w:rsidR="005C1E80" w:rsidRDefault="005C1E80" w:rsidP="005C1E80">
      <w:pPr>
        <w:jc w:val="both"/>
        <w:rPr>
          <w:rFonts w:ascii="Aptos" w:hAnsi="Aptos"/>
          <w:sz w:val="24"/>
          <w:szCs w:val="24"/>
          <w:lang w:eastAsia="zh-CN"/>
        </w:rPr>
      </w:pPr>
      <w:r>
        <w:rPr>
          <w:rFonts w:ascii="Aptos" w:hAnsi="Aptos"/>
          <w:sz w:val="24"/>
          <w:szCs w:val="24"/>
          <w:lang w:eastAsia="zh-CN"/>
        </w:rPr>
        <w:t>Sredstva pomoći su nepovratna i namjenska te se ne mogu upotrijebiti kao kreditna sredstva niti zadržati kao prihod proračuna jedinice lokalne i područne (regionalne) samouprave.</w:t>
      </w:r>
    </w:p>
    <w:p w:rsidR="005C1E80" w:rsidRDefault="005C1E80" w:rsidP="005C1E80">
      <w:pPr>
        <w:jc w:val="both"/>
        <w:rPr>
          <w:rFonts w:ascii="Aptos" w:hAnsi="Aptos"/>
          <w:sz w:val="24"/>
          <w:szCs w:val="24"/>
          <w:lang w:eastAsia="zh-CN"/>
        </w:rPr>
      </w:pPr>
      <w:r>
        <w:rPr>
          <w:rFonts w:ascii="Aptos" w:hAnsi="Aptos"/>
          <w:sz w:val="24"/>
          <w:szCs w:val="24"/>
          <w:lang w:eastAsia="zh-CN"/>
        </w:rPr>
        <w:t>Načelnik te krajnji korisnici odgovorni su za namjensko korištenje sredstava pomoći za ublažavanje i djelomično uklanjanje posljedica prirodnih nepogoda.</w:t>
      </w:r>
    </w:p>
    <w:p w:rsidR="005C1E80" w:rsidRDefault="005C1E80" w:rsidP="005C1E80">
      <w:pPr>
        <w:jc w:val="both"/>
        <w:rPr>
          <w:rFonts w:ascii="Aptos" w:hAnsi="Aptos"/>
          <w:sz w:val="24"/>
          <w:szCs w:val="24"/>
          <w:lang w:eastAsia="zh-CN"/>
        </w:rPr>
      </w:pPr>
    </w:p>
    <w:p w:rsidR="005C1E80" w:rsidRDefault="005C1E80" w:rsidP="005C1E80">
      <w:pPr>
        <w:jc w:val="both"/>
        <w:rPr>
          <w:rFonts w:ascii="Aptos" w:hAnsi="Aptos"/>
          <w:sz w:val="24"/>
          <w:szCs w:val="24"/>
          <w:lang w:eastAsia="zh-CN"/>
        </w:rPr>
      </w:pPr>
      <w:r>
        <w:rPr>
          <w:rFonts w:ascii="Aptos" w:hAnsi="Aptos"/>
          <w:sz w:val="24"/>
          <w:szCs w:val="24"/>
          <w:lang w:eastAsia="zh-CN"/>
        </w:rPr>
        <w:t>Sredstva pomoći za ublažavanje i djelomično uklanjanje posljedica prirodnih nepogoda ne dodjeljuju se za:</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štete na imovini koja je osigurana</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štete na imovini koje su izazvane namjerno, iz krajnjeg nemara ili nisu bile poduzete propisane mjere zaštite od strane korisnika ili vlasnika imovine</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neizravne štete</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 xml:space="preserve">štete nastale na nezakonito izgrađenim zgradama javne namjene, gospodarskim zgradama i stambenim zgradama za koje nije doneseno rješenje o izvedenom stanju prema posebnim propisima, osim kada je, prije nastanka prirodne nepogode, pokrenut postupak donošenja rješenja o izvedenom stanju, u kojem slučaju će sredstva pomoći biti dodijeljena tek kada oštećenik dostavi pravomoćno rješenje nadležnog tijela.  Iznimno, sredstva pomoći za ublažavanje i djelomično uklanjanje posljedica prirodnih nepogoda mogu se dodijeliti i za štete na nezakonito izgrađenim stambenim zgradama korisnicima socijalne skrbi </w:t>
      </w:r>
      <w:r>
        <w:rPr>
          <w:rFonts w:ascii="Aptos" w:hAnsi="Aptos"/>
          <w:sz w:val="24"/>
          <w:szCs w:val="24"/>
          <w:lang w:eastAsia="zh-CN"/>
        </w:rPr>
        <w:lastRenderedPageBreak/>
        <w:t>s priznatim pravom u sustavu socijalne skrbi određenim propisima kojima se uređuje područje socijalne skrbi i drugim pripadajućim aktima nadležnih tijela državne uprave.</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štete nastale na građevini ili području koje je, u skladu s propisima kojima se uređuje zaštita kulturnog dobra, aktom proglašeno kulturnim dobrom ili je u vrijeme nastanka prirodne nepogode u postupku proglašavanja kulturnim dobrom</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štete koje nisu na propisani način i u zadanom roku unesene u Registar šteta prema odredbama propisa</w:t>
      </w:r>
    </w:p>
    <w:p w:rsidR="005C1E80" w:rsidRDefault="005C1E80" w:rsidP="005C1E80">
      <w:pPr>
        <w:jc w:val="both"/>
        <w:rPr>
          <w:rFonts w:ascii="Aptos" w:hAnsi="Aptos"/>
          <w:sz w:val="24"/>
          <w:szCs w:val="24"/>
          <w:lang w:eastAsia="zh-CN"/>
        </w:rPr>
      </w:pPr>
    </w:p>
    <w:p w:rsidR="005C1E80" w:rsidRDefault="005C1E80" w:rsidP="00A66748">
      <w:pPr>
        <w:numPr>
          <w:ilvl w:val="1"/>
          <w:numId w:val="96"/>
        </w:numPr>
        <w:spacing w:after="200" w:line="276" w:lineRule="auto"/>
        <w:contextualSpacing/>
        <w:jc w:val="both"/>
        <w:rPr>
          <w:rFonts w:ascii="Aptos" w:hAnsi="Aptos"/>
          <w:sz w:val="24"/>
          <w:szCs w:val="24"/>
          <w:lang w:eastAsia="zh-CN"/>
        </w:rPr>
      </w:pPr>
      <w:r>
        <w:rPr>
          <w:rFonts w:ascii="Aptos" w:hAnsi="Aptos"/>
          <w:sz w:val="24"/>
          <w:szCs w:val="24"/>
          <w:lang w:eastAsia="zh-CN"/>
        </w:rPr>
        <w:t>štete u slučaju osigurljivih rizika na imovini koja nije osigurana ako je vrijednost oštećene imovine manja od 60 % vrijednosti imovine. Iznimno, Iznimno, oštećenicima se mogu dodijeliti sredstva pomoći za ublažavanje i djelomično uklanjanje posljedica prirodnih nepogoda u slučajevima otežanih gospodarskih uvjeta, socijalnih, zdravstvenih ili drugih razloga koji ugrožavaju život stanovništva na području zahvaćenom prirodnom nepogodom.</w:t>
      </w:r>
    </w:p>
    <w:p w:rsidR="005C1E80" w:rsidRDefault="005C1E80" w:rsidP="005C1E80">
      <w:pPr>
        <w:rPr>
          <w:lang w:eastAsia="zh-CN"/>
        </w:rPr>
      </w:pPr>
    </w:p>
    <w:p w:rsidR="005C1E80" w:rsidRDefault="005C1E80" w:rsidP="00A66748">
      <w:pPr>
        <w:numPr>
          <w:ilvl w:val="1"/>
          <w:numId w:val="68"/>
        </w:numPr>
        <w:spacing w:after="0" w:line="240" w:lineRule="auto"/>
        <w:jc w:val="both"/>
        <w:outlineLvl w:val="1"/>
        <w:rPr>
          <w:rFonts w:ascii="Aptos" w:eastAsia="Times New Roman" w:hAnsi="Aptos" w:cs="Times New Roman"/>
          <w:b/>
          <w:color w:val="000000"/>
          <w:sz w:val="24"/>
          <w:szCs w:val="24"/>
          <w:lang w:eastAsia="zh-CN"/>
        </w:rPr>
      </w:pPr>
      <w:bookmarkStart w:id="148" w:name="_Toc208190540"/>
      <w:r>
        <w:rPr>
          <w:rFonts w:ascii="Aptos" w:eastAsia="Times New Roman" w:hAnsi="Aptos" w:cs="Times New Roman"/>
          <w:b/>
          <w:color w:val="000000"/>
          <w:sz w:val="24"/>
          <w:szCs w:val="24"/>
          <w:lang w:eastAsia="zh-CN"/>
        </w:rPr>
        <w:t>Izvori sredstava pomoći za ublažavanje i djelomično uklanjanje posljedica prirodnih nepogoda</w:t>
      </w:r>
      <w:bookmarkEnd w:id="145"/>
      <w:bookmarkEnd w:id="146"/>
      <w:bookmarkEnd w:id="147"/>
      <w:bookmarkEnd w:id="148"/>
    </w:p>
    <w:p w:rsidR="005C1E80" w:rsidRDefault="005C1E80" w:rsidP="005C1E80">
      <w:pPr>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Novčana sredstva i druge vrste pomoći za djelomičnu sanaciju šteta od prirodnih nepogoda  na imovini oštećenika osiguravaju se iz:</w:t>
      </w:r>
    </w:p>
    <w:p w:rsidR="005C1E80" w:rsidRDefault="005C1E80" w:rsidP="005C1E80">
      <w:pPr>
        <w:jc w:val="both"/>
        <w:rPr>
          <w:rFonts w:ascii="Aptos" w:hAnsi="Aptos"/>
          <w:sz w:val="24"/>
          <w:szCs w:val="24"/>
        </w:rPr>
      </w:pPr>
      <w:r>
        <w:rPr>
          <w:rFonts w:ascii="Aptos" w:hAnsi="Aptos"/>
          <w:sz w:val="24"/>
          <w:szCs w:val="24"/>
        </w:rPr>
        <w:t>1. državnog proračuna s proračunskog razdjela ministarstva nadležnog za financije</w:t>
      </w:r>
    </w:p>
    <w:p w:rsidR="005C1E80" w:rsidRDefault="005C1E80" w:rsidP="005C1E80">
      <w:pPr>
        <w:jc w:val="both"/>
        <w:rPr>
          <w:rFonts w:ascii="Aptos" w:hAnsi="Aptos"/>
          <w:sz w:val="24"/>
          <w:szCs w:val="24"/>
        </w:rPr>
      </w:pPr>
      <w:r>
        <w:rPr>
          <w:rFonts w:ascii="Aptos" w:hAnsi="Aptos"/>
          <w:sz w:val="24"/>
          <w:szCs w:val="24"/>
        </w:rPr>
        <w:t>2. fondova Europske unije</w:t>
      </w:r>
    </w:p>
    <w:p w:rsidR="005C1E80" w:rsidRDefault="005C1E80" w:rsidP="005C1E80">
      <w:pPr>
        <w:jc w:val="both"/>
        <w:rPr>
          <w:rFonts w:ascii="Aptos" w:hAnsi="Aptos"/>
          <w:sz w:val="24"/>
          <w:szCs w:val="24"/>
        </w:rPr>
      </w:pPr>
      <w:r>
        <w:rPr>
          <w:rFonts w:ascii="Aptos" w:hAnsi="Aptos"/>
          <w:sz w:val="24"/>
          <w:szCs w:val="24"/>
        </w:rPr>
        <w:t>3. donacija.</w:t>
      </w:r>
    </w:p>
    <w:p w:rsidR="005C1E80" w:rsidRDefault="005C1E80" w:rsidP="005C1E80">
      <w:pPr>
        <w:jc w:val="both"/>
        <w:rPr>
          <w:rFonts w:ascii="Aptos" w:hAnsi="Aptos"/>
          <w:sz w:val="24"/>
          <w:szCs w:val="24"/>
        </w:rPr>
      </w:pPr>
      <w:r>
        <w:rPr>
          <w:rFonts w:ascii="Aptos" w:hAnsi="Aptos"/>
          <w:sz w:val="24"/>
          <w:szCs w:val="24"/>
        </w:rPr>
        <w:t>Općina kroz godišnji i srednjoročni plan razvoja sustava civilne zaštite i  financijske planske dokumenti koji omogućavanju razvoj sustava izrađuju  podlogu za osiguranje opreme i drugih sredstava koja su potrebna operativnim tijelima za zaštitu i sprječavanje stradanja imovine, gospodarskih funkcija i stradanja stanovništva.</w:t>
      </w:r>
    </w:p>
    <w:p w:rsidR="005C1E80" w:rsidRDefault="005C1E80" w:rsidP="00A66748">
      <w:pPr>
        <w:numPr>
          <w:ilvl w:val="1"/>
          <w:numId w:val="68"/>
        </w:numPr>
        <w:spacing w:after="0" w:line="240" w:lineRule="auto"/>
        <w:jc w:val="both"/>
        <w:outlineLvl w:val="1"/>
        <w:rPr>
          <w:rFonts w:ascii="Aptos" w:eastAsia="Times New Roman" w:hAnsi="Aptos" w:cs="Times New Roman"/>
          <w:b/>
          <w:color w:val="000000"/>
          <w:sz w:val="24"/>
          <w:szCs w:val="24"/>
          <w:lang w:eastAsia="zh-CN"/>
        </w:rPr>
      </w:pPr>
      <w:bookmarkStart w:id="149" w:name="_Toc87270621"/>
      <w:bookmarkStart w:id="150" w:name="_Toc208190541"/>
      <w:bookmarkStart w:id="151" w:name="_Toc177515299"/>
      <w:bookmarkStart w:id="152" w:name="_Toc132273594"/>
      <w:r>
        <w:rPr>
          <w:rFonts w:ascii="Aptos" w:eastAsia="Times New Roman" w:hAnsi="Aptos" w:cs="Times New Roman"/>
          <w:b/>
          <w:color w:val="000000"/>
          <w:sz w:val="24"/>
          <w:szCs w:val="24"/>
          <w:lang w:eastAsia="zh-CN"/>
        </w:rPr>
        <w:t>Izvori sredstava za žurnu pomoć</w:t>
      </w:r>
      <w:bookmarkEnd w:id="149"/>
      <w:bookmarkEnd w:id="150"/>
      <w:bookmarkEnd w:id="151"/>
      <w:bookmarkEnd w:id="152"/>
    </w:p>
    <w:p w:rsidR="005C1E80" w:rsidRDefault="005C1E80" w:rsidP="005C1E80">
      <w:pPr>
        <w:rPr>
          <w:rFonts w:ascii="Aptos" w:hAnsi="Aptos"/>
          <w:sz w:val="24"/>
          <w:szCs w:val="24"/>
        </w:rPr>
      </w:pPr>
    </w:p>
    <w:p w:rsidR="005C1E80" w:rsidRDefault="005C1E80" w:rsidP="005C1E80">
      <w:pPr>
        <w:jc w:val="both"/>
        <w:rPr>
          <w:rFonts w:ascii="Aptos" w:hAnsi="Aptos"/>
          <w:sz w:val="24"/>
          <w:szCs w:val="24"/>
        </w:rPr>
      </w:pPr>
      <w:r>
        <w:rPr>
          <w:rFonts w:ascii="Aptos" w:hAnsi="Aptos"/>
          <w:sz w:val="24"/>
          <w:szCs w:val="24"/>
        </w:rPr>
        <w:t>Žurna pomoć dodjeljuje se u svrhu djelomične sanacije štete od prirodnih nepogoda u tekućoj godini. Žurna pomoć dodjeljuje se iz:</w:t>
      </w:r>
    </w:p>
    <w:p w:rsidR="005C1E80" w:rsidRDefault="005C1E80" w:rsidP="005C1E80">
      <w:pPr>
        <w:rPr>
          <w:rFonts w:ascii="Aptos" w:hAnsi="Aptos"/>
          <w:sz w:val="24"/>
          <w:szCs w:val="24"/>
        </w:rPr>
      </w:pPr>
      <w:r>
        <w:rPr>
          <w:rFonts w:ascii="Aptos" w:hAnsi="Aptos"/>
          <w:sz w:val="24"/>
          <w:szCs w:val="24"/>
        </w:rPr>
        <w:t xml:space="preserve">1. državnog proračuna </w:t>
      </w:r>
    </w:p>
    <w:p w:rsidR="005C1E80" w:rsidRDefault="005C1E80" w:rsidP="005C1E80">
      <w:pPr>
        <w:rPr>
          <w:rFonts w:ascii="Aptos" w:hAnsi="Aptos"/>
          <w:sz w:val="24"/>
          <w:szCs w:val="24"/>
        </w:rPr>
      </w:pPr>
      <w:r>
        <w:rPr>
          <w:rFonts w:ascii="Aptos" w:hAnsi="Aptos"/>
          <w:sz w:val="24"/>
          <w:szCs w:val="24"/>
        </w:rPr>
        <w:t>2. proračuna jedinice lokalne i područne (regionalne) samouprave.</w:t>
      </w:r>
    </w:p>
    <w:p w:rsidR="005C1E80" w:rsidRDefault="005C1E80" w:rsidP="005C1E80">
      <w:pPr>
        <w:jc w:val="both"/>
        <w:rPr>
          <w:rFonts w:ascii="Aptos" w:hAnsi="Aptos"/>
          <w:sz w:val="24"/>
          <w:szCs w:val="24"/>
        </w:rPr>
      </w:pPr>
      <w:r>
        <w:rPr>
          <w:rFonts w:ascii="Aptos" w:hAnsi="Aptos"/>
          <w:sz w:val="24"/>
          <w:szCs w:val="24"/>
        </w:rPr>
        <w:lastRenderedPageBreak/>
        <w:t>U pravilu se dodjeljuje kao predujam i ne isključuje dodjelu pomoći u postupku koji je uređen Zakonom o ublažavanju i uklanjanju posljedica prirodnih nepogoda. Žurna pomoć uračunava se u iznos pomoći za djelomičnu sanaciju posljedica prirodnih nepogoda. Ako je iznos predujma veći od iznosa pomoći utvrđene za konačne potvrđene štete u Registru šteta, jedinice lokalne samouprave dužne su osigurati povrat viška dodijeljenih sredstava u proračun.</w:t>
      </w:r>
    </w:p>
    <w:p w:rsidR="005C1E80" w:rsidRDefault="005C1E80" w:rsidP="005C1E80">
      <w:pPr>
        <w:jc w:val="both"/>
        <w:rPr>
          <w:rFonts w:ascii="Aptos" w:hAnsi="Aptos"/>
          <w:sz w:val="24"/>
          <w:szCs w:val="24"/>
        </w:rPr>
      </w:pPr>
    </w:p>
    <w:p w:rsidR="005C1E80" w:rsidRDefault="005C1E80" w:rsidP="00A66748">
      <w:pPr>
        <w:numPr>
          <w:ilvl w:val="1"/>
          <w:numId w:val="68"/>
        </w:numPr>
        <w:spacing w:after="0" w:line="240" w:lineRule="auto"/>
        <w:jc w:val="both"/>
        <w:outlineLvl w:val="1"/>
        <w:rPr>
          <w:rFonts w:ascii="Aptos" w:eastAsia="Times New Roman" w:hAnsi="Aptos" w:cs="Times New Roman"/>
          <w:b/>
          <w:color w:val="000000"/>
          <w:sz w:val="24"/>
          <w:szCs w:val="24"/>
          <w:lang w:eastAsia="zh-CN"/>
        </w:rPr>
      </w:pPr>
      <w:bookmarkStart w:id="153" w:name="_Toc177515301"/>
      <w:bookmarkStart w:id="154" w:name="_Toc132273596"/>
      <w:bookmarkStart w:id="155" w:name="_Toc208190542"/>
      <w:r>
        <w:rPr>
          <w:rFonts w:ascii="Aptos" w:eastAsia="Times New Roman" w:hAnsi="Aptos" w:cs="Times New Roman"/>
          <w:b/>
          <w:color w:val="000000"/>
          <w:sz w:val="24"/>
          <w:szCs w:val="24"/>
          <w:lang w:eastAsia="zh-CN"/>
        </w:rPr>
        <w:t>Izvješća , registar šteta i nadzor</w:t>
      </w:r>
      <w:bookmarkEnd w:id="153"/>
      <w:bookmarkEnd w:id="154"/>
      <w:bookmarkEnd w:id="155"/>
    </w:p>
    <w:p w:rsidR="005C1E80" w:rsidRDefault="005C1E80" w:rsidP="005C1E80">
      <w:pPr>
        <w:jc w:val="both"/>
        <w:rPr>
          <w:rFonts w:ascii="Aptos" w:hAnsi="Aptos"/>
          <w:sz w:val="24"/>
          <w:szCs w:val="24"/>
          <w:lang w:eastAsia="zh-CN"/>
        </w:rPr>
      </w:pPr>
    </w:p>
    <w:p w:rsidR="005C1E80" w:rsidRDefault="005C1E80" w:rsidP="005C1E80">
      <w:pPr>
        <w:jc w:val="both"/>
        <w:rPr>
          <w:rFonts w:ascii="Aptos" w:hAnsi="Aptos"/>
          <w:sz w:val="24"/>
          <w:szCs w:val="24"/>
        </w:rPr>
      </w:pPr>
      <w:r>
        <w:rPr>
          <w:rFonts w:ascii="Aptos" w:hAnsi="Aptos"/>
          <w:sz w:val="24"/>
          <w:szCs w:val="24"/>
        </w:rPr>
        <w:t>Općinsko  povjerenstvo putem Registra šteta podnosi županijskom povjerenstvu izvješće o utrošku sredstava za ublažavanje i djelomično uklanjanje posljedica prirodnih nepogoda dodijeljenih iz državnog proračuna Republike Hrvatske te  dostavlja i druge podatke u pisanom i/ili elektroničkom obliku koji osobito uključuju obrazloženja koja se odnose na utrošak i namjensko korištenje novčanih sredstava dodijeljenih iz državnog proračuna Republike Hrvatske, uključujući i izvore sredstava iz fondova Europske unije.</w:t>
      </w:r>
    </w:p>
    <w:p w:rsidR="005C1E80" w:rsidRDefault="005C1E80" w:rsidP="005C1E80">
      <w:pPr>
        <w:jc w:val="both"/>
        <w:rPr>
          <w:rFonts w:ascii="Aptos" w:hAnsi="Aptos"/>
          <w:sz w:val="24"/>
          <w:szCs w:val="24"/>
        </w:rPr>
      </w:pPr>
      <w:r>
        <w:rPr>
          <w:rFonts w:ascii="Aptos" w:hAnsi="Aptos"/>
          <w:sz w:val="24"/>
          <w:szCs w:val="24"/>
        </w:rPr>
        <w:t>Rok podnošenje izvješća je 20 dana od dana donošenja Odluke Vlade Republike Hrvatske o dodjeli sredstava pomoći. (</w:t>
      </w:r>
      <w:hyperlink r:id="rId79" w:history="1">
        <w:r>
          <w:rPr>
            <w:rFonts w:ascii="Aptos" w:hAnsi="Aptos"/>
            <w:color w:val="0563C1" w:themeColor="hyperlink"/>
            <w:sz w:val="24"/>
            <w:szCs w:val="24"/>
            <w:u w:val="single"/>
          </w:rPr>
          <w:t>prilog 7</w:t>
        </w:r>
      </w:hyperlink>
      <w:r>
        <w:rPr>
          <w:rFonts w:ascii="Aptos" w:hAnsi="Aptos"/>
          <w:sz w:val="24"/>
          <w:szCs w:val="24"/>
        </w:rPr>
        <w:t>)</w:t>
      </w:r>
    </w:p>
    <w:p w:rsidR="005C1E80" w:rsidRDefault="005C1E80" w:rsidP="005C1E80">
      <w:pPr>
        <w:spacing w:after="135" w:line="240" w:lineRule="auto"/>
        <w:jc w:val="both"/>
        <w:rPr>
          <w:rFonts w:ascii="Aptos" w:eastAsia="Times New Roman" w:hAnsi="Aptos" w:cstheme="minorHAnsi"/>
          <w:sz w:val="24"/>
          <w:szCs w:val="24"/>
        </w:rPr>
      </w:pPr>
      <w:r>
        <w:rPr>
          <w:rFonts w:ascii="Aptos" w:eastAsia="Times New Roman" w:hAnsi="Aptos" w:cstheme="minorHAnsi"/>
          <w:sz w:val="24"/>
          <w:szCs w:val="24"/>
        </w:rPr>
        <w:t>Županijsko povjerenstvo podnosi Državnom povjerenstvu izvješće o utrošku dodijeljenih sredstava, putem Registra šteta i pisanim putem.</w:t>
      </w:r>
    </w:p>
    <w:p w:rsidR="005C1E80" w:rsidRDefault="005C1E80" w:rsidP="005C1E80">
      <w:pPr>
        <w:spacing w:after="135" w:line="240" w:lineRule="auto"/>
        <w:jc w:val="both"/>
        <w:rPr>
          <w:rFonts w:ascii="Aptos" w:eastAsia="Times New Roman" w:hAnsi="Aptos" w:cstheme="minorHAnsi"/>
          <w:sz w:val="24"/>
          <w:szCs w:val="24"/>
        </w:rPr>
      </w:pPr>
      <w:r>
        <w:rPr>
          <w:rFonts w:ascii="Aptos" w:eastAsia="Times New Roman" w:hAnsi="Aptos" w:cstheme="minorHAnsi"/>
          <w:sz w:val="24"/>
          <w:szCs w:val="24"/>
        </w:rPr>
        <w:t>U izvješću se navode sredstva koja se dodjeljuju na razini županije  ili općine, kao i sredstva iz drugih izvora.</w:t>
      </w:r>
    </w:p>
    <w:p w:rsidR="005C1E80" w:rsidRDefault="005C1E80" w:rsidP="005C1E80">
      <w:pPr>
        <w:spacing w:after="135" w:line="240" w:lineRule="auto"/>
        <w:jc w:val="both"/>
        <w:rPr>
          <w:rFonts w:ascii="Aptos" w:eastAsia="Times New Roman" w:hAnsi="Aptos" w:cstheme="minorHAnsi"/>
          <w:sz w:val="24"/>
          <w:szCs w:val="24"/>
        </w:rPr>
      </w:pPr>
      <w:r>
        <w:rPr>
          <w:rFonts w:ascii="Aptos" w:eastAsia="Times New Roman" w:hAnsi="Aptos" w:cstheme="minorHAnsi"/>
          <w:sz w:val="24"/>
          <w:szCs w:val="24"/>
        </w:rPr>
        <w:t>Rok podnošenja je 30 dana od dana donošenja Odluke Vlade Republike Hrvatske o dodjeli sredstava pomoći. (</w:t>
      </w:r>
      <w:hyperlink r:id="rId80" w:history="1">
        <w:r>
          <w:rPr>
            <w:rFonts w:ascii="Aptos" w:eastAsiaTheme="majorEastAsia" w:hAnsi="Aptos" w:cstheme="minorHAnsi"/>
            <w:color w:val="0563C1" w:themeColor="hyperlink"/>
            <w:sz w:val="24"/>
            <w:szCs w:val="24"/>
            <w:u w:val="single"/>
          </w:rPr>
          <w:t>prilog 8</w:t>
        </w:r>
      </w:hyperlink>
      <w:r>
        <w:rPr>
          <w:rFonts w:ascii="Aptos" w:eastAsia="Times New Roman" w:hAnsi="Aptos" w:cstheme="minorHAnsi"/>
          <w:sz w:val="24"/>
          <w:szCs w:val="24"/>
        </w:rPr>
        <w:t>)</w:t>
      </w:r>
    </w:p>
    <w:p w:rsidR="005C1E80" w:rsidRDefault="005C1E80" w:rsidP="005C1E80">
      <w:pPr>
        <w:jc w:val="both"/>
        <w:rPr>
          <w:rFonts w:ascii="Aptos" w:hAnsi="Aptos" w:cstheme="minorHAnsi"/>
          <w:sz w:val="24"/>
          <w:szCs w:val="24"/>
        </w:rPr>
      </w:pPr>
      <w:r>
        <w:rPr>
          <w:rFonts w:ascii="Aptos" w:hAnsi="Aptos" w:cstheme="minorHAnsi"/>
          <w:sz w:val="24"/>
          <w:szCs w:val="24"/>
        </w:rPr>
        <w:t>U Registar šteta unose se prijave prvih procjena šteta i prijave konačnih procjena šteta, jedinstvene cijene te izvješća o utrošku dodijeljenih sredstava pomoći općinskih povjerenstava u skladu s obrascima i elektroničkim sučeljem.</w:t>
      </w:r>
      <w:r>
        <w:rPr>
          <w:rFonts w:ascii="Aptos" w:hAnsi="Aptos" w:cstheme="minorHAnsi"/>
          <w:sz w:val="24"/>
          <w:szCs w:val="24"/>
          <w:vertAlign w:val="superscript"/>
        </w:rPr>
        <w:footnoteReference w:id="14"/>
      </w:r>
    </w:p>
    <w:p w:rsidR="005C1E80" w:rsidRDefault="005C1E80" w:rsidP="005C1E80">
      <w:pPr>
        <w:jc w:val="both"/>
        <w:rPr>
          <w:rFonts w:ascii="Aptos" w:hAnsi="Aptos" w:cstheme="minorHAnsi"/>
          <w:sz w:val="24"/>
          <w:szCs w:val="24"/>
        </w:rPr>
      </w:pPr>
      <w:r>
        <w:rPr>
          <w:rFonts w:ascii="Aptos" w:hAnsi="Aptos" w:cstheme="minorHAnsi"/>
          <w:sz w:val="24"/>
          <w:szCs w:val="24"/>
        </w:rPr>
        <w:t>Podaci iz Registra šteta koriste se kao osnova za određenje sredstava pomoći za djelomičnu sanaciju šteta nastalih zbog prirodnih nepogoda.</w:t>
      </w:r>
    </w:p>
    <w:p w:rsidR="005C1E80" w:rsidRDefault="005C1E80" w:rsidP="005C1E80">
      <w:pPr>
        <w:jc w:val="both"/>
        <w:rPr>
          <w:rFonts w:ascii="Aptos" w:hAnsi="Aptos" w:cstheme="minorHAnsi"/>
          <w:sz w:val="24"/>
          <w:szCs w:val="24"/>
        </w:rPr>
      </w:pPr>
      <w:r>
        <w:rPr>
          <w:rFonts w:ascii="Aptos" w:hAnsi="Aptos" w:cstheme="minorHAnsi"/>
          <w:sz w:val="24"/>
          <w:szCs w:val="24"/>
        </w:rPr>
        <w:t>Nadzor nad uočenim nepravilnostima provode nadležna ministarstva. Proračunski nadzor provodi ministarstvo nadležno za financije.</w:t>
      </w: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pStyle w:val="Bezproreda"/>
        <w:rPr>
          <w:rFonts w:ascii="Times New Roman" w:hAnsi="Times New Roman" w:cs="Times New Roman"/>
          <w:b/>
          <w:bCs/>
          <w:sz w:val="24"/>
          <w:szCs w:val="24"/>
        </w:rPr>
      </w:pPr>
      <w:r w:rsidRPr="005C1E80">
        <w:rPr>
          <w:rFonts w:ascii="Times New Roman" w:hAnsi="Times New Roman" w:cs="Times New Roman"/>
          <w:b/>
          <w:bCs/>
          <w:sz w:val="24"/>
          <w:szCs w:val="24"/>
        </w:rPr>
        <w:t>51. Odluka o općinskim porezima</w:t>
      </w:r>
    </w:p>
    <w:p w:rsidR="005C1E80" w:rsidRDefault="005C1E80" w:rsidP="005C1E80">
      <w:pPr>
        <w:pStyle w:val="Bezproreda"/>
        <w:rPr>
          <w:rFonts w:ascii="Times New Roman" w:hAnsi="Times New Roman" w:cs="Times New Roman"/>
          <w:b/>
          <w:bCs/>
          <w:sz w:val="24"/>
          <w:szCs w:val="24"/>
        </w:rPr>
      </w:pPr>
    </w:p>
    <w:p w:rsidR="005C1E80" w:rsidRPr="005C1E80" w:rsidRDefault="005C1E80" w:rsidP="005C1E80">
      <w:pPr>
        <w:pStyle w:val="Bezproreda"/>
        <w:rPr>
          <w:rFonts w:ascii="Times New Roman" w:hAnsi="Times New Roman" w:cs="Times New Roman"/>
          <w:b/>
          <w:bCs/>
          <w:sz w:val="24"/>
          <w:szCs w:val="24"/>
        </w:rPr>
      </w:pPr>
    </w:p>
    <w:p w:rsidR="005C1E80" w:rsidRDefault="005C1E80" w:rsidP="005C1E80">
      <w:pPr>
        <w:spacing w:after="0" w:line="240" w:lineRule="auto"/>
        <w:rPr>
          <w:rFonts w:ascii="Calibri" w:eastAsia="Times New Roman" w:hAnsi="Calibri" w:cs="Calibri"/>
          <w:sz w:val="24"/>
          <w:szCs w:val="24"/>
          <w:lang w:eastAsia="hr-HR"/>
        </w:rPr>
      </w:pPr>
      <w:r>
        <w:rPr>
          <w:rFonts w:ascii="Calibri" w:eastAsia="Times New Roman" w:hAnsi="Calibri" w:cs="Calibri"/>
          <w:noProof/>
          <w:sz w:val="24"/>
          <w:szCs w:val="24"/>
          <w:lang w:eastAsia="hr-HR"/>
        </w:rPr>
        <w:lastRenderedPageBreak/>
        <w:drawing>
          <wp:inline distT="0" distB="0" distL="0" distR="0">
            <wp:extent cx="942975" cy="706755"/>
            <wp:effectExtent l="19050" t="0" r="9525" b="0"/>
            <wp:docPr id="2055716894"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0" descr="HR-grb_1.jpg"/>
                    <pic:cNvPicPr>
                      <a:picLocks noChangeAspect="1"/>
                    </pic:cNvPicPr>
                  </pic:nvPicPr>
                  <pic:blipFill>
                    <a:blip r:embed="rId81" cstate="print"/>
                    <a:stretch>
                      <a:fillRect/>
                    </a:stretch>
                  </pic:blipFill>
                  <pic:spPr>
                    <a:xfrm>
                      <a:off x="0" y="0"/>
                      <a:ext cx="942975" cy="707231"/>
                    </a:xfrm>
                    <a:prstGeom prst="rect">
                      <a:avLst/>
                    </a:prstGeom>
                  </pic:spPr>
                </pic:pic>
              </a:graphicData>
            </a:graphic>
          </wp:inline>
        </w:drawing>
      </w:r>
    </w:p>
    <w:p w:rsidR="005C1E80" w:rsidRDefault="005C1E80" w:rsidP="005C1E80">
      <w:pPr>
        <w:spacing w:after="0" w:line="240" w:lineRule="auto"/>
        <w:rPr>
          <w:rFonts w:ascii="Arial" w:eastAsia="Times New Roman" w:hAnsi="Arial" w:cs="Arial"/>
          <w:b/>
          <w:sz w:val="24"/>
          <w:szCs w:val="24"/>
          <w:lang w:eastAsia="hr-HR"/>
        </w:rPr>
      </w:pPr>
      <w:r>
        <w:rPr>
          <w:rFonts w:ascii="Arial" w:eastAsia="Times New Roman" w:hAnsi="Arial" w:cs="Arial"/>
          <w:b/>
          <w:sz w:val="24"/>
          <w:szCs w:val="24"/>
          <w:lang w:eastAsia="hr-HR"/>
        </w:rPr>
        <w:t xml:space="preserve">        REPUBLIKA HRVATSKA</w:t>
      </w:r>
    </w:p>
    <w:p w:rsidR="005C1E80" w:rsidRDefault="005C1E80" w:rsidP="005C1E80">
      <w:pPr>
        <w:spacing w:after="0" w:line="240" w:lineRule="auto"/>
        <w:rPr>
          <w:rFonts w:ascii="Arial" w:eastAsia="Times New Roman" w:hAnsi="Arial" w:cs="Arial"/>
          <w:b/>
          <w:sz w:val="24"/>
          <w:szCs w:val="24"/>
          <w:lang w:eastAsia="hr-HR"/>
        </w:rPr>
      </w:pPr>
      <w:r>
        <w:rPr>
          <w:rFonts w:ascii="Arial" w:eastAsia="Times New Roman" w:hAnsi="Arial" w:cs="Arial"/>
          <w:b/>
          <w:sz w:val="24"/>
          <w:szCs w:val="24"/>
          <w:lang w:eastAsia="hr-HR"/>
        </w:rPr>
        <w:t>BRODSKO-POSAVSKA ŽUPANIJA</w:t>
      </w:r>
    </w:p>
    <w:p w:rsidR="005C1E80" w:rsidRDefault="005C1E80" w:rsidP="005C1E80">
      <w:pPr>
        <w:spacing w:after="0" w:line="240" w:lineRule="auto"/>
        <w:rPr>
          <w:rFonts w:ascii="Arial" w:eastAsia="Times New Roman" w:hAnsi="Arial" w:cs="Arial"/>
          <w:b/>
          <w:sz w:val="24"/>
          <w:szCs w:val="24"/>
          <w:lang w:eastAsia="hr-HR"/>
        </w:rPr>
      </w:pPr>
      <w:r>
        <w:rPr>
          <w:rFonts w:ascii="Arial" w:eastAsia="Times New Roman" w:hAnsi="Arial" w:cs="Arial"/>
          <w:b/>
          <w:sz w:val="24"/>
          <w:szCs w:val="24"/>
          <w:lang w:eastAsia="hr-HR"/>
        </w:rPr>
        <w:t xml:space="preserve">     OPĆINA GORNJI BOGIĆEVCI</w:t>
      </w:r>
    </w:p>
    <w:p w:rsidR="005C1E80" w:rsidRDefault="005C1E80" w:rsidP="005C1E80">
      <w:pPr>
        <w:spacing w:after="0" w:line="240" w:lineRule="auto"/>
        <w:rPr>
          <w:rFonts w:ascii="Arial" w:eastAsia="Times New Roman" w:hAnsi="Arial" w:cs="Arial"/>
          <w:b/>
          <w:sz w:val="24"/>
          <w:szCs w:val="24"/>
          <w:lang w:eastAsia="hr-HR"/>
        </w:rPr>
      </w:pPr>
      <w:r>
        <w:rPr>
          <w:rFonts w:ascii="Arial" w:eastAsia="Times New Roman" w:hAnsi="Arial" w:cs="Arial"/>
          <w:b/>
          <w:sz w:val="24"/>
          <w:szCs w:val="24"/>
          <w:lang w:eastAsia="hr-HR"/>
        </w:rPr>
        <w:t xml:space="preserve">          OPĆINSKO VIJEĆE</w:t>
      </w:r>
    </w:p>
    <w:p w:rsidR="005C1E80" w:rsidRDefault="005C1E80" w:rsidP="005C1E80">
      <w:pPr>
        <w:spacing w:before="100" w:beforeAutospacing="1" w:after="100" w:afterAutospacing="1"/>
        <w:ind w:firstLine="720"/>
        <w:jc w:val="both"/>
        <w:rPr>
          <w:rFonts w:ascii="Arial" w:hAnsi="Arial" w:cs="Arial"/>
          <w:sz w:val="24"/>
          <w:szCs w:val="24"/>
        </w:rPr>
      </w:pPr>
      <w:r>
        <w:rPr>
          <w:rFonts w:ascii="Arial" w:hAnsi="Arial" w:cs="Arial"/>
          <w:sz w:val="24"/>
          <w:szCs w:val="24"/>
        </w:rPr>
        <w:t xml:space="preserve">Na temelju članka 20. stavak 1. i članka 42. Zakona o lokalnim porezima („Narodne novine“ br. 115/16, 101/17, 114/22, 114/23, </w:t>
      </w:r>
      <w:r>
        <w:rPr>
          <w:rFonts w:ascii="Arial" w:hAnsi="Arial" w:cs="Arial"/>
          <w:color w:val="000000" w:themeColor="text1"/>
          <w:sz w:val="24"/>
          <w:szCs w:val="24"/>
        </w:rPr>
        <w:t>152/24) te</w:t>
      </w:r>
      <w:r>
        <w:rPr>
          <w:color w:val="000000" w:themeColor="text1"/>
          <w:sz w:val="24"/>
          <w:szCs w:val="24"/>
        </w:rPr>
        <w:t xml:space="preserve"> </w:t>
      </w:r>
      <w:r>
        <w:rPr>
          <w:rFonts w:ascii="Arial" w:hAnsi="Arial" w:cs="Arial"/>
          <w:color w:val="000000" w:themeColor="text1"/>
          <w:sz w:val="24"/>
          <w:szCs w:val="24"/>
        </w:rPr>
        <w:t>čl</w:t>
      </w:r>
      <w:r>
        <w:rPr>
          <w:rFonts w:ascii="Arial" w:hAnsi="Arial" w:cs="Arial"/>
          <w:sz w:val="24"/>
          <w:szCs w:val="24"/>
        </w:rPr>
        <w:t>anka 39. Statuta Općine Gornji Bogićevci ("Službeni glasnik Općine Gornji Bogićevci 2/21) Općinsko vijeće Općine Gornji Bogićevci na 5</w:t>
      </w:r>
      <w:r>
        <w:rPr>
          <w:rFonts w:ascii="Arial" w:hAnsi="Arial" w:cs="Arial"/>
          <w:color w:val="000000" w:themeColor="text1"/>
          <w:sz w:val="24"/>
          <w:szCs w:val="24"/>
        </w:rPr>
        <w:t>. sjednici održanoj 22.12. 2025. g</w:t>
      </w:r>
      <w:r>
        <w:rPr>
          <w:rFonts w:ascii="Arial" w:hAnsi="Arial" w:cs="Arial"/>
          <w:sz w:val="24"/>
          <w:szCs w:val="24"/>
        </w:rPr>
        <w:t xml:space="preserve">odine, donijelo je </w:t>
      </w:r>
    </w:p>
    <w:p w:rsidR="005C1E80" w:rsidRDefault="005C1E80" w:rsidP="005C1E80">
      <w:pPr>
        <w:spacing w:after="0" w:line="240" w:lineRule="auto"/>
        <w:jc w:val="center"/>
        <w:rPr>
          <w:rFonts w:ascii="Arial" w:hAnsi="Arial" w:cs="Arial"/>
          <w:b/>
          <w:bCs/>
          <w:sz w:val="24"/>
          <w:szCs w:val="24"/>
        </w:rPr>
      </w:pPr>
      <w:r>
        <w:rPr>
          <w:rFonts w:ascii="Arial" w:hAnsi="Arial" w:cs="Arial"/>
          <w:b/>
          <w:bCs/>
          <w:sz w:val="24"/>
          <w:szCs w:val="24"/>
        </w:rPr>
        <w:t>O D L U K U</w:t>
      </w:r>
    </w:p>
    <w:p w:rsidR="005C1E80" w:rsidRDefault="005C1E80" w:rsidP="005C1E80">
      <w:pPr>
        <w:spacing w:after="0" w:line="240" w:lineRule="auto"/>
        <w:jc w:val="center"/>
        <w:rPr>
          <w:rFonts w:ascii="Arial" w:hAnsi="Arial" w:cs="Arial"/>
          <w:b/>
          <w:bCs/>
          <w:sz w:val="24"/>
          <w:szCs w:val="24"/>
        </w:rPr>
      </w:pPr>
      <w:r>
        <w:rPr>
          <w:rFonts w:ascii="Arial" w:hAnsi="Arial" w:cs="Arial"/>
          <w:b/>
          <w:bCs/>
          <w:sz w:val="24"/>
          <w:szCs w:val="24"/>
        </w:rPr>
        <w:t>o porezima Općine Gornji Bogićevci</w:t>
      </w:r>
    </w:p>
    <w:p w:rsidR="005C1E80" w:rsidRDefault="005C1E80" w:rsidP="005C1E80">
      <w:pPr>
        <w:spacing w:after="0" w:line="240" w:lineRule="auto"/>
        <w:jc w:val="both"/>
        <w:rPr>
          <w:rFonts w:ascii="Arial" w:hAnsi="Arial" w:cs="Arial"/>
          <w:sz w:val="24"/>
          <w:szCs w:val="24"/>
        </w:rPr>
      </w:pPr>
    </w:p>
    <w:p w:rsidR="005C1E80" w:rsidRDefault="005C1E80" w:rsidP="005C1E80">
      <w:pPr>
        <w:spacing w:before="240" w:line="240" w:lineRule="auto"/>
        <w:jc w:val="center"/>
        <w:rPr>
          <w:rFonts w:ascii="Arial" w:hAnsi="Arial" w:cs="Arial"/>
          <w:b/>
          <w:bCs/>
          <w:sz w:val="24"/>
          <w:szCs w:val="24"/>
        </w:rPr>
      </w:pPr>
      <w:r>
        <w:rPr>
          <w:rFonts w:ascii="Arial" w:hAnsi="Arial" w:cs="Arial"/>
          <w:b/>
          <w:bCs/>
          <w:sz w:val="24"/>
          <w:szCs w:val="24"/>
        </w:rPr>
        <w:t>I. OPĆE ODREDBE</w:t>
      </w:r>
    </w:p>
    <w:p w:rsidR="005C1E80" w:rsidRDefault="005C1E80" w:rsidP="005C1E80">
      <w:pPr>
        <w:spacing w:before="240" w:after="0" w:line="240" w:lineRule="auto"/>
        <w:jc w:val="center"/>
        <w:rPr>
          <w:rFonts w:ascii="Arial" w:hAnsi="Arial" w:cs="Arial"/>
          <w:sz w:val="24"/>
          <w:szCs w:val="24"/>
        </w:rPr>
      </w:pPr>
      <w:r>
        <w:rPr>
          <w:rFonts w:ascii="Arial" w:hAnsi="Arial" w:cs="Arial"/>
          <w:sz w:val="24"/>
          <w:szCs w:val="24"/>
        </w:rPr>
        <w:t>Članak 1.</w:t>
      </w:r>
    </w:p>
    <w:p w:rsidR="005C1E80" w:rsidRDefault="005C1E80" w:rsidP="005C1E80">
      <w:pPr>
        <w:spacing w:after="0" w:line="240" w:lineRule="auto"/>
        <w:ind w:firstLine="708"/>
        <w:jc w:val="both"/>
        <w:rPr>
          <w:rFonts w:ascii="Arial" w:hAnsi="Arial" w:cs="Arial"/>
          <w:sz w:val="24"/>
          <w:szCs w:val="24"/>
        </w:rPr>
      </w:pPr>
      <w:r>
        <w:rPr>
          <w:rFonts w:ascii="Arial" w:hAnsi="Arial" w:cs="Arial"/>
          <w:sz w:val="24"/>
          <w:szCs w:val="24"/>
        </w:rPr>
        <w:t xml:space="preserve">Ovom se Odlukom </w:t>
      </w:r>
      <w:bookmarkStart w:id="156" w:name="_Hlk117254925"/>
      <w:r>
        <w:rPr>
          <w:rFonts w:ascii="Arial" w:hAnsi="Arial" w:cs="Arial"/>
          <w:sz w:val="24"/>
          <w:szCs w:val="24"/>
        </w:rPr>
        <w:t>propisuju vrste poreza koje pripadaju</w:t>
      </w:r>
      <w:r>
        <w:rPr>
          <w:sz w:val="24"/>
          <w:szCs w:val="24"/>
        </w:rPr>
        <w:t xml:space="preserve"> </w:t>
      </w:r>
      <w:r>
        <w:rPr>
          <w:rFonts w:ascii="Arial" w:hAnsi="Arial" w:cs="Arial"/>
          <w:sz w:val="24"/>
          <w:szCs w:val="24"/>
        </w:rPr>
        <w:t xml:space="preserve">Općini Gornji Bogićevci, visina stope poreza na potrošnju, visina poreza </w:t>
      </w:r>
      <w:r>
        <w:rPr>
          <w:rFonts w:ascii="Arial" w:hAnsi="Arial" w:cs="Arial"/>
          <w:color w:val="000000" w:themeColor="text1"/>
          <w:sz w:val="24"/>
          <w:szCs w:val="24"/>
        </w:rPr>
        <w:t>na nekretnine (čl.27. Zakona o lokalnim porezima)</w:t>
      </w:r>
      <w:r>
        <w:rPr>
          <w:rFonts w:ascii="Arial" w:hAnsi="Arial" w:cs="Arial"/>
          <w:sz w:val="24"/>
          <w:szCs w:val="24"/>
        </w:rPr>
        <w:t>, predmet oporezivanja porezom na korištenje javnih površina, kao i visina, način i uvjeti plaćanja poreza na korištenje javnih površina te nadležno porezno tijelo za utvrđivanje, evidentiranje, nadzor, naplatu i ovrhu radi naplate navedenih poreza.​</w:t>
      </w:r>
    </w:p>
    <w:bookmarkEnd w:id="156"/>
    <w:p w:rsidR="005C1E80" w:rsidRDefault="005C1E80" w:rsidP="005C1E80">
      <w:pPr>
        <w:spacing w:after="0" w:line="240" w:lineRule="auto"/>
        <w:jc w:val="both"/>
        <w:rPr>
          <w:rFonts w:ascii="Arial" w:hAnsi="Arial" w:cs="Arial"/>
          <w:sz w:val="24"/>
          <w:szCs w:val="24"/>
        </w:rPr>
      </w:pPr>
    </w:p>
    <w:p w:rsidR="005C1E80" w:rsidRDefault="005C1E80" w:rsidP="005C1E80">
      <w:pPr>
        <w:spacing w:before="240" w:line="240" w:lineRule="auto"/>
        <w:jc w:val="center"/>
        <w:rPr>
          <w:rFonts w:ascii="Arial" w:hAnsi="Arial" w:cs="Arial"/>
          <w:b/>
          <w:bCs/>
          <w:sz w:val="24"/>
          <w:szCs w:val="24"/>
        </w:rPr>
      </w:pPr>
      <w:r>
        <w:rPr>
          <w:rFonts w:ascii="Arial" w:hAnsi="Arial" w:cs="Arial"/>
          <w:b/>
          <w:bCs/>
          <w:sz w:val="24"/>
          <w:szCs w:val="24"/>
        </w:rPr>
        <w:t>II. VRSTE POREZA</w:t>
      </w:r>
    </w:p>
    <w:p w:rsidR="005C1E80" w:rsidRDefault="005C1E80" w:rsidP="005C1E80">
      <w:pPr>
        <w:spacing w:before="240" w:after="0" w:line="240" w:lineRule="auto"/>
        <w:jc w:val="center"/>
        <w:rPr>
          <w:rFonts w:ascii="Arial" w:hAnsi="Arial" w:cs="Arial"/>
          <w:sz w:val="24"/>
          <w:szCs w:val="24"/>
        </w:rPr>
      </w:pPr>
      <w:r>
        <w:rPr>
          <w:rFonts w:ascii="Arial" w:hAnsi="Arial" w:cs="Arial"/>
          <w:sz w:val="24"/>
          <w:szCs w:val="24"/>
        </w:rPr>
        <w:t>Članak 2.</w:t>
      </w:r>
    </w:p>
    <w:p w:rsidR="005C1E80" w:rsidRDefault="005C1E80" w:rsidP="005C1E80">
      <w:pPr>
        <w:spacing w:after="0" w:line="240" w:lineRule="auto"/>
        <w:ind w:firstLine="708"/>
        <w:jc w:val="both"/>
        <w:rPr>
          <w:rFonts w:ascii="Arial" w:hAnsi="Arial" w:cs="Arial"/>
          <w:sz w:val="24"/>
          <w:szCs w:val="24"/>
        </w:rPr>
      </w:pPr>
      <w:r>
        <w:rPr>
          <w:rFonts w:ascii="Arial" w:hAnsi="Arial" w:cs="Arial"/>
          <w:sz w:val="24"/>
          <w:szCs w:val="24"/>
        </w:rPr>
        <w:t xml:space="preserve">Općinski porezi su: </w:t>
      </w:r>
    </w:p>
    <w:p w:rsidR="005C1E80" w:rsidRDefault="005C1E80" w:rsidP="005C1E80">
      <w:pPr>
        <w:spacing w:after="0" w:line="240" w:lineRule="auto"/>
        <w:jc w:val="both"/>
        <w:rPr>
          <w:rFonts w:ascii="Arial" w:hAnsi="Arial" w:cs="Arial"/>
          <w:sz w:val="24"/>
          <w:szCs w:val="24"/>
        </w:rPr>
      </w:pPr>
      <w:r>
        <w:rPr>
          <w:rFonts w:ascii="Arial" w:hAnsi="Arial" w:cs="Arial"/>
          <w:sz w:val="24"/>
          <w:szCs w:val="24"/>
        </w:rPr>
        <w:t xml:space="preserve">1. porez na potrošnju, </w:t>
      </w:r>
    </w:p>
    <w:p w:rsidR="005C1E80" w:rsidRDefault="005C1E80" w:rsidP="005C1E80">
      <w:pPr>
        <w:spacing w:after="0" w:line="240" w:lineRule="auto"/>
        <w:jc w:val="both"/>
        <w:rPr>
          <w:rFonts w:ascii="Arial" w:hAnsi="Arial" w:cs="Arial"/>
          <w:color w:val="FF0000"/>
          <w:sz w:val="24"/>
          <w:szCs w:val="24"/>
        </w:rPr>
      </w:pPr>
      <w:r>
        <w:rPr>
          <w:rFonts w:ascii="Arial" w:hAnsi="Arial" w:cs="Arial"/>
          <w:sz w:val="24"/>
          <w:szCs w:val="24"/>
        </w:rPr>
        <w:t xml:space="preserve">2. porez na </w:t>
      </w:r>
      <w:r>
        <w:rPr>
          <w:rFonts w:ascii="Arial" w:hAnsi="Arial" w:cs="Arial"/>
          <w:color w:val="000000" w:themeColor="text1"/>
          <w:sz w:val="24"/>
          <w:szCs w:val="24"/>
        </w:rPr>
        <w:t>nekretnine (čl.27 Zakona o lokalnim porezima),</w:t>
      </w:r>
    </w:p>
    <w:p w:rsidR="005C1E80" w:rsidRDefault="005C1E80" w:rsidP="005C1E80">
      <w:pPr>
        <w:spacing w:after="0" w:line="240" w:lineRule="auto"/>
        <w:jc w:val="both"/>
        <w:rPr>
          <w:rFonts w:ascii="Arial" w:hAnsi="Arial" w:cs="Arial"/>
          <w:sz w:val="24"/>
          <w:szCs w:val="24"/>
        </w:rPr>
      </w:pPr>
      <w:r>
        <w:rPr>
          <w:rFonts w:ascii="Arial" w:hAnsi="Arial" w:cs="Arial"/>
          <w:sz w:val="24"/>
          <w:szCs w:val="24"/>
        </w:rPr>
        <w:t xml:space="preserve">3. porez na korištenje javnih površina. </w:t>
      </w:r>
    </w:p>
    <w:p w:rsidR="005C1E80" w:rsidRDefault="005C1E80" w:rsidP="005C1E80">
      <w:pPr>
        <w:spacing w:after="0" w:line="240" w:lineRule="auto"/>
        <w:jc w:val="both"/>
        <w:rPr>
          <w:rFonts w:ascii="Arial" w:hAnsi="Arial" w:cs="Arial"/>
          <w:sz w:val="24"/>
          <w:szCs w:val="24"/>
        </w:rPr>
      </w:pPr>
    </w:p>
    <w:p w:rsidR="005C1E80" w:rsidRDefault="005C1E80" w:rsidP="005C1E80">
      <w:pPr>
        <w:spacing w:line="240" w:lineRule="auto"/>
        <w:jc w:val="center"/>
        <w:rPr>
          <w:rFonts w:ascii="Arial" w:hAnsi="Arial" w:cs="Arial"/>
          <w:b/>
          <w:bCs/>
          <w:sz w:val="24"/>
          <w:szCs w:val="24"/>
        </w:rPr>
      </w:pPr>
      <w:r>
        <w:rPr>
          <w:rFonts w:ascii="Arial" w:hAnsi="Arial" w:cs="Arial"/>
          <w:b/>
          <w:bCs/>
          <w:sz w:val="24"/>
          <w:szCs w:val="24"/>
        </w:rPr>
        <w:t>III. POREZ NA POTROŠNJU</w:t>
      </w:r>
    </w:p>
    <w:p w:rsidR="005C1E80" w:rsidRDefault="005C1E80" w:rsidP="005C1E80">
      <w:pPr>
        <w:spacing w:after="0" w:line="240" w:lineRule="auto"/>
        <w:jc w:val="center"/>
        <w:rPr>
          <w:rFonts w:ascii="Arial" w:hAnsi="Arial" w:cs="Arial"/>
          <w:sz w:val="24"/>
          <w:szCs w:val="24"/>
        </w:rPr>
      </w:pPr>
      <w:r>
        <w:rPr>
          <w:rFonts w:ascii="Arial" w:hAnsi="Arial" w:cs="Arial"/>
          <w:sz w:val="24"/>
          <w:szCs w:val="24"/>
        </w:rPr>
        <w:t>Članak 3.</w:t>
      </w:r>
    </w:p>
    <w:p w:rsidR="005C1E80" w:rsidRDefault="005C1E80" w:rsidP="005C1E80">
      <w:pPr>
        <w:spacing w:after="0" w:line="240" w:lineRule="auto"/>
        <w:ind w:firstLine="708"/>
        <w:jc w:val="both"/>
        <w:rPr>
          <w:rFonts w:ascii="Arial" w:hAnsi="Arial" w:cs="Arial"/>
          <w:color w:val="000000" w:themeColor="text1"/>
          <w:sz w:val="24"/>
          <w:szCs w:val="24"/>
        </w:rPr>
      </w:pPr>
      <w:r>
        <w:rPr>
          <w:rFonts w:ascii="Arial" w:hAnsi="Arial" w:cs="Arial"/>
          <w:color w:val="000000" w:themeColor="text1"/>
          <w:sz w:val="24"/>
          <w:szCs w:val="24"/>
        </w:rPr>
        <w:t>Stopa poreza na potrošnju iznosi 2%.</w:t>
      </w:r>
    </w:p>
    <w:p w:rsidR="005C1E80" w:rsidRDefault="005C1E80" w:rsidP="005C1E80">
      <w:pPr>
        <w:spacing w:after="0" w:line="240" w:lineRule="auto"/>
        <w:jc w:val="both"/>
        <w:rPr>
          <w:rFonts w:ascii="Arial" w:hAnsi="Arial" w:cs="Arial"/>
          <w:strike/>
          <w:sz w:val="24"/>
          <w:szCs w:val="24"/>
        </w:rPr>
      </w:pPr>
    </w:p>
    <w:p w:rsidR="005C1E80" w:rsidRDefault="005C1E80" w:rsidP="005C1E80">
      <w:pPr>
        <w:spacing w:after="0" w:line="240" w:lineRule="auto"/>
        <w:jc w:val="center"/>
        <w:rPr>
          <w:rFonts w:ascii="Arial" w:hAnsi="Arial" w:cs="Arial"/>
          <w:sz w:val="24"/>
          <w:szCs w:val="24"/>
        </w:rPr>
      </w:pPr>
      <w:r>
        <w:rPr>
          <w:rFonts w:ascii="Arial" w:hAnsi="Arial" w:cs="Arial"/>
          <w:sz w:val="24"/>
          <w:szCs w:val="24"/>
        </w:rPr>
        <w:t>Članak 4.</w:t>
      </w:r>
    </w:p>
    <w:p w:rsidR="005C1E80" w:rsidRDefault="005C1E80" w:rsidP="005C1E80">
      <w:pPr>
        <w:spacing w:after="0" w:line="240" w:lineRule="auto"/>
        <w:jc w:val="both"/>
        <w:rPr>
          <w:rFonts w:ascii="Arial" w:hAnsi="Arial" w:cs="Arial"/>
          <w:color w:val="000000" w:themeColor="text1"/>
          <w:sz w:val="24"/>
          <w:szCs w:val="24"/>
        </w:rPr>
      </w:pPr>
      <w:r>
        <w:rPr>
          <w:rFonts w:ascii="Arial" w:hAnsi="Arial" w:cs="Arial"/>
          <w:sz w:val="24"/>
          <w:szCs w:val="24"/>
        </w:rPr>
        <w:tab/>
        <w:t xml:space="preserve">Poslove utvrđivanja, evidentiranja, nadzora, naplate i ovrhe radi naplate poreza na potrošnju obavlja </w:t>
      </w:r>
      <w:bookmarkStart w:id="157" w:name="_Hlk152935418"/>
      <w:r>
        <w:rPr>
          <w:rFonts w:ascii="Arial" w:hAnsi="Arial" w:cs="Arial"/>
          <w:sz w:val="24"/>
          <w:szCs w:val="24"/>
        </w:rPr>
        <w:t>Ministarstvo financija, Porezna uprava,</w:t>
      </w:r>
      <w:r>
        <w:rPr>
          <w:rFonts w:ascii="Arial" w:hAnsi="Arial" w:cs="Arial"/>
          <w:color w:val="000000" w:themeColor="text1"/>
          <w:sz w:val="24"/>
          <w:szCs w:val="24"/>
        </w:rPr>
        <w:t xml:space="preserve"> Područni ured Slavonski Brod, Ispostava Nova Gradiška.</w:t>
      </w:r>
    </w:p>
    <w:p w:rsidR="005C1E80" w:rsidRDefault="005C1E80" w:rsidP="005C1E8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Poreznoj upravi za obavljanje poslova iz st.1.ovoga članka pripada naknada u iznosu 5% ukupno naplaćenih poreza.</w:t>
      </w:r>
    </w:p>
    <w:p w:rsidR="005C1E80" w:rsidRDefault="005C1E80" w:rsidP="005C1E8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Porezna uprava će do 15. u mjesecu, za prethodni mjesec, Općini Gornji Bogićevci dostaviti zbirna izvješća o utvrđenim i naplaćenim općinskim porezima.</w:t>
      </w:r>
    </w:p>
    <w:p w:rsidR="005C1E80" w:rsidRDefault="005C1E80" w:rsidP="005C1E80">
      <w:pPr>
        <w:spacing w:after="0" w:line="240" w:lineRule="auto"/>
        <w:jc w:val="both"/>
        <w:rPr>
          <w:rFonts w:ascii="Arial" w:hAnsi="Arial" w:cs="Arial"/>
          <w:color w:val="FF0000"/>
          <w:sz w:val="24"/>
          <w:szCs w:val="24"/>
        </w:rPr>
      </w:pPr>
    </w:p>
    <w:bookmarkEnd w:id="157"/>
    <w:p w:rsidR="005C1E80" w:rsidRDefault="005C1E80" w:rsidP="005C1E80">
      <w:pPr>
        <w:spacing w:after="0" w:line="240" w:lineRule="auto"/>
        <w:jc w:val="both"/>
        <w:rPr>
          <w:rFonts w:ascii="Arial" w:hAnsi="Arial" w:cs="Arial"/>
          <w:sz w:val="24"/>
          <w:szCs w:val="24"/>
        </w:rPr>
      </w:pPr>
    </w:p>
    <w:p w:rsidR="005C1E80" w:rsidRDefault="005C1E80" w:rsidP="005C1E80">
      <w:pPr>
        <w:spacing w:before="240" w:line="240" w:lineRule="auto"/>
        <w:jc w:val="center"/>
        <w:rPr>
          <w:rFonts w:ascii="Arial" w:hAnsi="Arial" w:cs="Arial"/>
          <w:b/>
          <w:bCs/>
          <w:color w:val="FF0000"/>
          <w:sz w:val="24"/>
          <w:szCs w:val="24"/>
        </w:rPr>
      </w:pPr>
      <w:r>
        <w:rPr>
          <w:rFonts w:ascii="Arial" w:hAnsi="Arial" w:cs="Arial"/>
          <w:b/>
          <w:bCs/>
          <w:sz w:val="24"/>
          <w:szCs w:val="24"/>
        </w:rPr>
        <w:t xml:space="preserve">IV. POREZ NA  </w:t>
      </w:r>
      <w:r>
        <w:rPr>
          <w:rFonts w:ascii="Arial" w:hAnsi="Arial" w:cs="Arial"/>
          <w:b/>
          <w:bCs/>
          <w:color w:val="000000" w:themeColor="text1"/>
          <w:sz w:val="24"/>
          <w:szCs w:val="24"/>
        </w:rPr>
        <w:t>NEKRETNINE (čl.27. Zakona o lokalnim porezima)</w:t>
      </w:r>
    </w:p>
    <w:p w:rsidR="005C1E80" w:rsidRDefault="005C1E80" w:rsidP="005C1E80">
      <w:pPr>
        <w:spacing w:before="240" w:after="0" w:line="240" w:lineRule="auto"/>
        <w:jc w:val="center"/>
        <w:rPr>
          <w:rFonts w:ascii="Arial" w:hAnsi="Arial" w:cs="Arial"/>
          <w:sz w:val="24"/>
          <w:szCs w:val="24"/>
        </w:rPr>
      </w:pPr>
      <w:r>
        <w:rPr>
          <w:rFonts w:ascii="Arial" w:hAnsi="Arial" w:cs="Arial"/>
          <w:sz w:val="24"/>
          <w:szCs w:val="24"/>
        </w:rPr>
        <w:t>Članak 5.</w:t>
      </w:r>
    </w:p>
    <w:p w:rsidR="005C1E80" w:rsidRDefault="005C1E80" w:rsidP="005C1E80">
      <w:pPr>
        <w:spacing w:after="0" w:line="240" w:lineRule="auto"/>
        <w:ind w:firstLine="708"/>
        <w:jc w:val="both"/>
        <w:rPr>
          <w:rFonts w:ascii="Arial" w:hAnsi="Arial" w:cs="Arial"/>
          <w:color w:val="FF0000"/>
          <w:sz w:val="24"/>
          <w:szCs w:val="24"/>
        </w:rPr>
      </w:pPr>
      <w:r>
        <w:rPr>
          <w:rFonts w:ascii="Arial" w:hAnsi="Arial" w:cs="Arial"/>
          <w:sz w:val="24"/>
          <w:szCs w:val="24"/>
        </w:rPr>
        <w:t xml:space="preserve">Porez na </w:t>
      </w:r>
      <w:r>
        <w:rPr>
          <w:rFonts w:ascii="Arial" w:hAnsi="Arial" w:cs="Arial"/>
          <w:color w:val="000000" w:themeColor="text1"/>
          <w:sz w:val="24"/>
          <w:szCs w:val="24"/>
        </w:rPr>
        <w:t>nekretnine na području Općine Gornji Bogićevci</w:t>
      </w:r>
      <w:r>
        <w:rPr>
          <w:rFonts w:ascii="Arial" w:hAnsi="Arial" w:cs="Arial"/>
          <w:sz w:val="24"/>
          <w:szCs w:val="24"/>
        </w:rPr>
        <w:t xml:space="preserve"> plaća se u iznosu od 1,50 eura/m</w:t>
      </w:r>
      <w:r>
        <w:rPr>
          <w:rFonts w:ascii="Arial" w:hAnsi="Arial" w:cs="Arial"/>
          <w:sz w:val="24"/>
          <w:szCs w:val="24"/>
          <w:vertAlign w:val="superscript"/>
        </w:rPr>
        <w:t>2</w:t>
      </w:r>
      <w:r>
        <w:rPr>
          <w:rFonts w:ascii="Arial" w:hAnsi="Arial" w:cs="Arial"/>
          <w:sz w:val="24"/>
          <w:szCs w:val="24"/>
        </w:rPr>
        <w:t xml:space="preserve"> korisne površine</w:t>
      </w:r>
      <w:r>
        <w:rPr>
          <w:rFonts w:ascii="Arial" w:hAnsi="Arial" w:cs="Arial"/>
          <w:color w:val="000000" w:themeColor="text1"/>
          <w:sz w:val="24"/>
          <w:szCs w:val="24"/>
        </w:rPr>
        <w:t xml:space="preserve"> nekretnine.</w:t>
      </w:r>
    </w:p>
    <w:p w:rsidR="005C1E80" w:rsidRDefault="005C1E80" w:rsidP="005C1E80">
      <w:pPr>
        <w:spacing w:after="0" w:line="240" w:lineRule="auto"/>
        <w:ind w:firstLine="708"/>
        <w:jc w:val="both"/>
        <w:rPr>
          <w:rFonts w:ascii="Arial" w:hAnsi="Arial" w:cs="Arial"/>
          <w:sz w:val="24"/>
          <w:szCs w:val="24"/>
        </w:rPr>
      </w:pPr>
    </w:p>
    <w:p w:rsidR="005C1E80" w:rsidRDefault="005C1E80" w:rsidP="005C1E80">
      <w:pPr>
        <w:spacing w:after="0" w:line="240" w:lineRule="auto"/>
        <w:jc w:val="center"/>
        <w:rPr>
          <w:rFonts w:ascii="Arial" w:hAnsi="Arial" w:cs="Arial"/>
          <w:sz w:val="24"/>
          <w:szCs w:val="24"/>
        </w:rPr>
      </w:pPr>
      <w:r>
        <w:rPr>
          <w:rFonts w:ascii="Arial" w:hAnsi="Arial" w:cs="Arial"/>
          <w:sz w:val="24"/>
          <w:szCs w:val="24"/>
        </w:rPr>
        <w:t>Članak 6.</w:t>
      </w:r>
    </w:p>
    <w:p w:rsidR="005C1E80" w:rsidRDefault="005C1E80" w:rsidP="005C1E80">
      <w:pPr>
        <w:spacing w:after="0" w:line="240" w:lineRule="auto"/>
        <w:jc w:val="both"/>
        <w:rPr>
          <w:rFonts w:ascii="Arial" w:hAnsi="Arial" w:cs="Arial"/>
          <w:color w:val="000000" w:themeColor="text1"/>
          <w:sz w:val="24"/>
          <w:szCs w:val="24"/>
        </w:rPr>
      </w:pPr>
      <w:r>
        <w:rPr>
          <w:rFonts w:ascii="Arial" w:hAnsi="Arial" w:cs="Arial"/>
          <w:sz w:val="24"/>
          <w:szCs w:val="24"/>
        </w:rPr>
        <w:t xml:space="preserve">Poslove utvrđivanja, evidentiranja, nadzora, naplate i ovrhe radi naplate poreza na nekretnine obavlja Ministarstvo financija, Porezna uprava, </w:t>
      </w:r>
      <w:r>
        <w:rPr>
          <w:rFonts w:ascii="Arial" w:hAnsi="Arial" w:cs="Arial"/>
          <w:color w:val="000000" w:themeColor="text1"/>
          <w:sz w:val="24"/>
          <w:szCs w:val="24"/>
        </w:rPr>
        <w:t>Područni ured Slavonski Brod, Ispostava Nova Gradiška.</w:t>
      </w:r>
    </w:p>
    <w:p w:rsidR="005C1E80" w:rsidRDefault="005C1E80" w:rsidP="005C1E80">
      <w:pPr>
        <w:spacing w:after="0" w:line="240" w:lineRule="auto"/>
        <w:ind w:firstLine="708"/>
        <w:jc w:val="both"/>
        <w:rPr>
          <w:rFonts w:ascii="Arial" w:hAnsi="Arial" w:cs="Arial"/>
          <w:color w:val="000000" w:themeColor="text1"/>
          <w:sz w:val="24"/>
          <w:szCs w:val="24"/>
        </w:rPr>
      </w:pPr>
    </w:p>
    <w:p w:rsidR="005C1E80" w:rsidRDefault="005C1E80" w:rsidP="005C1E8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Poreznoj upravi za obavljanje poslova iz st.1.ovoga članka pripada naknada u iznosu 5% ukupno naplaćenih poreza.</w:t>
      </w:r>
    </w:p>
    <w:p w:rsidR="005C1E80" w:rsidRDefault="005C1E80" w:rsidP="005C1E80">
      <w:pPr>
        <w:spacing w:after="0" w:line="240" w:lineRule="auto"/>
        <w:jc w:val="both"/>
        <w:rPr>
          <w:rFonts w:ascii="Arial" w:hAnsi="Arial" w:cs="Arial"/>
          <w:color w:val="000000" w:themeColor="text1"/>
          <w:sz w:val="24"/>
          <w:szCs w:val="24"/>
        </w:rPr>
      </w:pPr>
    </w:p>
    <w:p w:rsidR="005C1E80" w:rsidRDefault="005C1E80" w:rsidP="005C1E80">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Porezna uprava će do 15. u mjesecu, za prethodni mjesec, Općini Gornji Bogićevci dostaviti zbirna izvješća o utvrđenim i naplaćenim općinskim porezima.</w:t>
      </w:r>
    </w:p>
    <w:p w:rsidR="005C1E80" w:rsidRDefault="005C1E80" w:rsidP="005C1E80">
      <w:pPr>
        <w:spacing w:after="0" w:line="240" w:lineRule="auto"/>
        <w:jc w:val="both"/>
        <w:rPr>
          <w:rFonts w:ascii="Arial" w:hAnsi="Arial" w:cs="Arial"/>
          <w:color w:val="FF0000"/>
          <w:sz w:val="24"/>
          <w:szCs w:val="24"/>
        </w:rPr>
      </w:pPr>
    </w:p>
    <w:p w:rsidR="005C1E80" w:rsidRDefault="005C1E80" w:rsidP="005C1E80">
      <w:pPr>
        <w:spacing w:after="0" w:line="240" w:lineRule="auto"/>
        <w:jc w:val="both"/>
        <w:rPr>
          <w:rFonts w:ascii="Arial" w:hAnsi="Arial" w:cs="Arial"/>
          <w:sz w:val="24"/>
          <w:szCs w:val="24"/>
        </w:rPr>
      </w:pPr>
    </w:p>
    <w:p w:rsidR="005C1E80" w:rsidRDefault="005C1E80" w:rsidP="005C1E80">
      <w:pPr>
        <w:spacing w:before="240" w:line="240" w:lineRule="auto"/>
        <w:jc w:val="center"/>
        <w:rPr>
          <w:rFonts w:ascii="Arial" w:hAnsi="Arial" w:cs="Arial"/>
          <w:b/>
          <w:bCs/>
          <w:sz w:val="24"/>
          <w:szCs w:val="24"/>
        </w:rPr>
      </w:pPr>
      <w:r>
        <w:rPr>
          <w:rFonts w:ascii="Arial" w:hAnsi="Arial" w:cs="Arial"/>
          <w:b/>
          <w:bCs/>
          <w:sz w:val="24"/>
          <w:szCs w:val="24"/>
        </w:rPr>
        <w:t>V. POREZ NA KORIŠTENJE JAVNIH POVRŠINA</w:t>
      </w:r>
    </w:p>
    <w:p w:rsidR="005C1E80" w:rsidRDefault="005C1E80" w:rsidP="005C1E80">
      <w:pPr>
        <w:spacing w:before="240" w:after="0" w:line="240" w:lineRule="auto"/>
        <w:ind w:left="60"/>
        <w:jc w:val="center"/>
        <w:rPr>
          <w:rFonts w:ascii="Arial" w:hAnsi="Arial" w:cs="Arial"/>
          <w:sz w:val="24"/>
          <w:szCs w:val="24"/>
        </w:rPr>
      </w:pPr>
      <w:r>
        <w:rPr>
          <w:rFonts w:ascii="Arial" w:hAnsi="Arial" w:cs="Arial"/>
          <w:sz w:val="24"/>
          <w:szCs w:val="24"/>
        </w:rPr>
        <w:t>Članak 7.</w:t>
      </w:r>
    </w:p>
    <w:p w:rsidR="005C1E80" w:rsidRDefault="005C1E80" w:rsidP="005C1E80">
      <w:pPr>
        <w:spacing w:after="0" w:line="240" w:lineRule="auto"/>
        <w:ind w:firstLine="708"/>
        <w:jc w:val="both"/>
        <w:rPr>
          <w:rFonts w:ascii="Arial" w:hAnsi="Arial" w:cs="Arial"/>
          <w:color w:val="000000" w:themeColor="text1"/>
          <w:sz w:val="24"/>
          <w:szCs w:val="24"/>
          <w:shd w:val="clear" w:color="auto" w:fill="FFFFFF"/>
        </w:rPr>
      </w:pPr>
      <w:r>
        <w:rPr>
          <w:rFonts w:ascii="Times New Roman" w:hAnsi="Times New Roman" w:cs="Times New Roman"/>
          <w:color w:val="000000" w:themeColor="text1"/>
          <w:sz w:val="24"/>
          <w:szCs w:val="24"/>
        </w:rPr>
        <w:t xml:space="preserve"> Javnim površinama smatraju se površine javne namjene čije je korištenje namijenjeno svima i pod jednakim uvjetima kao što su jave zelene površine, pješačke staze, trgovi, parkovi, parkirališta, dječja igrališta, javno prometne površine, dijelovi javnih cesta, zemljišta u vlasništvu općine Gornji Bogićevci koja se nalaze u građevnoj zoni i koja su pogodna za postavljanje objekata i naprava privremenog karaktera.</w:t>
      </w:r>
    </w:p>
    <w:p w:rsidR="005C1E80" w:rsidRDefault="005C1E80" w:rsidP="005C1E80">
      <w:pPr>
        <w:spacing w:after="0" w:line="240" w:lineRule="auto"/>
        <w:ind w:firstLine="708"/>
        <w:jc w:val="both"/>
        <w:rPr>
          <w:rFonts w:ascii="Arial" w:hAnsi="Arial" w:cs="Arial"/>
          <w:sz w:val="24"/>
          <w:szCs w:val="24"/>
          <w:shd w:val="clear" w:color="auto" w:fill="FFFFFF"/>
        </w:rPr>
      </w:pPr>
    </w:p>
    <w:p w:rsidR="005C1E80" w:rsidRDefault="005C1E80" w:rsidP="005C1E80">
      <w:pPr>
        <w:spacing w:after="0" w:line="240" w:lineRule="auto"/>
        <w:ind w:left="60"/>
        <w:jc w:val="center"/>
        <w:rPr>
          <w:rFonts w:ascii="Arial" w:hAnsi="Arial" w:cs="Arial"/>
          <w:sz w:val="24"/>
          <w:szCs w:val="24"/>
        </w:rPr>
      </w:pPr>
      <w:r>
        <w:rPr>
          <w:rFonts w:ascii="Arial" w:hAnsi="Arial" w:cs="Arial"/>
          <w:sz w:val="24"/>
          <w:szCs w:val="24"/>
        </w:rPr>
        <w:t>Članak 8.</w:t>
      </w:r>
    </w:p>
    <w:p w:rsidR="005C1E80" w:rsidRDefault="005C1E80" w:rsidP="005C1E80">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Porez na korištenje javnih površina plaćaju pravne i fizičke osobe koje koriste javne površine, a utvrđuje se ovisno o namjeni i vremenu korištenja javne površine u godišnjem, mjesečnom ili dnevnom iznosu po m2 površine koju koriste:</w:t>
      </w: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8"/>
        <w:gridCol w:w="3386"/>
        <w:gridCol w:w="1575"/>
        <w:gridCol w:w="1663"/>
        <w:gridCol w:w="2448"/>
      </w:tblGrid>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R. br.</w:t>
            </w:r>
          </w:p>
        </w:tc>
        <w:tc>
          <w:tcPr>
            <w:tcW w:w="3386"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NAČIN UPORABE JAVNIH POVRŠINA</w:t>
            </w:r>
          </w:p>
        </w:tc>
        <w:tc>
          <w:tcPr>
            <w:tcW w:w="1575"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IZNOS</w:t>
            </w:r>
          </w:p>
        </w:tc>
        <w:tc>
          <w:tcPr>
            <w:tcW w:w="1663"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UTVRĐUJE SE:</w:t>
            </w:r>
          </w:p>
        </w:tc>
        <w:tc>
          <w:tcPr>
            <w:tcW w:w="244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PLAĆANJE</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montažnog kioska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val="en-US" w:eastAsia="hr-HR"/>
              </w:rPr>
              <w:t>50,00</w:t>
            </w:r>
            <w:r>
              <w:rPr>
                <w:rFonts w:ascii="Times New Roman" w:eastAsia="Times New Roman" w:hAnsi="Times New Roman" w:cs="Times New Roman"/>
                <w:sz w:val="24"/>
                <w:szCs w:val="24"/>
                <w:lang w:eastAsia="hr-HR"/>
              </w:rPr>
              <w:t xml:space="preserve"> eur/m2</w:t>
            </w:r>
          </w:p>
          <w:p w:rsidR="005C1E80" w:rsidRDefault="005C1E80" w:rsidP="00F57898">
            <w:pPr>
              <w:spacing w:after="0" w:line="240" w:lineRule="auto"/>
              <w:jc w:val="right"/>
              <w:rPr>
                <w:rFonts w:ascii="Times New Roman" w:eastAsia="Times New Roman" w:hAnsi="Times New Roman" w:cs="Times New Roman"/>
                <w:sz w:val="24"/>
                <w:szCs w:val="24"/>
                <w:lang w:eastAsia="hr-HR"/>
              </w:rPr>
            </w:pPr>
          </w:p>
          <w:p w:rsidR="005C1E80" w:rsidRDefault="005C1E80" w:rsidP="00F57898">
            <w:pPr>
              <w:spacing w:after="0" w:line="240" w:lineRule="auto"/>
              <w:jc w:val="right"/>
              <w:rPr>
                <w:rFonts w:ascii="Times New Roman" w:eastAsia="Times New Roman" w:hAnsi="Times New Roman" w:cs="Times New Roman"/>
                <w:color w:val="EE0000"/>
                <w:sz w:val="24"/>
                <w:szCs w:val="24"/>
                <w:lang w:eastAsia="hr-HR"/>
              </w:rPr>
            </w:pP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Godišnje</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I polugodište</w:t>
            </w:r>
            <w:r>
              <w:rPr>
                <w:rFonts w:ascii="Times New Roman" w:eastAsia="Times New Roman" w:hAnsi="Times New Roman" w:cs="Times New Roman"/>
                <w:sz w:val="24"/>
                <w:szCs w:val="24"/>
                <w:lang w:eastAsia="hr-HR"/>
              </w:rPr>
              <w:t xml:space="preserve"> do 15.siječnja tekuće god.                          </w:t>
            </w:r>
            <w:r>
              <w:rPr>
                <w:rFonts w:ascii="Times New Roman" w:eastAsia="Times New Roman" w:hAnsi="Times New Roman" w:cs="Times New Roman"/>
                <w:b/>
                <w:bCs/>
                <w:sz w:val="24"/>
                <w:szCs w:val="24"/>
                <w:lang w:eastAsia="hr-HR"/>
              </w:rPr>
              <w:t>II polugodište</w:t>
            </w:r>
            <w:r>
              <w:rPr>
                <w:rFonts w:ascii="Times New Roman" w:eastAsia="Times New Roman" w:hAnsi="Times New Roman" w:cs="Times New Roman"/>
                <w:sz w:val="24"/>
                <w:szCs w:val="24"/>
                <w:lang w:eastAsia="hr-HR"/>
              </w:rPr>
              <w:t xml:space="preserve"> do 15.srpnja tekuće god.</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val="en-US" w:eastAsia="hr-HR"/>
              </w:rPr>
              <w:t>2</w:t>
            </w:r>
            <w:r>
              <w:rPr>
                <w:rFonts w:ascii="Times New Roman" w:eastAsia="Times New Roman" w:hAnsi="Times New Roman" w:cs="Times New Roman"/>
                <w:b/>
                <w:sz w:val="24"/>
                <w:szCs w:val="24"/>
                <w:lang w:eastAsia="hr-HR"/>
              </w:rPr>
              <w:t>.</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montažne garaže</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3,00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Godišnje</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I polugodište</w:t>
            </w:r>
            <w:r>
              <w:rPr>
                <w:rFonts w:ascii="Times New Roman" w:eastAsia="Times New Roman" w:hAnsi="Times New Roman" w:cs="Times New Roman"/>
                <w:sz w:val="24"/>
                <w:szCs w:val="24"/>
                <w:lang w:eastAsia="hr-HR"/>
              </w:rPr>
              <w:t xml:space="preserve"> do 15.siječnja tekuće god.                          </w:t>
            </w:r>
            <w:r>
              <w:rPr>
                <w:rFonts w:ascii="Times New Roman" w:eastAsia="Times New Roman" w:hAnsi="Times New Roman" w:cs="Times New Roman"/>
                <w:b/>
                <w:bCs/>
                <w:sz w:val="24"/>
                <w:szCs w:val="24"/>
                <w:lang w:eastAsia="hr-HR"/>
              </w:rPr>
              <w:t>II polugodište</w:t>
            </w:r>
            <w:r>
              <w:rPr>
                <w:rFonts w:ascii="Times New Roman" w:eastAsia="Times New Roman" w:hAnsi="Times New Roman" w:cs="Times New Roman"/>
                <w:sz w:val="24"/>
                <w:szCs w:val="24"/>
                <w:lang w:eastAsia="hr-HR"/>
              </w:rPr>
              <w:t xml:space="preserve"> do 15.srpnja tekuće god.</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val="en-US" w:eastAsia="hr-HR"/>
              </w:rPr>
              <w:t>3</w:t>
            </w:r>
            <w:r>
              <w:rPr>
                <w:rFonts w:ascii="Times New Roman" w:eastAsia="Times New Roman" w:hAnsi="Times New Roman" w:cs="Times New Roman"/>
                <w:b/>
                <w:sz w:val="24"/>
                <w:szCs w:val="24"/>
                <w:lang w:eastAsia="hr-HR"/>
              </w:rPr>
              <w:t>.</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Otvorena skladišta, postavljanje barake i sl.</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3,00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Godišnje</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I polugodište</w:t>
            </w:r>
            <w:r>
              <w:rPr>
                <w:rFonts w:ascii="Times New Roman" w:eastAsia="Times New Roman" w:hAnsi="Times New Roman" w:cs="Times New Roman"/>
                <w:sz w:val="24"/>
                <w:szCs w:val="24"/>
                <w:lang w:eastAsia="hr-HR"/>
              </w:rPr>
              <w:t xml:space="preserve"> do 15.siječnja tekuće god.                          </w:t>
            </w:r>
            <w:r>
              <w:rPr>
                <w:rFonts w:ascii="Times New Roman" w:eastAsia="Times New Roman" w:hAnsi="Times New Roman" w:cs="Times New Roman"/>
                <w:b/>
                <w:bCs/>
                <w:sz w:val="24"/>
                <w:szCs w:val="24"/>
                <w:lang w:eastAsia="hr-HR"/>
              </w:rPr>
              <w:t>II polugodište</w:t>
            </w:r>
            <w:r>
              <w:rPr>
                <w:rFonts w:ascii="Times New Roman" w:eastAsia="Times New Roman" w:hAnsi="Times New Roman" w:cs="Times New Roman"/>
                <w:sz w:val="24"/>
                <w:szCs w:val="24"/>
                <w:lang w:eastAsia="hr-HR"/>
              </w:rPr>
              <w:t xml:space="preserve"> do 15.srpnja tekuće god.</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val="en-US" w:eastAsia="hr-HR"/>
              </w:rPr>
              <w:t>4</w:t>
            </w:r>
            <w:r>
              <w:rPr>
                <w:rFonts w:ascii="Times New Roman" w:eastAsia="Times New Roman" w:hAnsi="Times New Roman" w:cs="Times New Roman"/>
                <w:b/>
                <w:sz w:val="24"/>
                <w:szCs w:val="24"/>
                <w:lang w:eastAsia="hr-HR"/>
              </w:rPr>
              <w:t>.</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Postavljanje pokretnih naprava ispred ugostiteljskih, zanatskih i </w:t>
            </w:r>
            <w:r>
              <w:rPr>
                <w:rFonts w:ascii="Times New Roman" w:eastAsia="Times New Roman" w:hAnsi="Times New Roman" w:cs="Times New Roman"/>
                <w:sz w:val="24"/>
                <w:szCs w:val="24"/>
                <w:lang w:eastAsia="hr-HR"/>
              </w:rPr>
              <w:lastRenderedPageBreak/>
              <w:t>trgovačkih radnji zbog obavljanja iste djelatnosti na otvorenom (terase) ili za izlaganje i prodaju ili reklamu predmeta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5,50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Godišnje</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b/>
                <w:bCs/>
                <w:sz w:val="24"/>
                <w:szCs w:val="24"/>
                <w:lang w:eastAsia="hr-HR"/>
              </w:rPr>
              <w:t>I polugodište</w:t>
            </w:r>
            <w:r>
              <w:rPr>
                <w:rFonts w:ascii="Times New Roman" w:eastAsia="Times New Roman" w:hAnsi="Times New Roman" w:cs="Times New Roman"/>
                <w:sz w:val="24"/>
                <w:szCs w:val="24"/>
                <w:lang w:eastAsia="hr-HR"/>
              </w:rPr>
              <w:t xml:space="preserve"> do 15.siječnja tekuće god.                          </w:t>
            </w:r>
            <w:r>
              <w:rPr>
                <w:rFonts w:ascii="Times New Roman" w:eastAsia="Times New Roman" w:hAnsi="Times New Roman" w:cs="Times New Roman"/>
                <w:b/>
                <w:bCs/>
                <w:sz w:val="24"/>
                <w:szCs w:val="24"/>
                <w:lang w:eastAsia="hr-HR"/>
              </w:rPr>
              <w:lastRenderedPageBreak/>
              <w:t>II polugodište</w:t>
            </w:r>
            <w:r>
              <w:rPr>
                <w:rFonts w:ascii="Times New Roman" w:eastAsia="Times New Roman" w:hAnsi="Times New Roman" w:cs="Times New Roman"/>
                <w:sz w:val="24"/>
                <w:szCs w:val="24"/>
                <w:lang w:eastAsia="hr-HR"/>
              </w:rPr>
              <w:t xml:space="preserve"> do 15.srpnja tekuće god.</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val="en-US" w:eastAsia="hr-HR"/>
              </w:rPr>
            </w:pPr>
            <w:r>
              <w:rPr>
                <w:rFonts w:ascii="Times New Roman" w:eastAsia="Times New Roman" w:hAnsi="Times New Roman" w:cs="Times New Roman"/>
                <w:b/>
                <w:sz w:val="24"/>
                <w:szCs w:val="24"/>
                <w:lang w:val="en-US" w:eastAsia="hr-HR"/>
              </w:rPr>
              <w:lastRenderedPageBreak/>
              <w:t>5.</w:t>
            </w:r>
          </w:p>
        </w:tc>
        <w:tc>
          <w:tcPr>
            <w:tcW w:w="3386" w:type="dxa"/>
          </w:tcPr>
          <w:p w:rsidR="005C1E80" w:rsidRDefault="005C1E80" w:rsidP="00F57898">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 xml:space="preserve">Postavljanje prenosivog kontejnera </w:t>
            </w:r>
          </w:p>
        </w:tc>
        <w:tc>
          <w:tcPr>
            <w:tcW w:w="1575" w:type="dxa"/>
          </w:tcPr>
          <w:p w:rsidR="005C1E80" w:rsidRDefault="005C1E80" w:rsidP="00F57898">
            <w:pPr>
              <w:spacing w:after="0" w:line="240" w:lineRule="auto"/>
              <w:jc w:val="right"/>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3,</w:t>
            </w:r>
            <w:r>
              <w:rPr>
                <w:rFonts w:ascii="Times New Roman" w:eastAsia="Times New Roman" w:hAnsi="Times New Roman" w:cs="Times New Roman"/>
                <w:color w:val="000000" w:themeColor="text1"/>
                <w:sz w:val="24"/>
                <w:szCs w:val="24"/>
                <w:lang w:val="en-US" w:eastAsia="hr-HR"/>
              </w:rPr>
              <w:t>5</w:t>
            </w:r>
            <w:r>
              <w:rPr>
                <w:rFonts w:ascii="Times New Roman" w:eastAsia="Times New Roman" w:hAnsi="Times New Roman" w:cs="Times New Roman"/>
                <w:color w:val="000000" w:themeColor="text1"/>
                <w:sz w:val="24"/>
                <w:szCs w:val="24"/>
                <w:lang w:eastAsia="hr-HR"/>
              </w:rPr>
              <w:t xml:space="preserve">0 eur/m2 </w:t>
            </w:r>
          </w:p>
        </w:tc>
        <w:tc>
          <w:tcPr>
            <w:tcW w:w="1663" w:type="dxa"/>
          </w:tcPr>
          <w:p w:rsidR="005C1E80" w:rsidRDefault="005C1E80" w:rsidP="00F57898">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Mjesečno</w:t>
            </w:r>
          </w:p>
        </w:tc>
        <w:tc>
          <w:tcPr>
            <w:tcW w:w="2448" w:type="dxa"/>
          </w:tcPr>
          <w:p w:rsidR="005C1E80" w:rsidRDefault="005C1E80" w:rsidP="00F57898">
            <w:pPr>
              <w:spacing w:after="0" w:line="240" w:lineRule="auto"/>
              <w:rPr>
                <w:rFonts w:ascii="Times New Roman" w:eastAsia="Times New Roman" w:hAnsi="Times New Roman" w:cs="Times New Roman"/>
                <w:color w:val="000000" w:themeColor="text1"/>
                <w:sz w:val="24"/>
                <w:szCs w:val="24"/>
                <w:lang w:eastAsia="hr-HR"/>
              </w:rPr>
            </w:pPr>
            <w:r>
              <w:rPr>
                <w:rFonts w:ascii="Times New Roman" w:eastAsia="Times New Roman" w:hAnsi="Times New Roman" w:cs="Times New Roman"/>
                <w:color w:val="000000" w:themeColor="text1"/>
                <w:sz w:val="24"/>
                <w:szCs w:val="24"/>
                <w:lang w:eastAsia="hr-HR"/>
              </w:rPr>
              <w:t>Do 15. dana u mjesecu za tekući mjesec.</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6.</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pokretnih naprava za prodaju cvijeća, svijeća, lampiona, suvenira i ukrasnih predmeta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8,00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Mjesečno</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 5. dana u mjesecu za tekući mjesec</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7.</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automata za prodaju sladoleda i slastica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11,00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Mjesečno</w:t>
            </w:r>
          </w:p>
          <w:p w:rsidR="005C1E80" w:rsidRDefault="005C1E80" w:rsidP="00F57898">
            <w:pPr>
              <w:spacing w:after="0" w:line="240" w:lineRule="auto"/>
              <w:rPr>
                <w:rFonts w:ascii="Times New Roman" w:eastAsia="Times New Roman" w:hAnsi="Times New Roman" w:cs="Times New Roman"/>
                <w:sz w:val="24"/>
                <w:szCs w:val="24"/>
                <w:lang w:eastAsia="hr-HR"/>
              </w:rPr>
            </w:pP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 5. dana u mjesecu za tekući mjesec</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8.</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pokretnih naprava za prodaju sezonskog voća i povrća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8,00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Mjesečno</w:t>
            </w:r>
          </w:p>
          <w:p w:rsidR="005C1E80" w:rsidRDefault="005C1E80" w:rsidP="00F57898">
            <w:pPr>
              <w:spacing w:after="0" w:line="240" w:lineRule="auto"/>
              <w:rPr>
                <w:rFonts w:ascii="Times New Roman" w:eastAsia="Times New Roman" w:hAnsi="Times New Roman" w:cs="Times New Roman"/>
                <w:sz w:val="24"/>
                <w:szCs w:val="24"/>
                <w:lang w:eastAsia="hr-HR"/>
              </w:rPr>
            </w:pP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 5. dana u mjesecu za tekući mjesec</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9.</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automata za prodaju bezalkoholnih pića i cigareta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8,00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Mjesečno</w:t>
            </w:r>
          </w:p>
          <w:p w:rsidR="005C1E80" w:rsidRDefault="005C1E80" w:rsidP="00F57898">
            <w:pPr>
              <w:spacing w:after="0" w:line="240" w:lineRule="auto"/>
              <w:rPr>
                <w:rFonts w:ascii="Times New Roman" w:eastAsia="Times New Roman" w:hAnsi="Times New Roman" w:cs="Times New Roman"/>
                <w:sz w:val="24"/>
                <w:szCs w:val="24"/>
                <w:lang w:eastAsia="hr-HR"/>
              </w:rPr>
            </w:pP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Do 5. dana u mjesecu za tekući mjesec</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10.</w:t>
            </w:r>
          </w:p>
        </w:tc>
        <w:tc>
          <w:tcPr>
            <w:tcW w:w="3386"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pokretnih naprava za prodaju cvijeća, svijeća, lampiona, ukrasnih predmeta i bižuterije</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3,50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Dnevno</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Unaprijed pri dobivanju odobrenja</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11.</w:t>
            </w:r>
          </w:p>
        </w:tc>
        <w:tc>
          <w:tcPr>
            <w:tcW w:w="3386" w:type="dxa"/>
          </w:tcPr>
          <w:p w:rsidR="005C1E80" w:rsidRDefault="005C1E80" w:rsidP="00F57898">
            <w:pPr>
              <w:spacing w:after="0" w:line="240" w:lineRule="auto"/>
              <w:jc w:val="both"/>
              <w:rPr>
                <w:rFonts w:ascii="Times New Roman" w:eastAsia="Times New Roman" w:hAnsi="Times New Roman" w:cs="Times New Roman"/>
                <w:sz w:val="24"/>
                <w:szCs w:val="24"/>
                <w:u w:val="single"/>
                <w:lang w:eastAsia="hr-HR"/>
              </w:rPr>
            </w:pPr>
            <w:r>
              <w:rPr>
                <w:rFonts w:ascii="Times New Roman" w:eastAsia="Times New Roman" w:hAnsi="Times New Roman" w:cs="Times New Roman"/>
                <w:sz w:val="24"/>
                <w:szCs w:val="24"/>
                <w:lang w:eastAsia="hr-HR"/>
              </w:rPr>
              <w:t>Postavljanje pokretnih naprava za prigodnu prodaju čestitki, kalendara i blagdanskog nakita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1,50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Dnevno</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Unaprijed pri dobivanju odobrenja</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12.</w:t>
            </w:r>
          </w:p>
        </w:tc>
        <w:tc>
          <w:tcPr>
            <w:tcW w:w="3386" w:type="dxa"/>
          </w:tcPr>
          <w:p w:rsidR="005C1E80" w:rsidRDefault="005C1E80" w:rsidP="00F5789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šatora za obavljanje ugostiteljske djelatnosti, prigodne prodaje ili zabavne igre</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0,70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Dnevno</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Unaprijed pri dobivanju odobrenja</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13.</w:t>
            </w:r>
          </w:p>
        </w:tc>
        <w:tc>
          <w:tcPr>
            <w:tcW w:w="3386" w:type="dxa"/>
          </w:tcPr>
          <w:p w:rsidR="005C1E80" w:rsidRDefault="005C1E80" w:rsidP="00F5789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Postavljanje zabavnih radnji (cirkus, luna-park, sprave za klackanje i sl.)</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0,80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Dnevno</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Unaprijed pri dobivanju odobrenja</w:t>
            </w:r>
          </w:p>
        </w:tc>
      </w:tr>
      <w:tr w:rsidR="005C1E80" w:rsidTr="00F57898">
        <w:tc>
          <w:tcPr>
            <w:tcW w:w="568" w:type="dxa"/>
          </w:tcPr>
          <w:p w:rsidR="005C1E80" w:rsidRDefault="005C1E80" w:rsidP="00F57898">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14.</w:t>
            </w:r>
          </w:p>
        </w:tc>
        <w:tc>
          <w:tcPr>
            <w:tcW w:w="3386" w:type="dxa"/>
          </w:tcPr>
          <w:p w:rsidR="005C1E80" w:rsidRDefault="005C1E80" w:rsidP="00F57898">
            <w:pPr>
              <w:spacing w:after="0" w:line="240" w:lineRule="auto"/>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Prigodna prodaja božićnih drvaca</w:t>
            </w:r>
          </w:p>
        </w:tc>
        <w:tc>
          <w:tcPr>
            <w:tcW w:w="1575" w:type="dxa"/>
          </w:tcPr>
          <w:p w:rsidR="005C1E80" w:rsidRDefault="005C1E80" w:rsidP="00F57898">
            <w:pPr>
              <w:spacing w:after="0" w:line="240" w:lineRule="auto"/>
              <w:jc w:val="right"/>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1,50 eur/m2</w:t>
            </w:r>
          </w:p>
        </w:tc>
        <w:tc>
          <w:tcPr>
            <w:tcW w:w="1663"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Dnevno</w:t>
            </w:r>
          </w:p>
        </w:tc>
        <w:tc>
          <w:tcPr>
            <w:tcW w:w="2448" w:type="dxa"/>
          </w:tcPr>
          <w:p w:rsidR="005C1E80" w:rsidRDefault="005C1E80" w:rsidP="00F57898">
            <w:pPr>
              <w:spacing w:after="0" w:line="240" w:lineRule="auto"/>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Unaprijed pri dobivanju odobrenja</w:t>
            </w:r>
          </w:p>
        </w:tc>
      </w:tr>
    </w:tbl>
    <w:p w:rsidR="005C1E80" w:rsidRDefault="005C1E80" w:rsidP="005C1E80">
      <w:pPr>
        <w:pStyle w:val="Odlomakpopisa"/>
        <w:spacing w:after="0" w:line="240" w:lineRule="auto"/>
        <w:ind w:left="426"/>
        <w:jc w:val="both"/>
        <w:rPr>
          <w:rFonts w:ascii="Arial" w:hAnsi="Arial" w:cs="Arial"/>
          <w:sz w:val="24"/>
          <w:szCs w:val="24"/>
        </w:rPr>
      </w:pPr>
    </w:p>
    <w:p w:rsidR="005C1E80" w:rsidRDefault="005C1E80" w:rsidP="005C1E80">
      <w:pPr>
        <w:spacing w:after="0" w:line="240" w:lineRule="auto"/>
        <w:jc w:val="center"/>
        <w:rPr>
          <w:rFonts w:ascii="Arial" w:hAnsi="Arial" w:cs="Arial"/>
          <w:sz w:val="24"/>
          <w:szCs w:val="24"/>
        </w:rPr>
      </w:pPr>
      <w:r>
        <w:rPr>
          <w:rFonts w:ascii="Arial" w:hAnsi="Arial" w:cs="Arial"/>
          <w:sz w:val="24"/>
          <w:szCs w:val="24"/>
        </w:rPr>
        <w:t>Članak 9.</w:t>
      </w:r>
    </w:p>
    <w:p w:rsidR="005C1E80" w:rsidRDefault="005C1E80" w:rsidP="005C1E80">
      <w:pPr>
        <w:spacing w:after="0" w:line="240" w:lineRule="auto"/>
        <w:ind w:firstLine="708"/>
        <w:jc w:val="both"/>
        <w:rPr>
          <w:rFonts w:ascii="Arial" w:hAnsi="Arial" w:cs="Arial"/>
          <w:sz w:val="24"/>
          <w:szCs w:val="24"/>
        </w:rPr>
      </w:pPr>
      <w:r>
        <w:rPr>
          <w:rFonts w:ascii="Arial" w:hAnsi="Arial" w:cs="Arial"/>
          <w:sz w:val="24"/>
          <w:szCs w:val="24"/>
        </w:rPr>
        <w:t xml:space="preserve">U slučaju korištenja javnih površina u svrhu aktivnosti za humanitarnu, kulturnu, sportsku, prosvjetno-edukativnu djelatnost i ostale manifestacije ili obilježavanje određenih datuma koji su od interesa za Općinu Gornji Bogićevci izuzimaju se od obveze plaćanja poreza na korištenje javne površine. </w:t>
      </w:r>
    </w:p>
    <w:p w:rsidR="005C1E80" w:rsidRDefault="005C1E80" w:rsidP="005C1E80">
      <w:pPr>
        <w:pStyle w:val="t-9-8"/>
        <w:spacing w:before="0" w:after="0"/>
        <w:jc w:val="both"/>
        <w:textAlignment w:val="baseline"/>
        <w:rPr>
          <w:rFonts w:ascii="Arial" w:hAnsi="Arial" w:cs="Arial"/>
          <w:color w:val="000000"/>
        </w:rPr>
      </w:pPr>
    </w:p>
    <w:p w:rsidR="005C1E80" w:rsidRDefault="005C1E80" w:rsidP="005C1E80">
      <w:pPr>
        <w:spacing w:after="0" w:line="240" w:lineRule="auto"/>
        <w:jc w:val="center"/>
        <w:rPr>
          <w:rFonts w:ascii="Arial" w:hAnsi="Arial" w:cs="Arial"/>
          <w:sz w:val="24"/>
          <w:szCs w:val="24"/>
        </w:rPr>
      </w:pPr>
      <w:r>
        <w:rPr>
          <w:rFonts w:ascii="Arial" w:hAnsi="Arial" w:cs="Arial"/>
          <w:sz w:val="24"/>
          <w:szCs w:val="24"/>
        </w:rPr>
        <w:t>Članak 10.</w:t>
      </w:r>
    </w:p>
    <w:p w:rsidR="005C1E80" w:rsidRDefault="005C1E80" w:rsidP="005C1E80">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Poslove utvrđivanja, evidentiranja, nadzora, naplate i ovrhe radi naplate poreza na korištenje javnih površina obavlja Jedinstveni upravni odjel Općine Gornji Bogićevci.</w:t>
      </w:r>
    </w:p>
    <w:p w:rsidR="005C1E80" w:rsidRDefault="005C1E80" w:rsidP="005C1E80">
      <w:pPr>
        <w:spacing w:after="0" w:line="240" w:lineRule="auto"/>
        <w:ind w:firstLine="708"/>
        <w:jc w:val="both"/>
        <w:rPr>
          <w:rFonts w:ascii="Arial" w:eastAsia="Times New Roman" w:hAnsi="Arial" w:cs="Arial"/>
          <w:sz w:val="24"/>
          <w:szCs w:val="24"/>
          <w:lang w:eastAsia="hr-HR"/>
        </w:rPr>
      </w:pPr>
    </w:p>
    <w:p w:rsidR="005C1E80" w:rsidRDefault="005C1E80" w:rsidP="005C1E80">
      <w:pPr>
        <w:spacing w:before="240" w:line="240" w:lineRule="auto"/>
        <w:jc w:val="center"/>
        <w:rPr>
          <w:rFonts w:ascii="Arial" w:eastAsia="Times New Roman" w:hAnsi="Arial" w:cs="Arial"/>
          <w:b/>
          <w:bCs/>
          <w:sz w:val="24"/>
          <w:szCs w:val="24"/>
          <w:lang w:eastAsia="hr-HR"/>
        </w:rPr>
      </w:pPr>
      <w:r>
        <w:rPr>
          <w:rFonts w:ascii="Arial" w:eastAsia="Times New Roman" w:hAnsi="Arial" w:cs="Arial"/>
          <w:b/>
          <w:bCs/>
          <w:sz w:val="24"/>
          <w:szCs w:val="24"/>
          <w:lang w:eastAsia="hr-HR"/>
        </w:rPr>
        <w:t>VI. DAVANJE OVLASTI FINA-i</w:t>
      </w:r>
    </w:p>
    <w:p w:rsidR="005C1E80" w:rsidRDefault="005C1E80" w:rsidP="005C1E80">
      <w:pPr>
        <w:spacing w:line="240" w:lineRule="auto"/>
        <w:jc w:val="center"/>
        <w:rPr>
          <w:rFonts w:ascii="Arial" w:eastAsia="Times New Roman" w:hAnsi="Arial" w:cs="Arial"/>
          <w:sz w:val="24"/>
          <w:szCs w:val="24"/>
          <w:lang w:eastAsia="hr-HR"/>
        </w:rPr>
      </w:pPr>
      <w:r>
        <w:rPr>
          <w:rFonts w:ascii="Arial" w:eastAsia="Times New Roman" w:hAnsi="Arial" w:cs="Arial"/>
          <w:sz w:val="24"/>
          <w:szCs w:val="24"/>
          <w:lang w:eastAsia="hr-HR"/>
        </w:rPr>
        <w:lastRenderedPageBreak/>
        <w:t>Članak 11.</w:t>
      </w:r>
    </w:p>
    <w:p w:rsidR="005C1E80" w:rsidRDefault="005C1E80" w:rsidP="005C1E80">
      <w:pPr>
        <w:spacing w:after="0" w:line="240" w:lineRule="auto"/>
        <w:ind w:firstLine="708"/>
        <w:jc w:val="both"/>
        <w:rPr>
          <w:rFonts w:ascii="Arial" w:eastAsia="Times New Roman" w:hAnsi="Arial" w:cs="Arial"/>
          <w:sz w:val="24"/>
          <w:szCs w:val="24"/>
          <w:lang w:eastAsia="hr-HR"/>
        </w:rPr>
      </w:pPr>
      <w:r>
        <w:rPr>
          <w:rFonts w:ascii="Arial" w:eastAsia="Times New Roman" w:hAnsi="Arial" w:cs="Arial"/>
          <w:sz w:val="24"/>
          <w:szCs w:val="24"/>
          <w:lang w:eastAsia="hr-HR"/>
        </w:rPr>
        <w:t>Ovlašćuje se nadležna organizacija platnog prometa zadužena za raspoređivanje uplaćenih prihoda, da naknada koja pripada Ministarstvu financija, Poreznoj upravi, u iznosu od 5% od ukupno naplaćenih prihoda, obračuna i uplati u državni proračun i to do zadnjeg dana u mjesecu za protekli mjesec.</w:t>
      </w:r>
    </w:p>
    <w:p w:rsidR="005C1E80" w:rsidRDefault="005C1E80" w:rsidP="005C1E80">
      <w:pPr>
        <w:spacing w:after="0" w:line="240" w:lineRule="auto"/>
        <w:ind w:firstLine="708"/>
        <w:jc w:val="both"/>
        <w:rPr>
          <w:rFonts w:ascii="Arial" w:eastAsia="Times New Roman" w:hAnsi="Arial" w:cs="Arial"/>
          <w:strike/>
          <w:sz w:val="24"/>
          <w:szCs w:val="24"/>
          <w:lang w:eastAsia="hr-HR"/>
        </w:rPr>
      </w:pPr>
    </w:p>
    <w:p w:rsidR="005C1E80" w:rsidRDefault="005C1E80" w:rsidP="005C1E80">
      <w:pPr>
        <w:spacing w:after="0" w:line="240" w:lineRule="auto"/>
        <w:jc w:val="both"/>
        <w:rPr>
          <w:rFonts w:ascii="Arial" w:eastAsia="Times New Roman" w:hAnsi="Arial" w:cs="Arial"/>
          <w:strike/>
          <w:sz w:val="24"/>
          <w:szCs w:val="24"/>
          <w:lang w:eastAsia="hr-HR"/>
        </w:rPr>
      </w:pPr>
    </w:p>
    <w:p w:rsidR="005C1E80" w:rsidRDefault="005C1E80" w:rsidP="005C1E80">
      <w:pPr>
        <w:spacing w:before="240" w:line="240" w:lineRule="auto"/>
        <w:jc w:val="center"/>
        <w:rPr>
          <w:rFonts w:ascii="Arial" w:eastAsia="Times New Roman" w:hAnsi="Arial" w:cs="Arial"/>
          <w:b/>
          <w:bCs/>
          <w:sz w:val="24"/>
          <w:szCs w:val="24"/>
          <w:lang w:eastAsia="hr-HR"/>
        </w:rPr>
      </w:pPr>
      <w:r>
        <w:rPr>
          <w:rFonts w:ascii="Arial" w:eastAsia="Times New Roman" w:hAnsi="Arial" w:cs="Arial"/>
          <w:b/>
          <w:bCs/>
          <w:sz w:val="24"/>
          <w:szCs w:val="24"/>
          <w:lang w:eastAsia="hr-HR"/>
        </w:rPr>
        <w:t>VII. PRIJELAZNE I ZAVRŠNE ODREDBE</w:t>
      </w:r>
    </w:p>
    <w:p w:rsidR="005C1E80" w:rsidRDefault="005C1E80" w:rsidP="005C1E80">
      <w:pPr>
        <w:pStyle w:val="t-98-20"/>
        <w:spacing w:before="240" w:beforeAutospacing="0" w:after="0" w:afterAutospacing="0"/>
        <w:jc w:val="center"/>
        <w:textAlignment w:val="baseline"/>
        <w:rPr>
          <w:rFonts w:ascii="Arial" w:hAnsi="Arial" w:cs="Arial"/>
          <w:color w:val="000000" w:themeColor="text1"/>
        </w:rPr>
      </w:pPr>
      <w:r>
        <w:rPr>
          <w:rFonts w:ascii="Arial" w:hAnsi="Arial" w:cs="Arial"/>
          <w:color w:val="000000" w:themeColor="text1"/>
        </w:rPr>
        <w:t>Članak 12.</w:t>
      </w:r>
    </w:p>
    <w:p w:rsidR="005C1E80" w:rsidRDefault="005C1E80" w:rsidP="005C1E80">
      <w:pPr>
        <w:pStyle w:val="t-98-20"/>
        <w:spacing w:before="0" w:beforeAutospacing="0" w:after="0" w:afterAutospacing="0"/>
        <w:ind w:firstLine="708"/>
        <w:jc w:val="both"/>
        <w:textAlignment w:val="baseline"/>
        <w:rPr>
          <w:rFonts w:ascii="Arial" w:hAnsi="Arial" w:cs="Arial"/>
          <w:color w:val="000000" w:themeColor="text1"/>
        </w:rPr>
      </w:pPr>
      <w:r>
        <w:rPr>
          <w:rFonts w:ascii="Arial" w:hAnsi="Arial" w:cs="Arial"/>
          <w:color w:val="000000" w:themeColor="text1"/>
        </w:rPr>
        <w:t xml:space="preserve">Postupci utvrđivanja i naplate poreza započeti po odredbama </w:t>
      </w:r>
      <w:bookmarkStart w:id="158" w:name="_Hlk149042692"/>
      <w:r>
        <w:rPr>
          <w:rFonts w:ascii="Arial" w:hAnsi="Arial" w:cs="Arial"/>
          <w:color w:val="000000" w:themeColor="text1"/>
        </w:rPr>
        <w:t xml:space="preserve">Odluke o porezima Općine Gornji Bogićevci ("Službeni glasnik Općine Gornji Bogićevci" br. </w:t>
      </w:r>
      <w:bookmarkStart w:id="159" w:name="_Hlk152935697"/>
      <w:r>
        <w:rPr>
          <w:rFonts w:ascii="Arial" w:hAnsi="Arial" w:cs="Arial"/>
          <w:color w:val="000000" w:themeColor="text1"/>
        </w:rPr>
        <w:t>01/23</w:t>
      </w:r>
      <w:bookmarkEnd w:id="159"/>
      <w:r>
        <w:rPr>
          <w:rFonts w:ascii="Arial" w:hAnsi="Arial" w:cs="Arial"/>
          <w:color w:val="000000" w:themeColor="text1"/>
        </w:rPr>
        <w:t>)</w:t>
      </w:r>
      <w:bookmarkEnd w:id="158"/>
      <w:r>
        <w:rPr>
          <w:rFonts w:ascii="Arial" w:hAnsi="Arial" w:cs="Arial"/>
          <w:color w:val="000000" w:themeColor="text1"/>
        </w:rPr>
        <w:t>, koji nisu dovršeni do stupanja na snagu ove Odluke, dovršit će se prema odredbama Odluke o porezima Općine Gornji Bogićevci" službeni glasnik br. 01/23.</w:t>
      </w:r>
    </w:p>
    <w:p w:rsidR="005C1E80" w:rsidRDefault="005C1E80" w:rsidP="005C1E80">
      <w:pPr>
        <w:pStyle w:val="t-98-20"/>
        <w:spacing w:before="0" w:beforeAutospacing="0" w:after="0" w:afterAutospacing="0"/>
        <w:jc w:val="both"/>
        <w:textAlignment w:val="baseline"/>
        <w:rPr>
          <w:rFonts w:ascii="Arial" w:hAnsi="Arial" w:cs="Arial"/>
        </w:rPr>
      </w:pPr>
    </w:p>
    <w:p w:rsidR="005C1E80" w:rsidRDefault="005C1E80" w:rsidP="005C1E80">
      <w:pPr>
        <w:pStyle w:val="t-98-20"/>
        <w:spacing w:before="0" w:beforeAutospacing="0" w:after="0" w:afterAutospacing="0"/>
        <w:jc w:val="both"/>
        <w:textAlignment w:val="baseline"/>
        <w:rPr>
          <w:rFonts w:ascii="Arial" w:hAnsi="Arial" w:cs="Arial"/>
        </w:rPr>
      </w:pPr>
    </w:p>
    <w:p w:rsidR="005C1E80" w:rsidRDefault="005C1E80" w:rsidP="005C1E80">
      <w:pPr>
        <w:pStyle w:val="t-98-20"/>
        <w:spacing w:before="0" w:beforeAutospacing="0" w:after="0" w:afterAutospacing="0"/>
        <w:jc w:val="center"/>
        <w:textAlignment w:val="baseline"/>
        <w:rPr>
          <w:rFonts w:ascii="Arial" w:hAnsi="Arial" w:cs="Arial"/>
        </w:rPr>
      </w:pPr>
      <w:r>
        <w:rPr>
          <w:rFonts w:ascii="Arial" w:hAnsi="Arial" w:cs="Arial"/>
        </w:rPr>
        <w:t>Članak 13.</w:t>
      </w:r>
    </w:p>
    <w:p w:rsidR="005C1E80" w:rsidRDefault="005C1E80" w:rsidP="005C1E80">
      <w:pPr>
        <w:pStyle w:val="t-98-20"/>
        <w:spacing w:before="0" w:beforeAutospacing="0" w:after="0" w:afterAutospacing="0"/>
        <w:ind w:firstLine="708"/>
        <w:jc w:val="both"/>
        <w:textAlignment w:val="baseline"/>
        <w:rPr>
          <w:rFonts w:ascii="Arial" w:hAnsi="Arial" w:cs="Arial"/>
          <w:color w:val="EE0000"/>
          <w:lang w:val="en-US"/>
        </w:rPr>
      </w:pPr>
      <w:r>
        <w:rPr>
          <w:rFonts w:ascii="Arial" w:hAnsi="Arial" w:cs="Arial"/>
        </w:rPr>
        <w:t>Stupanjem na snagu ove Odluke prestaje važiti o</w:t>
      </w:r>
      <w:r>
        <w:rPr>
          <w:rFonts w:ascii="Arial" w:hAnsi="Arial" w:cs="Arial"/>
          <w:color w:val="000000" w:themeColor="text1"/>
        </w:rPr>
        <w:t>dluka o porezima Općine Gornji Bogićevci „Službeni glasnik Općine Gornji Bogićevci" br. 01/23 KLASA: 410-01/23-01/01</w:t>
      </w:r>
      <w:r>
        <w:rPr>
          <w:rFonts w:ascii="Arial" w:hAnsi="Arial" w:cs="Arial"/>
          <w:color w:val="000000" w:themeColor="text1"/>
          <w:lang w:val="en-US"/>
        </w:rPr>
        <w:t xml:space="preserve">, </w:t>
      </w:r>
      <w:r>
        <w:rPr>
          <w:rFonts w:ascii="Arial" w:hAnsi="Arial" w:cs="Arial"/>
          <w:color w:val="000000" w:themeColor="text1"/>
        </w:rPr>
        <w:t>URBROJ: 2178-22-03/1-23-2</w:t>
      </w:r>
      <w:r>
        <w:rPr>
          <w:rFonts w:ascii="Arial" w:hAnsi="Arial" w:cs="Arial"/>
          <w:color w:val="000000" w:themeColor="text1"/>
          <w:lang w:val="en-US"/>
        </w:rPr>
        <w:t>.</w:t>
      </w:r>
    </w:p>
    <w:p w:rsidR="005C1E80" w:rsidRDefault="005C1E80" w:rsidP="005C1E80">
      <w:pPr>
        <w:pStyle w:val="t-98-20"/>
        <w:spacing w:before="0" w:beforeAutospacing="0" w:after="0" w:afterAutospacing="0"/>
        <w:ind w:firstLine="708"/>
        <w:jc w:val="both"/>
        <w:textAlignment w:val="baseline"/>
        <w:rPr>
          <w:rFonts w:ascii="Arial" w:hAnsi="Arial" w:cs="Arial"/>
          <w:color w:val="EE0000"/>
        </w:rPr>
      </w:pPr>
    </w:p>
    <w:p w:rsidR="005C1E80" w:rsidRDefault="005C1E80" w:rsidP="005C1E80">
      <w:pPr>
        <w:pStyle w:val="t-98-20"/>
        <w:spacing w:before="0" w:beforeAutospacing="0" w:after="0" w:afterAutospacing="0"/>
        <w:ind w:firstLine="708"/>
        <w:jc w:val="both"/>
        <w:textAlignment w:val="baseline"/>
        <w:rPr>
          <w:rFonts w:ascii="Arial" w:hAnsi="Arial" w:cs="Arial"/>
        </w:rPr>
      </w:pPr>
    </w:p>
    <w:p w:rsidR="005C1E80" w:rsidRDefault="005C1E80" w:rsidP="005C1E80">
      <w:pPr>
        <w:pStyle w:val="t-98-20"/>
        <w:spacing w:before="0" w:beforeAutospacing="0" w:after="0" w:afterAutospacing="0"/>
        <w:jc w:val="center"/>
        <w:textAlignment w:val="baseline"/>
        <w:rPr>
          <w:rFonts w:ascii="Arial" w:hAnsi="Arial" w:cs="Arial"/>
          <w:color w:val="000000" w:themeColor="text1"/>
        </w:rPr>
      </w:pPr>
      <w:r>
        <w:rPr>
          <w:rFonts w:ascii="Arial" w:hAnsi="Arial" w:cs="Arial"/>
          <w:color w:val="000000" w:themeColor="text1"/>
        </w:rPr>
        <w:t>Članak 14.</w:t>
      </w:r>
    </w:p>
    <w:p w:rsidR="005C1E80" w:rsidRDefault="005C1E80" w:rsidP="005C1E80">
      <w:pPr>
        <w:spacing w:after="0" w:line="240" w:lineRule="auto"/>
        <w:ind w:firstLine="708"/>
        <w:jc w:val="both"/>
        <w:rPr>
          <w:rFonts w:ascii="Arial" w:hAnsi="Arial" w:cs="Arial"/>
          <w:color w:val="000000" w:themeColor="text1"/>
          <w:sz w:val="24"/>
          <w:szCs w:val="24"/>
        </w:rPr>
      </w:pPr>
      <w:r>
        <w:rPr>
          <w:rFonts w:ascii="Arial" w:hAnsi="Arial" w:cs="Arial"/>
          <w:color w:val="000000" w:themeColor="text1"/>
          <w:sz w:val="24"/>
          <w:szCs w:val="24"/>
        </w:rPr>
        <w:t>Ova odluka objavit će se u „Službenom glasniku Općine Gornji Bogićevci“, a stupa na snagu 8 dana od dana objave.</w:t>
      </w:r>
    </w:p>
    <w:p w:rsidR="005C1E80" w:rsidRDefault="005C1E80" w:rsidP="005C1E80">
      <w:pPr>
        <w:spacing w:after="0" w:line="240" w:lineRule="auto"/>
        <w:ind w:firstLine="708"/>
        <w:jc w:val="both"/>
        <w:rPr>
          <w:rFonts w:ascii="Arial" w:hAnsi="Arial" w:cs="Arial"/>
          <w:color w:val="000000" w:themeColor="text1"/>
          <w:sz w:val="24"/>
          <w:szCs w:val="24"/>
        </w:rPr>
      </w:pPr>
    </w:p>
    <w:p w:rsidR="005C1E80" w:rsidRDefault="005C1E80" w:rsidP="005C1E80">
      <w:pPr>
        <w:spacing w:after="0" w:line="240" w:lineRule="auto"/>
        <w:rPr>
          <w:rFonts w:ascii="Arial" w:eastAsia="Times New Roman" w:hAnsi="Arial" w:cs="Arial"/>
          <w:color w:val="000000" w:themeColor="text1"/>
          <w:sz w:val="24"/>
          <w:szCs w:val="24"/>
          <w:lang w:eastAsia="hr-HR"/>
        </w:rPr>
      </w:pPr>
      <w:r>
        <w:rPr>
          <w:rFonts w:ascii="Arial" w:eastAsia="Times New Roman" w:hAnsi="Arial" w:cs="Arial"/>
          <w:color w:val="000000" w:themeColor="text1"/>
          <w:sz w:val="24"/>
          <w:szCs w:val="24"/>
          <w:lang w:eastAsia="hr-HR"/>
        </w:rPr>
        <w:t>KLASA: 4</w:t>
      </w:r>
      <w:r>
        <w:rPr>
          <w:rFonts w:ascii="Arial" w:eastAsia="Times New Roman" w:hAnsi="Arial" w:cs="Arial"/>
          <w:color w:val="000000" w:themeColor="text1"/>
          <w:sz w:val="24"/>
          <w:szCs w:val="24"/>
          <w:lang w:val="en-US" w:eastAsia="hr-HR"/>
        </w:rPr>
        <w:t>00</w:t>
      </w:r>
      <w:r>
        <w:rPr>
          <w:rFonts w:ascii="Arial" w:eastAsia="Times New Roman" w:hAnsi="Arial" w:cs="Arial"/>
          <w:color w:val="000000" w:themeColor="text1"/>
          <w:sz w:val="24"/>
          <w:szCs w:val="24"/>
          <w:lang w:eastAsia="hr-HR"/>
        </w:rPr>
        <w:t>-01/2</w:t>
      </w:r>
      <w:r>
        <w:rPr>
          <w:rFonts w:ascii="Arial" w:eastAsia="Times New Roman" w:hAnsi="Arial" w:cs="Arial"/>
          <w:color w:val="000000" w:themeColor="text1"/>
          <w:sz w:val="24"/>
          <w:szCs w:val="24"/>
          <w:lang w:val="en-US" w:eastAsia="hr-HR"/>
        </w:rPr>
        <w:t>5</w:t>
      </w:r>
      <w:r>
        <w:rPr>
          <w:rFonts w:ascii="Arial" w:eastAsia="Times New Roman" w:hAnsi="Arial" w:cs="Arial"/>
          <w:color w:val="000000" w:themeColor="text1"/>
          <w:sz w:val="24"/>
          <w:szCs w:val="24"/>
          <w:lang w:eastAsia="hr-HR"/>
        </w:rPr>
        <w:t>-0</w:t>
      </w:r>
      <w:r>
        <w:rPr>
          <w:rFonts w:ascii="Arial" w:eastAsia="Times New Roman" w:hAnsi="Arial" w:cs="Arial"/>
          <w:color w:val="000000" w:themeColor="text1"/>
          <w:sz w:val="24"/>
          <w:szCs w:val="24"/>
          <w:lang w:val="en-US" w:eastAsia="hr-HR"/>
        </w:rPr>
        <w:t>2</w:t>
      </w:r>
      <w:r>
        <w:rPr>
          <w:rFonts w:ascii="Arial" w:eastAsia="Times New Roman" w:hAnsi="Arial" w:cs="Arial"/>
          <w:color w:val="000000" w:themeColor="text1"/>
          <w:sz w:val="24"/>
          <w:szCs w:val="24"/>
          <w:lang w:eastAsia="hr-HR"/>
        </w:rPr>
        <w:t>/01</w:t>
      </w:r>
    </w:p>
    <w:p w:rsidR="005C1E80" w:rsidRDefault="005C1E80" w:rsidP="005C1E80">
      <w:pPr>
        <w:spacing w:after="0" w:line="240" w:lineRule="auto"/>
        <w:rPr>
          <w:rFonts w:ascii="Arial" w:eastAsia="Times New Roman" w:hAnsi="Arial" w:cs="Arial"/>
          <w:color w:val="000000" w:themeColor="text1"/>
          <w:sz w:val="24"/>
          <w:szCs w:val="24"/>
          <w:lang w:val="en-US" w:eastAsia="hr-HR"/>
        </w:rPr>
      </w:pPr>
      <w:r>
        <w:rPr>
          <w:rFonts w:ascii="Arial" w:eastAsia="Times New Roman" w:hAnsi="Arial" w:cs="Arial"/>
          <w:color w:val="000000" w:themeColor="text1"/>
          <w:sz w:val="24"/>
          <w:szCs w:val="24"/>
          <w:lang w:eastAsia="hr-HR"/>
        </w:rPr>
        <w:t>URBROJ: 2178-22-03-2</w:t>
      </w:r>
      <w:r>
        <w:rPr>
          <w:rFonts w:ascii="Arial" w:eastAsia="Times New Roman" w:hAnsi="Arial" w:cs="Arial"/>
          <w:color w:val="000000" w:themeColor="text1"/>
          <w:sz w:val="24"/>
          <w:szCs w:val="24"/>
          <w:lang w:val="en-US" w:eastAsia="hr-HR"/>
        </w:rPr>
        <w:t>5</w:t>
      </w:r>
      <w:r>
        <w:rPr>
          <w:rFonts w:ascii="Arial" w:eastAsia="Times New Roman" w:hAnsi="Arial" w:cs="Arial"/>
          <w:color w:val="000000" w:themeColor="text1"/>
          <w:sz w:val="24"/>
          <w:szCs w:val="24"/>
          <w:lang w:eastAsia="hr-HR"/>
        </w:rPr>
        <w:t>-</w:t>
      </w:r>
      <w:r>
        <w:rPr>
          <w:rFonts w:ascii="Arial" w:eastAsia="Times New Roman" w:hAnsi="Arial" w:cs="Arial"/>
          <w:color w:val="000000" w:themeColor="text1"/>
          <w:sz w:val="24"/>
          <w:szCs w:val="24"/>
          <w:lang w:val="en-US" w:eastAsia="hr-HR"/>
        </w:rPr>
        <w:t>1</w:t>
      </w:r>
    </w:p>
    <w:p w:rsidR="005C1E80" w:rsidRDefault="005C1E80" w:rsidP="005C1E80">
      <w:pPr>
        <w:spacing w:after="0" w:line="240" w:lineRule="auto"/>
        <w:rPr>
          <w:rFonts w:ascii="Arial" w:eastAsia="Times New Roman" w:hAnsi="Arial" w:cs="Arial"/>
          <w:color w:val="EE0000"/>
          <w:sz w:val="24"/>
          <w:szCs w:val="24"/>
          <w:lang w:eastAsia="hr-HR"/>
        </w:rPr>
      </w:pPr>
      <w:r>
        <w:rPr>
          <w:rFonts w:ascii="Arial" w:eastAsia="Times New Roman" w:hAnsi="Arial" w:cs="Arial"/>
          <w:color w:val="000000" w:themeColor="text1"/>
          <w:sz w:val="24"/>
          <w:szCs w:val="24"/>
          <w:lang w:eastAsia="hr-HR"/>
        </w:rPr>
        <w:t xml:space="preserve">Gornji Bogićevci, </w:t>
      </w:r>
      <w:r>
        <w:rPr>
          <w:rFonts w:ascii="Arial" w:eastAsia="Times New Roman" w:hAnsi="Arial" w:cs="Arial"/>
          <w:color w:val="000000" w:themeColor="text1"/>
          <w:sz w:val="24"/>
          <w:szCs w:val="24"/>
          <w:lang w:val="en-US" w:eastAsia="hr-HR"/>
        </w:rPr>
        <w:t>22</w:t>
      </w:r>
      <w:r>
        <w:rPr>
          <w:rFonts w:ascii="Arial" w:eastAsia="Times New Roman" w:hAnsi="Arial" w:cs="Arial"/>
          <w:color w:val="000000" w:themeColor="text1"/>
          <w:sz w:val="24"/>
          <w:szCs w:val="24"/>
          <w:lang w:eastAsia="hr-HR"/>
        </w:rPr>
        <w:t>.12.202</w:t>
      </w:r>
      <w:r>
        <w:rPr>
          <w:rFonts w:ascii="Arial" w:eastAsia="Times New Roman" w:hAnsi="Arial" w:cs="Arial"/>
          <w:color w:val="000000" w:themeColor="text1"/>
          <w:sz w:val="24"/>
          <w:szCs w:val="24"/>
          <w:lang w:val="en-US" w:eastAsia="hr-HR"/>
        </w:rPr>
        <w:t>5</w:t>
      </w:r>
      <w:r>
        <w:rPr>
          <w:rFonts w:ascii="Arial" w:eastAsia="Times New Roman" w:hAnsi="Arial" w:cs="Arial"/>
          <w:color w:val="000000" w:themeColor="text1"/>
          <w:sz w:val="24"/>
          <w:szCs w:val="24"/>
          <w:lang w:eastAsia="hr-HR"/>
        </w:rPr>
        <w:t>.god.</w:t>
      </w:r>
      <w:r>
        <w:rPr>
          <w:rFonts w:ascii="Arial" w:eastAsia="Times New Roman" w:hAnsi="Arial" w:cs="Arial"/>
          <w:color w:val="000000" w:themeColor="text1"/>
          <w:sz w:val="24"/>
          <w:szCs w:val="24"/>
          <w:lang w:eastAsia="hr-HR"/>
        </w:rPr>
        <w:tab/>
      </w:r>
      <w:r>
        <w:rPr>
          <w:rFonts w:ascii="Arial" w:eastAsia="Times New Roman" w:hAnsi="Arial" w:cs="Arial"/>
          <w:color w:val="EE0000"/>
          <w:sz w:val="24"/>
          <w:szCs w:val="24"/>
          <w:lang w:eastAsia="hr-HR"/>
        </w:rPr>
        <w:tab/>
      </w:r>
      <w:r>
        <w:rPr>
          <w:rFonts w:ascii="Arial" w:eastAsia="Times New Roman" w:hAnsi="Arial" w:cs="Arial"/>
          <w:color w:val="EE0000"/>
          <w:sz w:val="24"/>
          <w:szCs w:val="24"/>
          <w:lang w:eastAsia="hr-HR"/>
        </w:rPr>
        <w:tab/>
      </w:r>
    </w:p>
    <w:p w:rsidR="005C1E80" w:rsidRDefault="005C1E80" w:rsidP="005C1E80">
      <w:pPr>
        <w:spacing w:after="0" w:line="240" w:lineRule="auto"/>
        <w:rPr>
          <w:rFonts w:ascii="Arial" w:eastAsia="Times New Roman" w:hAnsi="Arial" w:cs="Arial"/>
          <w:color w:val="EE0000"/>
          <w:sz w:val="24"/>
          <w:szCs w:val="24"/>
          <w:lang w:eastAsia="hr-HR"/>
        </w:rPr>
      </w:pPr>
    </w:p>
    <w:p w:rsidR="005C1E80" w:rsidRDefault="005C1E80" w:rsidP="005C1E80">
      <w:pPr>
        <w:spacing w:after="0" w:line="240" w:lineRule="auto"/>
        <w:ind w:left="5664" w:firstLine="708"/>
        <w:rPr>
          <w:rFonts w:ascii="Arial" w:eastAsia="Times New Roman" w:hAnsi="Arial" w:cs="Arial"/>
          <w:sz w:val="24"/>
          <w:szCs w:val="24"/>
          <w:lang w:eastAsia="hr-HR"/>
        </w:rPr>
      </w:pPr>
      <w:r>
        <w:rPr>
          <w:rFonts w:ascii="Arial" w:eastAsia="Times New Roman" w:hAnsi="Arial" w:cs="Arial"/>
          <w:sz w:val="24"/>
          <w:szCs w:val="24"/>
          <w:lang w:eastAsia="hr-HR"/>
        </w:rPr>
        <w:t>PREDSJEDNIK</w:t>
      </w:r>
    </w:p>
    <w:p w:rsidR="005C1E80" w:rsidRDefault="005C1E80" w:rsidP="005C1E80">
      <w:pPr>
        <w:spacing w:after="0" w:line="240" w:lineRule="auto"/>
        <w:rPr>
          <w:rFonts w:ascii="Arial" w:eastAsia="Times New Roman" w:hAnsi="Arial" w:cs="Arial"/>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t xml:space="preserve">     OPĆINSKOG VIJEĆA:</w:t>
      </w:r>
    </w:p>
    <w:p w:rsidR="005C1E80" w:rsidRDefault="005C1E80" w:rsidP="005C1E80">
      <w:pPr>
        <w:spacing w:after="0" w:line="240" w:lineRule="auto"/>
        <w:rPr>
          <w:rFonts w:ascii="Arial" w:eastAsia="Times New Roman" w:hAnsi="Arial" w:cs="Arial"/>
          <w:sz w:val="24"/>
          <w:szCs w:val="24"/>
          <w:lang w:eastAsia="hr-HR"/>
        </w:rPr>
      </w:pPr>
    </w:p>
    <w:p w:rsidR="005C1E80" w:rsidRDefault="005C1E80" w:rsidP="005C1E80">
      <w:pPr>
        <w:spacing w:after="0" w:line="240" w:lineRule="auto"/>
        <w:rPr>
          <w:rFonts w:ascii="Arial" w:eastAsia="Times New Roman" w:hAnsi="Arial" w:cs="Arial"/>
          <w:sz w:val="24"/>
          <w:szCs w:val="24"/>
          <w:lang w:eastAsia="hr-HR"/>
        </w:rPr>
      </w:pP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r>
      <w:r>
        <w:rPr>
          <w:rFonts w:ascii="Arial" w:eastAsia="Times New Roman" w:hAnsi="Arial" w:cs="Arial"/>
          <w:sz w:val="24"/>
          <w:szCs w:val="24"/>
          <w:lang w:eastAsia="hr-HR"/>
        </w:rPr>
        <w:tab/>
        <w:t xml:space="preserve">               Željko Klarić</w:t>
      </w:r>
    </w:p>
    <w:p w:rsidR="005C1E80" w:rsidRDefault="005C1E80" w:rsidP="005C1E80">
      <w:pPr>
        <w:spacing w:after="0" w:line="240" w:lineRule="auto"/>
        <w:rPr>
          <w:rFonts w:ascii="Arial" w:eastAsia="Times New Roman" w:hAnsi="Arial" w:cs="Arial"/>
          <w:sz w:val="24"/>
          <w:szCs w:val="24"/>
          <w:lang w:eastAsia="hr-HR"/>
        </w:rPr>
      </w:pPr>
    </w:p>
    <w:p w:rsidR="005C1E80" w:rsidRDefault="005C1E80" w:rsidP="005C1E80">
      <w:pPr>
        <w:spacing w:after="0" w:line="240" w:lineRule="auto"/>
        <w:rPr>
          <w:rFonts w:ascii="Arial" w:eastAsia="Times New Roman" w:hAnsi="Arial" w:cs="Arial"/>
          <w:sz w:val="24"/>
          <w:szCs w:val="24"/>
          <w:lang w:eastAsia="hr-HR"/>
        </w:rPr>
      </w:pPr>
    </w:p>
    <w:p w:rsidR="005C1E80" w:rsidRDefault="005C1E80" w:rsidP="005C1E80">
      <w:pPr>
        <w:spacing w:after="0" w:line="240" w:lineRule="auto"/>
        <w:rPr>
          <w:rFonts w:ascii="Arial" w:eastAsia="Times New Roman" w:hAnsi="Arial" w:cs="Arial"/>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both"/>
        <w:rPr>
          <w:rFonts w:ascii="Arial" w:hAnsi="Arial" w:cs="Arial"/>
          <w:b/>
          <w:bCs/>
          <w:color w:val="000000" w:themeColor="text1"/>
          <w:sz w:val="24"/>
          <w:szCs w:val="24"/>
          <w:lang w:eastAsia="hr-HR"/>
        </w:rPr>
      </w:pPr>
    </w:p>
    <w:p w:rsidR="005C1E80" w:rsidRDefault="005C1E80" w:rsidP="005C1E80">
      <w:pPr>
        <w:jc w:val="center"/>
        <w:rPr>
          <w:rFonts w:ascii="Arial" w:hAnsi="Arial" w:cs="Arial"/>
          <w:b/>
          <w:bCs/>
          <w:color w:val="000000" w:themeColor="text1"/>
          <w:sz w:val="24"/>
          <w:szCs w:val="24"/>
          <w:lang w:eastAsia="hr-HR"/>
        </w:rPr>
      </w:pPr>
      <w:r>
        <w:rPr>
          <w:rFonts w:ascii="Arial" w:hAnsi="Arial" w:cs="Arial"/>
          <w:b/>
          <w:bCs/>
          <w:color w:val="000000" w:themeColor="text1"/>
          <w:sz w:val="24"/>
          <w:szCs w:val="24"/>
          <w:lang w:eastAsia="hr-HR"/>
        </w:rPr>
        <w:t>OBRAZLOŽENJE</w:t>
      </w:r>
    </w:p>
    <w:p w:rsidR="005C1E80" w:rsidRDefault="005C1E80" w:rsidP="005C1E80">
      <w:pPr>
        <w:jc w:val="center"/>
        <w:rPr>
          <w:rFonts w:ascii="Arial" w:hAnsi="Arial" w:cs="Arial"/>
          <w:b/>
          <w:bCs/>
          <w:color w:val="000000" w:themeColor="text1"/>
          <w:sz w:val="24"/>
          <w:szCs w:val="24"/>
          <w:lang w:eastAsia="hr-HR"/>
        </w:rPr>
      </w:pPr>
    </w:p>
    <w:p w:rsidR="005C1E80" w:rsidRDefault="005C1E80" w:rsidP="005C1E80">
      <w:pPr>
        <w:jc w:val="both"/>
        <w:rPr>
          <w:rFonts w:ascii="Arial" w:hAnsi="Arial" w:cs="Arial"/>
          <w:color w:val="000000" w:themeColor="text1"/>
          <w:sz w:val="24"/>
          <w:szCs w:val="24"/>
          <w:lang w:val="en-US" w:eastAsia="hr-HR"/>
        </w:rPr>
      </w:pPr>
      <w:r>
        <w:rPr>
          <w:rFonts w:ascii="Arial" w:hAnsi="Arial" w:cs="Arial"/>
          <w:color w:val="000000" w:themeColor="text1"/>
          <w:sz w:val="24"/>
          <w:szCs w:val="24"/>
          <w:lang w:eastAsia="hr-HR"/>
        </w:rPr>
        <w:t xml:space="preserve">Zakonom o lokalnim porezima </w:t>
      </w:r>
      <w:r>
        <w:rPr>
          <w:rFonts w:ascii="Arial" w:hAnsi="Arial" w:cs="Arial"/>
          <w:sz w:val="24"/>
          <w:szCs w:val="24"/>
        </w:rPr>
        <w:t xml:space="preserve">(„Narodne novine“ br. 115/16, 101/17, 114/22, 114/23, </w:t>
      </w:r>
      <w:r>
        <w:rPr>
          <w:rFonts w:ascii="Arial" w:hAnsi="Arial" w:cs="Arial"/>
          <w:color w:val="000000" w:themeColor="text1"/>
          <w:sz w:val="24"/>
          <w:szCs w:val="24"/>
        </w:rPr>
        <w:t>152/24)</w:t>
      </w:r>
      <w:r>
        <w:rPr>
          <w:rFonts w:ascii="Arial" w:hAnsi="Arial" w:cs="Arial"/>
          <w:color w:val="000000" w:themeColor="text1"/>
          <w:sz w:val="24"/>
          <w:szCs w:val="24"/>
          <w:lang w:eastAsia="hr-HR"/>
        </w:rPr>
        <w:t xml:space="preserve"> </w:t>
      </w:r>
      <w:r>
        <w:rPr>
          <w:rFonts w:ascii="Arial" w:hAnsi="Arial" w:cs="Arial"/>
          <w:color w:val="000000" w:themeColor="text1"/>
          <w:sz w:val="24"/>
          <w:szCs w:val="24"/>
          <w:lang w:val="en-US" w:eastAsia="hr-HR"/>
        </w:rPr>
        <w:t>uvedene su izmjene vezane za naziv poreza na kuće za odmor, pa je tako sukladno članku 27. ovog zakona naziv promijenjen u porez na nekretnine.</w:t>
      </w:r>
    </w:p>
    <w:p w:rsidR="005C1E80" w:rsidRDefault="005C1E80" w:rsidP="005C1E80">
      <w:pPr>
        <w:rPr>
          <w:rFonts w:ascii="Arial" w:hAnsi="Arial" w:cs="Arial"/>
          <w:color w:val="000000" w:themeColor="text1"/>
          <w:sz w:val="24"/>
          <w:szCs w:val="24"/>
          <w:lang w:val="en-US" w:eastAsia="hr-HR"/>
        </w:rPr>
      </w:pPr>
      <w:r>
        <w:rPr>
          <w:rFonts w:ascii="Arial" w:hAnsi="Arial" w:cs="Arial"/>
          <w:color w:val="000000" w:themeColor="text1"/>
          <w:sz w:val="24"/>
          <w:szCs w:val="24"/>
          <w:lang w:val="en-US" w:eastAsia="hr-HR"/>
        </w:rPr>
        <w:t xml:space="preserve">Sukladno gore navedenom u odluci su dodani porezni uredi na području Općine Gornji Bogićevci koji su ovlašteni za obračun poreza te je u članku 4. naglašeno da 5% prihoda od prihoda poreza pripada poreznoj upravi. </w:t>
      </w:r>
    </w:p>
    <w:p w:rsidR="005C1E80" w:rsidRDefault="005C1E80" w:rsidP="005C1E80">
      <w:pPr>
        <w:rPr>
          <w:rFonts w:ascii="Arial" w:hAnsi="Arial" w:cs="Arial"/>
          <w:color w:val="000000" w:themeColor="text1"/>
          <w:sz w:val="24"/>
          <w:szCs w:val="24"/>
          <w:lang w:val="en-US" w:eastAsia="hr-HR"/>
        </w:rPr>
      </w:pPr>
      <w:r>
        <w:rPr>
          <w:rFonts w:ascii="Arial" w:hAnsi="Arial" w:cs="Arial"/>
          <w:color w:val="000000" w:themeColor="text1"/>
          <w:sz w:val="24"/>
          <w:szCs w:val="24"/>
          <w:lang w:val="en-US" w:eastAsia="hr-HR"/>
        </w:rPr>
        <w:t>U članku 7. mijenja se obrazloženje javnih površina sukladno donešenim izmjenama zakona.</w:t>
      </w:r>
    </w:p>
    <w:p w:rsidR="005C1E80" w:rsidRDefault="005C1E80" w:rsidP="005C1E80">
      <w:pPr>
        <w:rPr>
          <w:rFonts w:ascii="Aptos" w:hAnsi="Aptos"/>
          <w:sz w:val="24"/>
          <w:szCs w:val="24"/>
          <w:lang w:eastAsia="zh-CN"/>
        </w:rPr>
      </w:pPr>
      <w:r>
        <w:rPr>
          <w:rFonts w:ascii="Arial" w:hAnsi="Arial" w:cs="Arial"/>
          <w:color w:val="000000" w:themeColor="text1"/>
          <w:sz w:val="24"/>
          <w:szCs w:val="24"/>
          <w:lang w:val="en-US" w:eastAsia="hr-HR"/>
        </w:rPr>
        <w:t>U članku 8. stavak 1. mijenja se iznos godišnjeg obračuna naknade, a u stavak 2. ovog članka dodan je novi objekt sukladno općinski</w:t>
      </w: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Default="005C1E80" w:rsidP="005C1E80">
      <w:pPr>
        <w:rPr>
          <w:rFonts w:ascii="Aptos" w:hAnsi="Aptos"/>
          <w:sz w:val="24"/>
          <w:szCs w:val="24"/>
          <w:lang w:eastAsia="zh-CN"/>
        </w:rPr>
      </w:pPr>
    </w:p>
    <w:p w:rsidR="005C1E80" w:rsidRPr="005C1E80" w:rsidRDefault="005C1E80" w:rsidP="005C1E80">
      <w:pPr>
        <w:pStyle w:val="Bezproreda"/>
        <w:rPr>
          <w:rFonts w:ascii="Times New Roman" w:hAnsi="Times New Roman" w:cs="Times New Roman"/>
          <w:b/>
          <w:bCs/>
          <w:sz w:val="24"/>
          <w:szCs w:val="24"/>
        </w:rPr>
      </w:pPr>
      <w:r w:rsidRPr="005C1E80">
        <w:rPr>
          <w:rFonts w:ascii="Times New Roman" w:hAnsi="Times New Roman" w:cs="Times New Roman"/>
          <w:b/>
          <w:bCs/>
          <w:sz w:val="24"/>
          <w:szCs w:val="24"/>
        </w:rPr>
        <w:t>52. Godišnji plan rada za 2026. godinu</w:t>
      </w:r>
    </w:p>
    <w:p w:rsidR="00A66748" w:rsidRDefault="00A66748" w:rsidP="00A66748">
      <w:pPr>
        <w:jc w:val="center"/>
        <w:rPr>
          <w:rFonts w:ascii="Times New Roman" w:hAnsi="Times New Roman" w:cs="Times New Roman"/>
          <w:sz w:val="32"/>
          <w:szCs w:val="32"/>
        </w:rPr>
      </w:pPr>
      <w:r>
        <w:rPr>
          <w:noProof/>
          <w:sz w:val="32"/>
          <w:szCs w:val="32"/>
          <w:lang w:eastAsia="hr-HR"/>
        </w:rPr>
        <w:drawing>
          <wp:inline distT="0" distB="0" distL="0" distR="0">
            <wp:extent cx="396240" cy="506095"/>
            <wp:effectExtent l="0" t="0" r="3810" b="8255"/>
            <wp:docPr id="9249516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 cy="506095"/>
                    </a:xfrm>
                    <a:prstGeom prst="rect">
                      <a:avLst/>
                    </a:prstGeom>
                    <a:noFill/>
                  </pic:spPr>
                </pic:pic>
              </a:graphicData>
            </a:graphic>
          </wp:inline>
        </w:drawing>
      </w:r>
    </w:p>
    <w:p w:rsidR="00A66748" w:rsidRDefault="00A66748" w:rsidP="00A66748">
      <w:pPr>
        <w:jc w:val="center"/>
        <w:rPr>
          <w:rFonts w:ascii="Times New Roman" w:hAnsi="Times New Roman" w:cs="Times New Roman"/>
          <w:sz w:val="32"/>
          <w:szCs w:val="32"/>
        </w:rPr>
      </w:pPr>
      <w:r>
        <w:rPr>
          <w:rFonts w:ascii="Times New Roman" w:hAnsi="Times New Roman" w:cs="Times New Roman"/>
          <w:sz w:val="32"/>
          <w:szCs w:val="32"/>
        </w:rPr>
        <w:lastRenderedPageBreak/>
        <w:t>REPUBLIKA HRVATSKA</w:t>
      </w:r>
    </w:p>
    <w:p w:rsidR="00A66748" w:rsidRDefault="00A66748" w:rsidP="00A66748">
      <w:pPr>
        <w:jc w:val="center"/>
        <w:rPr>
          <w:rFonts w:ascii="Times New Roman" w:hAnsi="Times New Roman" w:cs="Times New Roman"/>
          <w:sz w:val="32"/>
          <w:szCs w:val="32"/>
        </w:rPr>
      </w:pPr>
      <w:r>
        <w:rPr>
          <w:rFonts w:ascii="Times New Roman" w:hAnsi="Times New Roman" w:cs="Times New Roman"/>
          <w:sz w:val="32"/>
          <w:szCs w:val="32"/>
        </w:rPr>
        <w:t>BRODSKO – POSAVSKA ŽUPANIJA</w:t>
      </w:r>
    </w:p>
    <w:p w:rsidR="00A66748" w:rsidRDefault="00A66748" w:rsidP="00A66748">
      <w:pPr>
        <w:jc w:val="center"/>
        <w:rPr>
          <w:rFonts w:ascii="Times New Roman" w:hAnsi="Times New Roman" w:cs="Times New Roman"/>
          <w:sz w:val="32"/>
          <w:szCs w:val="32"/>
        </w:rPr>
      </w:pPr>
      <w:r>
        <w:rPr>
          <w:rFonts w:ascii="Times New Roman" w:hAnsi="Times New Roman" w:cs="Times New Roman"/>
          <w:sz w:val="32"/>
          <w:szCs w:val="32"/>
        </w:rPr>
        <w:t>OPĆINA GORNJI BOGIĆEVCI</w:t>
      </w: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r>
        <w:rPr>
          <w:rFonts w:ascii="Times New Roman" w:hAnsi="Times New Roman" w:cs="Times New Roman"/>
          <w:sz w:val="32"/>
          <w:szCs w:val="32"/>
        </w:rPr>
        <w:t xml:space="preserve">GODIŠNJI PLAN RADA OPĆINE GORNJI BOGIĆEVCI </w:t>
      </w:r>
    </w:p>
    <w:p w:rsidR="00A66748" w:rsidRDefault="00A66748" w:rsidP="00A66748">
      <w:pPr>
        <w:jc w:val="center"/>
        <w:rPr>
          <w:rFonts w:ascii="Times New Roman" w:hAnsi="Times New Roman" w:cs="Times New Roman"/>
          <w:sz w:val="32"/>
          <w:szCs w:val="32"/>
        </w:rPr>
      </w:pPr>
      <w:r>
        <w:rPr>
          <w:rFonts w:ascii="Times New Roman" w:hAnsi="Times New Roman" w:cs="Times New Roman"/>
          <w:sz w:val="32"/>
          <w:szCs w:val="32"/>
        </w:rPr>
        <w:t>ZA 2026. GODINU</w:t>
      </w: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32"/>
          <w:szCs w:val="32"/>
        </w:rPr>
      </w:pPr>
    </w:p>
    <w:p w:rsidR="00A66748" w:rsidRDefault="00A66748" w:rsidP="00A66748">
      <w:pPr>
        <w:jc w:val="center"/>
        <w:rPr>
          <w:rFonts w:ascii="Times New Roman" w:hAnsi="Times New Roman" w:cs="Times New Roman"/>
          <w:sz w:val="24"/>
          <w:szCs w:val="24"/>
        </w:rPr>
      </w:pPr>
    </w:p>
    <w:p w:rsidR="00A66748" w:rsidRDefault="00A66748" w:rsidP="00A66748">
      <w:pPr>
        <w:jc w:val="center"/>
        <w:rPr>
          <w:rFonts w:ascii="Times New Roman" w:hAnsi="Times New Roman" w:cs="Times New Roman"/>
          <w:sz w:val="18"/>
          <w:szCs w:val="18"/>
        </w:rPr>
      </w:pPr>
      <w:r w:rsidRPr="009B69F4">
        <w:rPr>
          <w:rFonts w:ascii="Times New Roman" w:hAnsi="Times New Roman" w:cs="Times New Roman"/>
          <w:sz w:val="18"/>
          <w:szCs w:val="18"/>
        </w:rPr>
        <w:t xml:space="preserve">GORNJI BOGIĆEVCI, STUDENI 2025. </w:t>
      </w:r>
    </w:p>
    <w:p w:rsidR="00A66748" w:rsidRDefault="00A66748" w:rsidP="00A66748">
      <w:pPr>
        <w:rPr>
          <w:rFonts w:ascii="Times New Roman" w:hAnsi="Times New Roman" w:cs="Times New Roman"/>
          <w:sz w:val="28"/>
          <w:szCs w:val="28"/>
        </w:rPr>
      </w:pPr>
      <w:r>
        <w:rPr>
          <w:rFonts w:ascii="Times New Roman" w:hAnsi="Times New Roman" w:cs="Times New Roman"/>
          <w:sz w:val="28"/>
          <w:szCs w:val="28"/>
        </w:rPr>
        <w:t>KLASA: 001-02/25-01/01</w:t>
      </w:r>
    </w:p>
    <w:p w:rsidR="00A66748" w:rsidRDefault="00A66748" w:rsidP="00A66748">
      <w:pPr>
        <w:rPr>
          <w:rFonts w:ascii="Times New Roman" w:hAnsi="Times New Roman" w:cs="Times New Roman"/>
          <w:sz w:val="28"/>
          <w:szCs w:val="28"/>
        </w:rPr>
      </w:pPr>
      <w:r>
        <w:rPr>
          <w:rFonts w:ascii="Times New Roman" w:hAnsi="Times New Roman" w:cs="Times New Roman"/>
          <w:sz w:val="28"/>
          <w:szCs w:val="28"/>
        </w:rPr>
        <w:t>URBROJ: 2178-22-01-25-1</w:t>
      </w: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r w:rsidRPr="009B69F4">
        <w:rPr>
          <w:rFonts w:ascii="Times New Roman" w:hAnsi="Times New Roman" w:cs="Times New Roman"/>
          <w:sz w:val="24"/>
          <w:szCs w:val="24"/>
        </w:rPr>
        <w:t>Gornji Bogićevci</w:t>
      </w:r>
      <w:r>
        <w:rPr>
          <w:rFonts w:ascii="Times New Roman" w:hAnsi="Times New Roman" w:cs="Times New Roman"/>
          <w:sz w:val="28"/>
          <w:szCs w:val="28"/>
        </w:rPr>
        <w:t>, 21.11.2025.</w:t>
      </w: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b/>
          <w:bCs/>
          <w:sz w:val="28"/>
          <w:szCs w:val="28"/>
        </w:rPr>
      </w:pPr>
      <w:r>
        <w:rPr>
          <w:rFonts w:ascii="Times New Roman" w:hAnsi="Times New Roman" w:cs="Times New Roman"/>
          <w:b/>
          <w:bCs/>
          <w:sz w:val="28"/>
          <w:szCs w:val="28"/>
        </w:rPr>
        <w:t>PREDGOVOR</w:t>
      </w:r>
    </w:p>
    <w:p w:rsidR="00A66748" w:rsidRDefault="00A66748" w:rsidP="00A66748">
      <w:pPr>
        <w:rPr>
          <w:rFonts w:ascii="Times New Roman" w:hAnsi="Times New Roman" w:cs="Times New Roman"/>
          <w:b/>
          <w:bCs/>
          <w:sz w:val="28"/>
          <w:szCs w:val="28"/>
        </w:rPr>
      </w:pPr>
    </w:p>
    <w:p w:rsidR="00A66748" w:rsidRPr="004C599E" w:rsidRDefault="00A66748" w:rsidP="00A66748">
      <w:pPr>
        <w:spacing w:line="360" w:lineRule="auto"/>
        <w:jc w:val="both"/>
        <w:rPr>
          <w:rFonts w:ascii="Times New Roman" w:hAnsi="Times New Roman" w:cs="Times New Roman"/>
          <w:sz w:val="24"/>
          <w:szCs w:val="24"/>
        </w:rPr>
      </w:pPr>
      <w:r w:rsidRPr="004C599E">
        <w:rPr>
          <w:rFonts w:ascii="Times New Roman" w:hAnsi="Times New Roman" w:cs="Times New Roman"/>
          <w:sz w:val="24"/>
          <w:szCs w:val="24"/>
        </w:rPr>
        <w:lastRenderedPageBreak/>
        <w:t xml:space="preserve">Godišnji plan rada Općine </w:t>
      </w:r>
      <w:r>
        <w:rPr>
          <w:rFonts w:ascii="Times New Roman" w:hAnsi="Times New Roman" w:cs="Times New Roman"/>
          <w:sz w:val="24"/>
          <w:szCs w:val="24"/>
        </w:rPr>
        <w:t xml:space="preserve">Gornji Bogićevci </w:t>
      </w:r>
      <w:r w:rsidRPr="004C599E">
        <w:rPr>
          <w:rFonts w:ascii="Times New Roman" w:hAnsi="Times New Roman" w:cs="Times New Roman"/>
          <w:sz w:val="24"/>
          <w:szCs w:val="24"/>
        </w:rPr>
        <w:t xml:space="preserve">za 2026. godinu izrađen je u skladu s Provedbenim programom Općine </w:t>
      </w:r>
      <w:r>
        <w:rPr>
          <w:rFonts w:ascii="Times New Roman" w:hAnsi="Times New Roman" w:cs="Times New Roman"/>
          <w:sz w:val="24"/>
          <w:szCs w:val="24"/>
        </w:rPr>
        <w:t>Gornji Bogićevci</w:t>
      </w:r>
      <w:r w:rsidRPr="004C599E">
        <w:rPr>
          <w:rFonts w:ascii="Times New Roman" w:hAnsi="Times New Roman" w:cs="Times New Roman"/>
          <w:sz w:val="24"/>
          <w:szCs w:val="24"/>
        </w:rPr>
        <w:t xml:space="preserve"> za razdoblje 2025. – 2029. godine te predstavlja temelj za provedbu nove razvojne vizije i postavljanje svježih prioriteta lokalne uprave.</w:t>
      </w:r>
    </w:p>
    <w:p w:rsidR="00A66748" w:rsidRPr="004C599E" w:rsidRDefault="00A66748" w:rsidP="00A66748">
      <w:pPr>
        <w:spacing w:line="360" w:lineRule="auto"/>
        <w:jc w:val="both"/>
        <w:rPr>
          <w:rFonts w:ascii="Times New Roman" w:hAnsi="Times New Roman" w:cs="Times New Roman"/>
          <w:sz w:val="24"/>
          <w:szCs w:val="24"/>
        </w:rPr>
      </w:pPr>
    </w:p>
    <w:p w:rsidR="00A66748" w:rsidRPr="004C599E" w:rsidRDefault="00A66748" w:rsidP="00A66748">
      <w:pPr>
        <w:spacing w:line="360" w:lineRule="auto"/>
        <w:jc w:val="both"/>
        <w:rPr>
          <w:rFonts w:ascii="Times New Roman" w:hAnsi="Times New Roman" w:cs="Times New Roman"/>
          <w:sz w:val="24"/>
          <w:szCs w:val="24"/>
        </w:rPr>
      </w:pPr>
      <w:r w:rsidRPr="004C599E">
        <w:rPr>
          <w:rFonts w:ascii="Times New Roman" w:hAnsi="Times New Roman" w:cs="Times New Roman"/>
          <w:sz w:val="24"/>
          <w:szCs w:val="24"/>
        </w:rPr>
        <w:t xml:space="preserve">Ovim se dokumentom definiraju konkretni ciljevi, mjere i aktivnosti planirane za 2026. godinu, a koje proizlaze iz nastojanja da se stvori moderna, održiva i uključiva zajednica. Posebna se pažnja posvećuje demografskoj obnovi i potpori mladim obiteljima, razvoju gospodarstva i poduzetništva, digitalnoj i zelenoj tranziciji, te unaprjeđenju društvenih, kulturnih i komunalnih sadržaja. Sve planirane aktivnosti usmjerene su prema zajedničkom cilju učiniti </w:t>
      </w:r>
      <w:r>
        <w:rPr>
          <w:rFonts w:ascii="Times New Roman" w:hAnsi="Times New Roman" w:cs="Times New Roman"/>
          <w:sz w:val="24"/>
          <w:szCs w:val="24"/>
        </w:rPr>
        <w:t>Gornje Bogićevce</w:t>
      </w:r>
      <w:r w:rsidRPr="004C599E">
        <w:rPr>
          <w:rFonts w:ascii="Times New Roman" w:hAnsi="Times New Roman" w:cs="Times New Roman"/>
          <w:sz w:val="24"/>
          <w:szCs w:val="24"/>
        </w:rPr>
        <w:t xml:space="preserve"> mjestom ugodnog, sigurnog i dostojanstvenog života, s ravnomjerno razvijenom infrastrukturom i mogućnostima za osobni i profesionalni razvoj svakog stanovnika.</w:t>
      </w:r>
    </w:p>
    <w:p w:rsidR="00A66748" w:rsidRPr="004C599E" w:rsidRDefault="00A66748" w:rsidP="00A66748">
      <w:pPr>
        <w:spacing w:line="360" w:lineRule="auto"/>
        <w:jc w:val="both"/>
        <w:rPr>
          <w:rFonts w:ascii="Times New Roman" w:hAnsi="Times New Roman" w:cs="Times New Roman"/>
          <w:sz w:val="24"/>
          <w:szCs w:val="24"/>
        </w:rPr>
      </w:pPr>
    </w:p>
    <w:p w:rsidR="00A66748" w:rsidRPr="004C599E" w:rsidRDefault="00A66748" w:rsidP="00A66748">
      <w:pPr>
        <w:spacing w:line="360" w:lineRule="auto"/>
        <w:jc w:val="both"/>
        <w:rPr>
          <w:rFonts w:ascii="Times New Roman" w:hAnsi="Times New Roman" w:cs="Times New Roman"/>
          <w:sz w:val="24"/>
          <w:szCs w:val="24"/>
        </w:rPr>
      </w:pPr>
      <w:r w:rsidRPr="004C599E">
        <w:rPr>
          <w:rFonts w:ascii="Times New Roman" w:hAnsi="Times New Roman" w:cs="Times New Roman"/>
          <w:sz w:val="24"/>
          <w:szCs w:val="24"/>
        </w:rPr>
        <w:t>Provedba plana temelji se na načelima transparentnosti, učinkovitosti i partnerstva s građanima. Samo zajedničkim djelovanjem kroz suradnju Općine, institucija i mještana moguće je ostvariti stvarne promjene te graditi stabilnu, solidarnu i perspektivnu zajednicu.</w:t>
      </w:r>
    </w:p>
    <w:p w:rsidR="00A66748" w:rsidRPr="004C599E"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r w:rsidRPr="004C599E">
        <w:rPr>
          <w:rFonts w:ascii="Times New Roman" w:hAnsi="Times New Roman" w:cs="Times New Roman"/>
          <w:sz w:val="24"/>
          <w:szCs w:val="24"/>
        </w:rPr>
        <w:t xml:space="preserve">Ovaj Godišnji plan rada nije tek upravljački dokument, već i izraz zajedničke odgovornosti i vizije napretka Općine </w:t>
      </w:r>
      <w:r>
        <w:rPr>
          <w:rFonts w:ascii="Times New Roman" w:hAnsi="Times New Roman" w:cs="Times New Roman"/>
          <w:sz w:val="24"/>
          <w:szCs w:val="24"/>
        </w:rPr>
        <w:t xml:space="preserve">Gornji Bogićevci </w:t>
      </w:r>
      <w:r w:rsidRPr="004C599E">
        <w:rPr>
          <w:rFonts w:ascii="Times New Roman" w:hAnsi="Times New Roman" w:cs="Times New Roman"/>
          <w:sz w:val="24"/>
          <w:szCs w:val="24"/>
        </w:rPr>
        <w:t>u novom razdoblju njezina razvoja.</w:t>
      </w: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 poštovanjem </w:t>
      </w:r>
    </w:p>
    <w:p w:rsidR="00A66748" w:rsidRDefault="00A66748" w:rsidP="00A66748">
      <w:pPr>
        <w:spacing w:line="360" w:lineRule="auto"/>
        <w:jc w:val="both"/>
        <w:rPr>
          <w:rFonts w:ascii="Times New Roman" w:hAnsi="Times New Roman" w:cs="Times New Roman"/>
          <w:sz w:val="24"/>
          <w:szCs w:val="24"/>
        </w:rPr>
      </w:pPr>
      <w:r>
        <w:rPr>
          <w:rFonts w:ascii="Times New Roman" w:hAnsi="Times New Roman" w:cs="Times New Roman"/>
          <w:sz w:val="24"/>
          <w:szCs w:val="24"/>
        </w:rPr>
        <w:t>Aleksandra Zdunić</w:t>
      </w:r>
    </w:p>
    <w:p w:rsidR="00A66748" w:rsidRDefault="00A66748" w:rsidP="00A66748">
      <w:pPr>
        <w:spacing w:line="360" w:lineRule="auto"/>
        <w:jc w:val="both"/>
        <w:rPr>
          <w:rFonts w:ascii="Times New Roman" w:hAnsi="Times New Roman" w:cs="Times New Roman"/>
          <w:sz w:val="24"/>
          <w:szCs w:val="24"/>
        </w:rPr>
      </w:pPr>
      <w:r>
        <w:rPr>
          <w:rFonts w:ascii="Times New Roman" w:hAnsi="Times New Roman" w:cs="Times New Roman"/>
          <w:sz w:val="24"/>
          <w:szCs w:val="24"/>
        </w:rPr>
        <w:t>Načelnica Općine Gornji Bogićevci</w:t>
      </w: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sdt>
      <w:sdtPr>
        <w:rPr>
          <w:kern w:val="2"/>
        </w:rPr>
        <w:id w:val="2013411860"/>
        <w:docPartObj>
          <w:docPartGallery w:val="Table of Contents"/>
          <w:docPartUnique/>
        </w:docPartObj>
      </w:sdtPr>
      <w:sdtEndPr>
        <w:rPr>
          <w:b/>
          <w:bCs/>
          <w:noProof/>
          <w:kern w:val="0"/>
        </w:rPr>
      </w:sdtEndPr>
      <w:sdtContent>
        <w:p w:rsidR="00A66748" w:rsidRPr="00995907" w:rsidRDefault="00A66748" w:rsidP="00A66748">
          <w:pPr>
            <w:pStyle w:val="TOCNaslov"/>
            <w:rPr>
              <w:rFonts w:ascii="Times New Roman" w:hAnsi="Times New Roman" w:cs="Times New Roman"/>
              <w:b/>
              <w:bCs/>
              <w:sz w:val="28"/>
              <w:szCs w:val="28"/>
            </w:rPr>
          </w:pPr>
          <w:r w:rsidRPr="00995907">
            <w:rPr>
              <w:rFonts w:ascii="Times New Roman" w:hAnsi="Times New Roman" w:cs="Times New Roman"/>
              <w:b/>
              <w:bCs/>
              <w:sz w:val="28"/>
              <w:szCs w:val="28"/>
            </w:rPr>
            <w:t>SADRŽAJ</w:t>
          </w:r>
        </w:p>
        <w:p w:rsidR="00A66748" w:rsidRPr="00995907" w:rsidRDefault="00A66748" w:rsidP="00A66748">
          <w:pPr>
            <w:rPr>
              <w:lang w:val="en-US"/>
            </w:rPr>
          </w:pPr>
        </w:p>
        <w:p w:rsidR="00A66748" w:rsidRDefault="00DD1C99" w:rsidP="00A66748">
          <w:pPr>
            <w:pStyle w:val="Sadraj1"/>
            <w:tabs>
              <w:tab w:val="left" w:pos="480"/>
              <w:tab w:val="right" w:leader="dot" w:pos="9062"/>
            </w:tabs>
            <w:rPr>
              <w:noProof/>
            </w:rPr>
          </w:pPr>
          <w:r w:rsidRPr="00DD1C99">
            <w:rPr>
              <w:b w:val="0"/>
            </w:rPr>
            <w:fldChar w:fldCharType="begin"/>
          </w:r>
          <w:r w:rsidR="00A66748">
            <w:instrText xml:space="preserve"> TOC \o "1-3" \h \z \u </w:instrText>
          </w:r>
          <w:r w:rsidRPr="00DD1C99">
            <w:rPr>
              <w:b w:val="0"/>
            </w:rPr>
            <w:fldChar w:fldCharType="separate"/>
          </w:r>
          <w:hyperlink w:anchor="_Toc213852206" w:history="1">
            <w:r w:rsidR="00A66748" w:rsidRPr="001B6F23">
              <w:rPr>
                <w:rStyle w:val="Hiperveza"/>
                <w:rFonts w:ascii="Times New Roman" w:hAnsi="Times New Roman"/>
                <w:bCs/>
                <w:noProof/>
              </w:rPr>
              <w:t>1.</w:t>
            </w:r>
            <w:r w:rsidR="00A66748">
              <w:rPr>
                <w:noProof/>
              </w:rPr>
              <w:tab/>
            </w:r>
            <w:r w:rsidR="00A66748" w:rsidRPr="001B6F23">
              <w:rPr>
                <w:rStyle w:val="Hiperveza"/>
                <w:rFonts w:ascii="Times New Roman" w:hAnsi="Times New Roman"/>
                <w:bCs/>
                <w:noProof/>
              </w:rPr>
              <w:t>UVOD</w:t>
            </w:r>
            <w:r w:rsidR="00A66748">
              <w:rPr>
                <w:noProof/>
                <w:webHidden/>
              </w:rPr>
              <w:tab/>
            </w:r>
            <w:r>
              <w:rPr>
                <w:noProof/>
                <w:webHidden/>
              </w:rPr>
              <w:fldChar w:fldCharType="begin"/>
            </w:r>
            <w:r w:rsidR="00A66748">
              <w:rPr>
                <w:noProof/>
                <w:webHidden/>
              </w:rPr>
              <w:instrText xml:space="preserve"> PAGEREF _Toc213852206 \h </w:instrText>
            </w:r>
            <w:r>
              <w:rPr>
                <w:noProof/>
                <w:webHidden/>
              </w:rPr>
            </w:r>
            <w:r>
              <w:rPr>
                <w:noProof/>
                <w:webHidden/>
              </w:rPr>
              <w:fldChar w:fldCharType="separate"/>
            </w:r>
            <w:r w:rsidR="00A66748">
              <w:rPr>
                <w:noProof/>
                <w:webHidden/>
              </w:rPr>
              <w:t>4</w:t>
            </w:r>
            <w:r>
              <w:rPr>
                <w:noProof/>
                <w:webHidden/>
              </w:rPr>
              <w:fldChar w:fldCharType="end"/>
            </w:r>
          </w:hyperlink>
        </w:p>
        <w:p w:rsidR="00A66748" w:rsidRDefault="00DD1C99" w:rsidP="00A66748">
          <w:pPr>
            <w:pStyle w:val="Sadraj1"/>
            <w:tabs>
              <w:tab w:val="left" w:pos="480"/>
              <w:tab w:val="right" w:leader="dot" w:pos="9062"/>
            </w:tabs>
            <w:rPr>
              <w:noProof/>
            </w:rPr>
          </w:pPr>
          <w:hyperlink w:anchor="_Toc213852207" w:history="1">
            <w:r w:rsidR="00A66748" w:rsidRPr="001B6F23">
              <w:rPr>
                <w:rStyle w:val="Hiperveza"/>
                <w:rFonts w:ascii="Times New Roman" w:hAnsi="Times New Roman"/>
                <w:bCs/>
                <w:noProof/>
              </w:rPr>
              <w:t>2.</w:t>
            </w:r>
            <w:r w:rsidR="00A66748">
              <w:rPr>
                <w:noProof/>
              </w:rPr>
              <w:tab/>
            </w:r>
            <w:r w:rsidR="00A66748" w:rsidRPr="001B6F23">
              <w:rPr>
                <w:rStyle w:val="Hiperveza"/>
                <w:rFonts w:ascii="Times New Roman" w:hAnsi="Times New Roman"/>
                <w:bCs/>
                <w:noProof/>
              </w:rPr>
              <w:t>DJELOKRUG RADA</w:t>
            </w:r>
            <w:r w:rsidR="00A66748">
              <w:rPr>
                <w:noProof/>
                <w:webHidden/>
              </w:rPr>
              <w:tab/>
            </w:r>
            <w:r>
              <w:rPr>
                <w:noProof/>
                <w:webHidden/>
              </w:rPr>
              <w:fldChar w:fldCharType="begin"/>
            </w:r>
            <w:r w:rsidR="00A66748">
              <w:rPr>
                <w:noProof/>
                <w:webHidden/>
              </w:rPr>
              <w:instrText xml:space="preserve"> PAGEREF _Toc213852207 \h </w:instrText>
            </w:r>
            <w:r>
              <w:rPr>
                <w:noProof/>
                <w:webHidden/>
              </w:rPr>
            </w:r>
            <w:r>
              <w:rPr>
                <w:noProof/>
                <w:webHidden/>
              </w:rPr>
              <w:fldChar w:fldCharType="separate"/>
            </w:r>
            <w:r w:rsidR="00A66748">
              <w:rPr>
                <w:noProof/>
                <w:webHidden/>
              </w:rPr>
              <w:t>5</w:t>
            </w:r>
            <w:r>
              <w:rPr>
                <w:noProof/>
                <w:webHidden/>
              </w:rPr>
              <w:fldChar w:fldCharType="end"/>
            </w:r>
          </w:hyperlink>
        </w:p>
        <w:p w:rsidR="00A66748" w:rsidRDefault="00DD1C99" w:rsidP="00A66748">
          <w:pPr>
            <w:pStyle w:val="Sadraj1"/>
            <w:tabs>
              <w:tab w:val="left" w:pos="480"/>
              <w:tab w:val="right" w:leader="dot" w:pos="9062"/>
            </w:tabs>
            <w:rPr>
              <w:noProof/>
            </w:rPr>
          </w:pPr>
          <w:hyperlink w:anchor="_Toc213852208" w:history="1">
            <w:r w:rsidR="00A66748" w:rsidRPr="001B6F23">
              <w:rPr>
                <w:rStyle w:val="Hiperveza"/>
                <w:rFonts w:ascii="Times New Roman" w:hAnsi="Times New Roman"/>
                <w:bCs/>
                <w:noProof/>
              </w:rPr>
              <w:t>3.</w:t>
            </w:r>
            <w:r w:rsidR="00A66748">
              <w:rPr>
                <w:noProof/>
              </w:rPr>
              <w:tab/>
            </w:r>
            <w:r w:rsidR="00A66748" w:rsidRPr="001B6F23">
              <w:rPr>
                <w:rStyle w:val="Hiperveza"/>
                <w:rFonts w:ascii="Times New Roman" w:hAnsi="Times New Roman"/>
                <w:bCs/>
                <w:noProof/>
              </w:rPr>
              <w:t>VIZIJA I MISIJA</w:t>
            </w:r>
            <w:r w:rsidR="00A66748">
              <w:rPr>
                <w:noProof/>
                <w:webHidden/>
              </w:rPr>
              <w:tab/>
            </w:r>
            <w:r>
              <w:rPr>
                <w:noProof/>
                <w:webHidden/>
              </w:rPr>
              <w:fldChar w:fldCharType="begin"/>
            </w:r>
            <w:r w:rsidR="00A66748">
              <w:rPr>
                <w:noProof/>
                <w:webHidden/>
              </w:rPr>
              <w:instrText xml:space="preserve"> PAGEREF _Toc213852208 \h </w:instrText>
            </w:r>
            <w:r>
              <w:rPr>
                <w:noProof/>
                <w:webHidden/>
              </w:rPr>
            </w:r>
            <w:r>
              <w:rPr>
                <w:noProof/>
                <w:webHidden/>
              </w:rPr>
              <w:fldChar w:fldCharType="separate"/>
            </w:r>
            <w:r w:rsidR="00A66748">
              <w:rPr>
                <w:noProof/>
                <w:webHidden/>
              </w:rPr>
              <w:t>6</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09" w:history="1">
            <w:r w:rsidR="00A66748" w:rsidRPr="001B6F23">
              <w:rPr>
                <w:rStyle w:val="Hiperveza"/>
                <w:rFonts w:ascii="Times New Roman" w:hAnsi="Times New Roman"/>
                <w:b/>
                <w:bCs/>
                <w:noProof/>
              </w:rPr>
              <w:t>3.1.</w:t>
            </w:r>
            <w:r w:rsidR="00A66748">
              <w:rPr>
                <w:noProof/>
              </w:rPr>
              <w:tab/>
            </w:r>
            <w:r w:rsidR="00A66748" w:rsidRPr="001B6F23">
              <w:rPr>
                <w:rStyle w:val="Hiperveza"/>
                <w:rFonts w:ascii="Times New Roman" w:hAnsi="Times New Roman"/>
                <w:b/>
                <w:bCs/>
                <w:noProof/>
              </w:rPr>
              <w:t>VIZIJA</w:t>
            </w:r>
            <w:r w:rsidR="00A66748">
              <w:rPr>
                <w:noProof/>
                <w:webHidden/>
              </w:rPr>
              <w:tab/>
            </w:r>
            <w:r>
              <w:rPr>
                <w:noProof/>
                <w:webHidden/>
              </w:rPr>
              <w:fldChar w:fldCharType="begin"/>
            </w:r>
            <w:r w:rsidR="00A66748">
              <w:rPr>
                <w:noProof/>
                <w:webHidden/>
              </w:rPr>
              <w:instrText xml:space="preserve"> PAGEREF _Toc213852209 \h </w:instrText>
            </w:r>
            <w:r>
              <w:rPr>
                <w:noProof/>
                <w:webHidden/>
              </w:rPr>
            </w:r>
            <w:r>
              <w:rPr>
                <w:noProof/>
                <w:webHidden/>
              </w:rPr>
              <w:fldChar w:fldCharType="separate"/>
            </w:r>
            <w:r w:rsidR="00A66748">
              <w:rPr>
                <w:noProof/>
                <w:webHidden/>
              </w:rPr>
              <w:t>6</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10" w:history="1">
            <w:r w:rsidR="00A66748" w:rsidRPr="001B6F23">
              <w:rPr>
                <w:rStyle w:val="Hiperveza"/>
                <w:rFonts w:ascii="Times New Roman" w:hAnsi="Times New Roman"/>
                <w:b/>
                <w:bCs/>
                <w:noProof/>
              </w:rPr>
              <w:t>3.2.</w:t>
            </w:r>
            <w:r w:rsidR="00A66748">
              <w:rPr>
                <w:noProof/>
              </w:rPr>
              <w:tab/>
            </w:r>
            <w:r w:rsidR="00A66748" w:rsidRPr="001B6F23">
              <w:rPr>
                <w:rStyle w:val="Hiperveza"/>
                <w:rFonts w:ascii="Times New Roman" w:hAnsi="Times New Roman"/>
                <w:b/>
                <w:bCs/>
                <w:noProof/>
              </w:rPr>
              <w:t>MISIJA</w:t>
            </w:r>
            <w:r w:rsidR="00A66748">
              <w:rPr>
                <w:noProof/>
                <w:webHidden/>
              </w:rPr>
              <w:tab/>
            </w:r>
            <w:r>
              <w:rPr>
                <w:noProof/>
                <w:webHidden/>
              </w:rPr>
              <w:fldChar w:fldCharType="begin"/>
            </w:r>
            <w:r w:rsidR="00A66748">
              <w:rPr>
                <w:noProof/>
                <w:webHidden/>
              </w:rPr>
              <w:instrText xml:space="preserve"> PAGEREF _Toc213852210 \h </w:instrText>
            </w:r>
            <w:r>
              <w:rPr>
                <w:noProof/>
                <w:webHidden/>
              </w:rPr>
            </w:r>
            <w:r>
              <w:rPr>
                <w:noProof/>
                <w:webHidden/>
              </w:rPr>
              <w:fldChar w:fldCharType="separate"/>
            </w:r>
            <w:r w:rsidR="00A66748">
              <w:rPr>
                <w:noProof/>
                <w:webHidden/>
              </w:rPr>
              <w:t>6</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11" w:history="1">
            <w:r w:rsidR="00A66748" w:rsidRPr="001B6F23">
              <w:rPr>
                <w:rStyle w:val="Hiperveza"/>
                <w:rFonts w:ascii="Times New Roman" w:hAnsi="Times New Roman"/>
                <w:b/>
                <w:bCs/>
                <w:noProof/>
              </w:rPr>
              <w:t>3.3.</w:t>
            </w:r>
            <w:r w:rsidR="00A66748">
              <w:rPr>
                <w:noProof/>
              </w:rPr>
              <w:tab/>
            </w:r>
            <w:r w:rsidR="00A66748" w:rsidRPr="001B6F23">
              <w:rPr>
                <w:rStyle w:val="Hiperveza"/>
                <w:rFonts w:ascii="Times New Roman" w:hAnsi="Times New Roman"/>
                <w:b/>
                <w:bCs/>
                <w:noProof/>
              </w:rPr>
              <w:t>VRIJEDNOSTI</w:t>
            </w:r>
            <w:r w:rsidR="00A66748">
              <w:rPr>
                <w:noProof/>
                <w:webHidden/>
              </w:rPr>
              <w:tab/>
            </w:r>
            <w:r>
              <w:rPr>
                <w:noProof/>
                <w:webHidden/>
              </w:rPr>
              <w:fldChar w:fldCharType="begin"/>
            </w:r>
            <w:r w:rsidR="00A66748">
              <w:rPr>
                <w:noProof/>
                <w:webHidden/>
              </w:rPr>
              <w:instrText xml:space="preserve"> PAGEREF _Toc213852211 \h </w:instrText>
            </w:r>
            <w:r>
              <w:rPr>
                <w:noProof/>
                <w:webHidden/>
              </w:rPr>
            </w:r>
            <w:r>
              <w:rPr>
                <w:noProof/>
                <w:webHidden/>
              </w:rPr>
              <w:fldChar w:fldCharType="separate"/>
            </w:r>
            <w:r w:rsidR="00A66748">
              <w:rPr>
                <w:noProof/>
                <w:webHidden/>
              </w:rPr>
              <w:t>6</w:t>
            </w:r>
            <w:r>
              <w:rPr>
                <w:noProof/>
                <w:webHidden/>
              </w:rPr>
              <w:fldChar w:fldCharType="end"/>
            </w:r>
          </w:hyperlink>
        </w:p>
        <w:p w:rsidR="00A66748" w:rsidRDefault="00DD1C99" w:rsidP="00A66748">
          <w:pPr>
            <w:pStyle w:val="Sadraj1"/>
            <w:tabs>
              <w:tab w:val="left" w:pos="480"/>
              <w:tab w:val="right" w:leader="dot" w:pos="9062"/>
            </w:tabs>
            <w:rPr>
              <w:noProof/>
            </w:rPr>
          </w:pPr>
          <w:hyperlink w:anchor="_Toc213852212" w:history="1">
            <w:r w:rsidR="00A66748" w:rsidRPr="001B6F23">
              <w:rPr>
                <w:rStyle w:val="Hiperveza"/>
                <w:rFonts w:ascii="Times New Roman" w:hAnsi="Times New Roman"/>
                <w:bCs/>
                <w:noProof/>
              </w:rPr>
              <w:t>4.</w:t>
            </w:r>
            <w:r w:rsidR="00A66748">
              <w:rPr>
                <w:noProof/>
              </w:rPr>
              <w:tab/>
            </w:r>
            <w:r w:rsidR="00A66748" w:rsidRPr="001B6F23">
              <w:rPr>
                <w:rStyle w:val="Hiperveza"/>
                <w:rFonts w:ascii="Times New Roman" w:hAnsi="Times New Roman"/>
                <w:bCs/>
                <w:noProof/>
              </w:rPr>
              <w:t>KONTEKST</w:t>
            </w:r>
            <w:r w:rsidR="00A66748">
              <w:rPr>
                <w:noProof/>
                <w:webHidden/>
              </w:rPr>
              <w:tab/>
            </w:r>
            <w:r>
              <w:rPr>
                <w:noProof/>
                <w:webHidden/>
              </w:rPr>
              <w:fldChar w:fldCharType="begin"/>
            </w:r>
            <w:r w:rsidR="00A66748">
              <w:rPr>
                <w:noProof/>
                <w:webHidden/>
              </w:rPr>
              <w:instrText xml:space="preserve"> PAGEREF _Toc213852212 \h </w:instrText>
            </w:r>
            <w:r>
              <w:rPr>
                <w:noProof/>
                <w:webHidden/>
              </w:rPr>
            </w:r>
            <w:r>
              <w:rPr>
                <w:noProof/>
                <w:webHidden/>
              </w:rPr>
              <w:fldChar w:fldCharType="separate"/>
            </w:r>
            <w:r w:rsidR="00A66748">
              <w:rPr>
                <w:noProof/>
                <w:webHidden/>
              </w:rPr>
              <w:t>7</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13" w:history="1">
            <w:r w:rsidR="00A66748" w:rsidRPr="001B6F23">
              <w:rPr>
                <w:rStyle w:val="Hiperveza"/>
                <w:rFonts w:ascii="Times New Roman" w:hAnsi="Times New Roman"/>
                <w:b/>
                <w:bCs/>
                <w:noProof/>
              </w:rPr>
              <w:t>4.1.</w:t>
            </w:r>
            <w:r w:rsidR="00A66748">
              <w:rPr>
                <w:noProof/>
              </w:rPr>
              <w:tab/>
            </w:r>
            <w:r w:rsidR="00A66748" w:rsidRPr="001B6F23">
              <w:rPr>
                <w:rStyle w:val="Hiperveza"/>
                <w:rFonts w:ascii="Times New Roman" w:hAnsi="Times New Roman"/>
                <w:b/>
                <w:bCs/>
                <w:noProof/>
              </w:rPr>
              <w:t>ORGANIZACIJSKA STRUKTURA</w:t>
            </w:r>
            <w:r w:rsidR="00A66748">
              <w:rPr>
                <w:noProof/>
                <w:webHidden/>
              </w:rPr>
              <w:tab/>
            </w:r>
            <w:r>
              <w:rPr>
                <w:noProof/>
                <w:webHidden/>
              </w:rPr>
              <w:fldChar w:fldCharType="begin"/>
            </w:r>
            <w:r w:rsidR="00A66748">
              <w:rPr>
                <w:noProof/>
                <w:webHidden/>
              </w:rPr>
              <w:instrText xml:space="preserve"> PAGEREF _Toc213852213 \h </w:instrText>
            </w:r>
            <w:r>
              <w:rPr>
                <w:noProof/>
                <w:webHidden/>
              </w:rPr>
            </w:r>
            <w:r>
              <w:rPr>
                <w:noProof/>
                <w:webHidden/>
              </w:rPr>
              <w:fldChar w:fldCharType="separate"/>
            </w:r>
            <w:r w:rsidR="00A66748">
              <w:rPr>
                <w:noProof/>
                <w:webHidden/>
              </w:rPr>
              <w:t>9</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14" w:history="1">
            <w:r w:rsidR="00A66748" w:rsidRPr="001B6F23">
              <w:rPr>
                <w:rStyle w:val="Hiperveza"/>
                <w:rFonts w:ascii="Times New Roman" w:hAnsi="Times New Roman"/>
                <w:b/>
                <w:bCs/>
                <w:noProof/>
              </w:rPr>
              <w:t>4.2.</w:t>
            </w:r>
            <w:r w:rsidR="00A66748">
              <w:rPr>
                <w:noProof/>
              </w:rPr>
              <w:tab/>
            </w:r>
            <w:r w:rsidR="00A66748" w:rsidRPr="001B6F23">
              <w:rPr>
                <w:rStyle w:val="Hiperveza"/>
                <w:rFonts w:ascii="Times New Roman" w:hAnsi="Times New Roman"/>
                <w:b/>
                <w:bCs/>
                <w:noProof/>
              </w:rPr>
              <w:t>SWOT ANALIZA</w:t>
            </w:r>
            <w:r w:rsidR="00A66748">
              <w:rPr>
                <w:noProof/>
                <w:webHidden/>
              </w:rPr>
              <w:tab/>
            </w:r>
            <w:r>
              <w:rPr>
                <w:noProof/>
                <w:webHidden/>
              </w:rPr>
              <w:fldChar w:fldCharType="begin"/>
            </w:r>
            <w:r w:rsidR="00A66748">
              <w:rPr>
                <w:noProof/>
                <w:webHidden/>
              </w:rPr>
              <w:instrText xml:space="preserve"> PAGEREF _Toc213852214 \h </w:instrText>
            </w:r>
            <w:r>
              <w:rPr>
                <w:noProof/>
                <w:webHidden/>
              </w:rPr>
            </w:r>
            <w:r>
              <w:rPr>
                <w:noProof/>
                <w:webHidden/>
              </w:rPr>
              <w:fldChar w:fldCharType="separate"/>
            </w:r>
            <w:r w:rsidR="00A66748">
              <w:rPr>
                <w:noProof/>
                <w:webHidden/>
              </w:rPr>
              <w:t>10</w:t>
            </w:r>
            <w:r>
              <w:rPr>
                <w:noProof/>
                <w:webHidden/>
              </w:rPr>
              <w:fldChar w:fldCharType="end"/>
            </w:r>
          </w:hyperlink>
        </w:p>
        <w:p w:rsidR="00A66748" w:rsidRDefault="00DD1C99" w:rsidP="00A66748">
          <w:pPr>
            <w:pStyle w:val="Sadraj1"/>
            <w:tabs>
              <w:tab w:val="left" w:pos="480"/>
              <w:tab w:val="right" w:leader="dot" w:pos="9062"/>
            </w:tabs>
            <w:rPr>
              <w:noProof/>
            </w:rPr>
          </w:pPr>
          <w:hyperlink w:anchor="_Toc213852215" w:history="1">
            <w:r w:rsidR="00A66748" w:rsidRPr="001B6F23">
              <w:rPr>
                <w:rStyle w:val="Hiperveza"/>
                <w:rFonts w:ascii="Times New Roman" w:hAnsi="Times New Roman"/>
                <w:bCs/>
                <w:noProof/>
              </w:rPr>
              <w:t>5.</w:t>
            </w:r>
            <w:r w:rsidR="00A66748">
              <w:rPr>
                <w:noProof/>
              </w:rPr>
              <w:tab/>
            </w:r>
            <w:r w:rsidR="00A66748" w:rsidRPr="001B6F23">
              <w:rPr>
                <w:rStyle w:val="Hiperveza"/>
                <w:rFonts w:ascii="Times New Roman" w:hAnsi="Times New Roman"/>
                <w:bCs/>
                <w:noProof/>
              </w:rPr>
              <w:t>POPIS PRIORITETA DJELOVANJA U PODRUČJU NADLEŽNOSTI OPĆINE GORNJI BOGIĆEVCI</w:t>
            </w:r>
            <w:r w:rsidR="00A66748">
              <w:rPr>
                <w:noProof/>
                <w:webHidden/>
              </w:rPr>
              <w:tab/>
            </w:r>
            <w:r>
              <w:rPr>
                <w:noProof/>
                <w:webHidden/>
              </w:rPr>
              <w:fldChar w:fldCharType="begin"/>
            </w:r>
            <w:r w:rsidR="00A66748">
              <w:rPr>
                <w:noProof/>
                <w:webHidden/>
              </w:rPr>
              <w:instrText xml:space="preserve"> PAGEREF _Toc213852215 \h </w:instrText>
            </w:r>
            <w:r>
              <w:rPr>
                <w:noProof/>
                <w:webHidden/>
              </w:rPr>
            </w:r>
            <w:r>
              <w:rPr>
                <w:noProof/>
                <w:webHidden/>
              </w:rPr>
              <w:fldChar w:fldCharType="separate"/>
            </w:r>
            <w:r w:rsidR="00A66748">
              <w:rPr>
                <w:noProof/>
                <w:webHidden/>
              </w:rPr>
              <w:t>11</w:t>
            </w:r>
            <w:r>
              <w:rPr>
                <w:noProof/>
                <w:webHidden/>
              </w:rPr>
              <w:fldChar w:fldCharType="end"/>
            </w:r>
          </w:hyperlink>
        </w:p>
        <w:p w:rsidR="00A66748" w:rsidRDefault="00DD1C99" w:rsidP="00A66748">
          <w:pPr>
            <w:pStyle w:val="Sadraj1"/>
            <w:tabs>
              <w:tab w:val="left" w:pos="480"/>
              <w:tab w:val="right" w:leader="dot" w:pos="9062"/>
            </w:tabs>
            <w:rPr>
              <w:noProof/>
            </w:rPr>
          </w:pPr>
          <w:hyperlink w:anchor="_Toc213852216" w:history="1">
            <w:r w:rsidR="00A66748" w:rsidRPr="001B6F23">
              <w:rPr>
                <w:rStyle w:val="Hiperveza"/>
                <w:rFonts w:ascii="Times New Roman" w:hAnsi="Times New Roman"/>
                <w:bCs/>
                <w:noProof/>
              </w:rPr>
              <w:t>6.</w:t>
            </w:r>
            <w:r w:rsidR="00A66748">
              <w:rPr>
                <w:noProof/>
              </w:rPr>
              <w:tab/>
            </w:r>
            <w:r w:rsidR="00A66748" w:rsidRPr="001B6F23">
              <w:rPr>
                <w:rStyle w:val="Hiperveza"/>
                <w:rFonts w:ascii="Times New Roman" w:hAnsi="Times New Roman"/>
                <w:bCs/>
                <w:noProof/>
              </w:rPr>
              <w:t>PLANIRANE MJERE I AKTIVNOSTI U 2026. GODINI</w:t>
            </w:r>
            <w:r w:rsidR="00A66748">
              <w:rPr>
                <w:noProof/>
                <w:webHidden/>
              </w:rPr>
              <w:tab/>
            </w:r>
            <w:r>
              <w:rPr>
                <w:noProof/>
                <w:webHidden/>
              </w:rPr>
              <w:fldChar w:fldCharType="begin"/>
            </w:r>
            <w:r w:rsidR="00A66748">
              <w:rPr>
                <w:noProof/>
                <w:webHidden/>
              </w:rPr>
              <w:instrText xml:space="preserve"> PAGEREF _Toc213852216 \h </w:instrText>
            </w:r>
            <w:r>
              <w:rPr>
                <w:noProof/>
                <w:webHidden/>
              </w:rPr>
            </w:r>
            <w:r>
              <w:rPr>
                <w:noProof/>
                <w:webHidden/>
              </w:rPr>
              <w:fldChar w:fldCharType="separate"/>
            </w:r>
            <w:r w:rsidR="00A66748">
              <w:rPr>
                <w:noProof/>
                <w:webHidden/>
              </w:rPr>
              <w:t>12</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17" w:history="1">
            <w:r w:rsidR="00A66748" w:rsidRPr="001B6F23">
              <w:rPr>
                <w:rStyle w:val="Hiperveza"/>
                <w:rFonts w:ascii="Times New Roman" w:hAnsi="Times New Roman"/>
                <w:b/>
                <w:bCs/>
                <w:noProof/>
              </w:rPr>
              <w:t>6.1.</w:t>
            </w:r>
            <w:r w:rsidR="00A66748">
              <w:rPr>
                <w:noProof/>
              </w:rPr>
              <w:tab/>
            </w:r>
            <w:r w:rsidR="00A66748" w:rsidRPr="001B6F23">
              <w:rPr>
                <w:rStyle w:val="Hiperveza"/>
                <w:rFonts w:ascii="Times New Roman" w:hAnsi="Times New Roman"/>
                <w:b/>
                <w:bCs/>
                <w:noProof/>
              </w:rPr>
              <w:t>MJERE IZ PROVEDBENOG PLANA</w:t>
            </w:r>
            <w:r w:rsidR="00A66748">
              <w:rPr>
                <w:noProof/>
                <w:webHidden/>
              </w:rPr>
              <w:tab/>
            </w:r>
            <w:r>
              <w:rPr>
                <w:noProof/>
                <w:webHidden/>
              </w:rPr>
              <w:fldChar w:fldCharType="begin"/>
            </w:r>
            <w:r w:rsidR="00A66748">
              <w:rPr>
                <w:noProof/>
                <w:webHidden/>
              </w:rPr>
              <w:instrText xml:space="preserve"> PAGEREF _Toc213852217 \h </w:instrText>
            </w:r>
            <w:r>
              <w:rPr>
                <w:noProof/>
                <w:webHidden/>
              </w:rPr>
            </w:r>
            <w:r>
              <w:rPr>
                <w:noProof/>
                <w:webHidden/>
              </w:rPr>
              <w:fldChar w:fldCharType="separate"/>
            </w:r>
            <w:r w:rsidR="00A66748">
              <w:rPr>
                <w:noProof/>
                <w:webHidden/>
              </w:rPr>
              <w:t>12</w:t>
            </w:r>
            <w:r>
              <w:rPr>
                <w:noProof/>
                <w:webHidden/>
              </w:rPr>
              <w:fldChar w:fldCharType="end"/>
            </w:r>
          </w:hyperlink>
        </w:p>
        <w:p w:rsidR="00A66748" w:rsidRDefault="00DD1C99" w:rsidP="00A66748">
          <w:pPr>
            <w:pStyle w:val="Sadraj2"/>
            <w:tabs>
              <w:tab w:val="left" w:pos="960"/>
              <w:tab w:val="right" w:leader="dot" w:pos="9062"/>
            </w:tabs>
            <w:rPr>
              <w:noProof/>
            </w:rPr>
          </w:pPr>
          <w:hyperlink w:anchor="_Toc213852218" w:history="1">
            <w:r w:rsidR="00A66748" w:rsidRPr="001B6F23">
              <w:rPr>
                <w:rStyle w:val="Hiperveza"/>
                <w:rFonts w:ascii="Times New Roman" w:hAnsi="Times New Roman"/>
                <w:b/>
                <w:bCs/>
                <w:noProof/>
              </w:rPr>
              <w:t>6.2.</w:t>
            </w:r>
            <w:r w:rsidR="00A66748">
              <w:rPr>
                <w:noProof/>
              </w:rPr>
              <w:tab/>
            </w:r>
            <w:r w:rsidR="00A66748" w:rsidRPr="001B6F23">
              <w:rPr>
                <w:rStyle w:val="Hiperveza"/>
                <w:rFonts w:ascii="Times New Roman" w:hAnsi="Times New Roman"/>
                <w:b/>
                <w:bCs/>
                <w:noProof/>
              </w:rPr>
              <w:t>OPERATIVNI CILJ</w:t>
            </w:r>
            <w:r w:rsidR="00A66748">
              <w:rPr>
                <w:noProof/>
                <w:webHidden/>
              </w:rPr>
              <w:tab/>
            </w:r>
            <w:r>
              <w:rPr>
                <w:noProof/>
                <w:webHidden/>
              </w:rPr>
              <w:fldChar w:fldCharType="begin"/>
            </w:r>
            <w:r w:rsidR="00A66748">
              <w:rPr>
                <w:noProof/>
                <w:webHidden/>
              </w:rPr>
              <w:instrText xml:space="preserve"> PAGEREF _Toc213852218 \h </w:instrText>
            </w:r>
            <w:r>
              <w:rPr>
                <w:noProof/>
                <w:webHidden/>
              </w:rPr>
            </w:r>
            <w:r>
              <w:rPr>
                <w:noProof/>
                <w:webHidden/>
              </w:rPr>
              <w:fldChar w:fldCharType="separate"/>
            </w:r>
            <w:r w:rsidR="00A66748">
              <w:rPr>
                <w:noProof/>
                <w:webHidden/>
              </w:rPr>
              <w:t>13</w:t>
            </w:r>
            <w:r>
              <w:rPr>
                <w:noProof/>
                <w:webHidden/>
              </w:rPr>
              <w:fldChar w:fldCharType="end"/>
            </w:r>
          </w:hyperlink>
        </w:p>
        <w:p w:rsidR="00A66748" w:rsidRDefault="00DD1C99" w:rsidP="00A66748">
          <w:r>
            <w:rPr>
              <w:b/>
              <w:bCs/>
              <w:noProof/>
            </w:rPr>
            <w:fldChar w:fldCharType="end"/>
          </w:r>
        </w:p>
      </w:sdtContent>
    </w:sdt>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Pr="00995907" w:rsidRDefault="00A66748" w:rsidP="00A66748">
      <w:pPr>
        <w:pStyle w:val="Naslov1"/>
        <w:numPr>
          <w:ilvl w:val="0"/>
          <w:numId w:val="102"/>
        </w:numPr>
        <w:spacing w:before="360" w:after="80"/>
        <w:rPr>
          <w:rFonts w:ascii="Times New Roman" w:hAnsi="Times New Roman" w:cs="Times New Roman"/>
          <w:b w:val="0"/>
          <w:bCs w:val="0"/>
          <w:color w:val="auto"/>
        </w:rPr>
      </w:pPr>
      <w:bookmarkStart w:id="160" w:name="_Toc213852206"/>
      <w:r w:rsidRPr="00995907">
        <w:rPr>
          <w:rFonts w:ascii="Times New Roman" w:hAnsi="Times New Roman" w:cs="Times New Roman"/>
          <w:color w:val="auto"/>
        </w:rPr>
        <w:t>UVOD</w:t>
      </w:r>
      <w:bookmarkEnd w:id="160"/>
    </w:p>
    <w:p w:rsidR="00A66748" w:rsidRDefault="00A66748" w:rsidP="00A66748">
      <w:pPr>
        <w:spacing w:line="360" w:lineRule="auto"/>
        <w:jc w:val="both"/>
        <w:rPr>
          <w:rFonts w:ascii="Times New Roman" w:hAnsi="Times New Roman" w:cs="Times New Roman"/>
          <w:b/>
          <w:bCs/>
          <w:sz w:val="28"/>
          <w:szCs w:val="28"/>
        </w:rPr>
      </w:pPr>
    </w:p>
    <w:p w:rsidR="00A66748" w:rsidRPr="00601D40" w:rsidRDefault="00A66748" w:rsidP="00A66748">
      <w:pPr>
        <w:widowControl w:val="0"/>
        <w:autoSpaceDE w:val="0"/>
        <w:autoSpaceDN w:val="0"/>
        <w:spacing w:after="0" w:line="360" w:lineRule="auto"/>
        <w:jc w:val="both"/>
        <w:rPr>
          <w:rFonts w:ascii="Times New Roman" w:eastAsia="Times New Roman" w:hAnsi="Times New Roman" w:cs="Times New Roman"/>
          <w:sz w:val="24"/>
          <w:szCs w:val="24"/>
        </w:rPr>
      </w:pPr>
      <w:r w:rsidRPr="00601D40">
        <w:rPr>
          <w:rFonts w:ascii="Times New Roman" w:hAnsi="Times New Roman" w:cs="Times New Roman"/>
          <w:sz w:val="24"/>
          <w:szCs w:val="24"/>
        </w:rPr>
        <w:t xml:space="preserve">Prema uputama </w:t>
      </w:r>
      <w:r w:rsidRPr="00601D40">
        <w:rPr>
          <w:rFonts w:ascii="Times New Roman" w:eastAsia="Times New Roman" w:hAnsi="Times New Roman" w:cs="Times New Roman"/>
          <w:sz w:val="24"/>
          <w:szCs w:val="24"/>
        </w:rPr>
        <w:t xml:space="preserve">za izradu godišnjeg plana rada, polugodišnjeg i godišnjeg izvještaja o radu, </w:t>
      </w:r>
      <w:r w:rsidRPr="00601D40">
        <w:rPr>
          <w:rFonts w:ascii="Times New Roman" w:eastAsia="Times New Roman" w:hAnsi="Times New Roman" w:cs="Times New Roman"/>
          <w:sz w:val="24"/>
          <w:szCs w:val="24"/>
        </w:rPr>
        <w:lastRenderedPageBreak/>
        <w:t xml:space="preserve">studeni 2024., koje propisuje Ministarstvo pravosuđa, uprave i digitalne transformacije, propisana je obveza izrade godišnjeg plana rada. </w:t>
      </w:r>
    </w:p>
    <w:p w:rsidR="00A66748" w:rsidRPr="00601D40" w:rsidRDefault="00A66748" w:rsidP="00A66748">
      <w:pPr>
        <w:widowControl w:val="0"/>
        <w:autoSpaceDE w:val="0"/>
        <w:autoSpaceDN w:val="0"/>
        <w:spacing w:after="0" w:line="360" w:lineRule="auto"/>
        <w:jc w:val="both"/>
        <w:rPr>
          <w:rFonts w:ascii="Times New Roman" w:eastAsia="Times New Roman" w:hAnsi="Times New Roman" w:cs="Times New Roman"/>
          <w:sz w:val="24"/>
          <w:szCs w:val="24"/>
        </w:rPr>
      </w:pPr>
    </w:p>
    <w:p w:rsidR="00A66748" w:rsidRPr="00601D40" w:rsidRDefault="00A66748" w:rsidP="00A66748">
      <w:pPr>
        <w:widowControl w:val="0"/>
        <w:autoSpaceDE w:val="0"/>
        <w:autoSpaceDN w:val="0"/>
        <w:spacing w:after="0" w:line="360" w:lineRule="auto"/>
        <w:jc w:val="both"/>
        <w:rPr>
          <w:rFonts w:ascii="Times New Roman" w:eastAsia="Times New Roman" w:hAnsi="Times New Roman" w:cs="Times New Roman"/>
          <w:sz w:val="24"/>
          <w:szCs w:val="24"/>
        </w:rPr>
      </w:pPr>
      <w:r w:rsidRPr="00601D40">
        <w:rPr>
          <w:rFonts w:ascii="Times New Roman" w:eastAsia="Times New Roman" w:hAnsi="Times New Roman" w:cs="Times New Roman"/>
          <w:sz w:val="24"/>
          <w:szCs w:val="24"/>
        </w:rPr>
        <w:t xml:space="preserve">Godišnji plan rada je plansko - upravljački provedbeni akt s mjerama koje se planiraju ostvariti u Općini </w:t>
      </w:r>
      <w:r>
        <w:rPr>
          <w:rFonts w:ascii="Times New Roman" w:eastAsia="Times New Roman" w:hAnsi="Times New Roman" w:cs="Times New Roman"/>
          <w:sz w:val="24"/>
          <w:szCs w:val="24"/>
        </w:rPr>
        <w:t xml:space="preserve">Gornji Bogićevci </w:t>
      </w:r>
      <w:r w:rsidRPr="00601D40">
        <w:rPr>
          <w:rFonts w:ascii="Times New Roman" w:eastAsia="Times New Roman" w:hAnsi="Times New Roman" w:cs="Times New Roman"/>
          <w:sz w:val="24"/>
          <w:szCs w:val="24"/>
        </w:rPr>
        <w:t xml:space="preserve">tokom 2026. godine, a koje su vezane uz: </w:t>
      </w:r>
    </w:p>
    <w:p w:rsidR="00A66748" w:rsidRPr="00601D40" w:rsidRDefault="00A66748" w:rsidP="00A66748">
      <w:pPr>
        <w:widowControl w:val="0"/>
        <w:numPr>
          <w:ilvl w:val="0"/>
          <w:numId w:val="99"/>
        </w:numPr>
        <w:autoSpaceDE w:val="0"/>
        <w:autoSpaceDN w:val="0"/>
        <w:spacing w:after="0" w:line="360" w:lineRule="auto"/>
        <w:contextualSpacing/>
        <w:jc w:val="both"/>
        <w:rPr>
          <w:rFonts w:ascii="Times New Roman" w:eastAsia="Times New Roman" w:hAnsi="Times New Roman" w:cs="Times New Roman"/>
          <w:sz w:val="24"/>
          <w:szCs w:val="24"/>
        </w:rPr>
      </w:pPr>
      <w:r w:rsidRPr="00601D40">
        <w:rPr>
          <w:rFonts w:ascii="Times New Roman" w:eastAsia="Times New Roman" w:hAnsi="Times New Roman" w:cs="Times New Roman"/>
          <w:sz w:val="24"/>
          <w:szCs w:val="24"/>
        </w:rPr>
        <w:t xml:space="preserve">Djelokrug i organizaciju rada Općine </w:t>
      </w:r>
      <w:r>
        <w:rPr>
          <w:rFonts w:ascii="Times New Roman" w:eastAsia="Times New Roman" w:hAnsi="Times New Roman" w:cs="Times New Roman"/>
          <w:sz w:val="24"/>
          <w:szCs w:val="24"/>
        </w:rPr>
        <w:t>Gornji Bogićevci</w:t>
      </w:r>
      <w:r w:rsidRPr="00601D40">
        <w:rPr>
          <w:rFonts w:ascii="Times New Roman" w:eastAsia="Times New Roman" w:hAnsi="Times New Roman" w:cs="Times New Roman"/>
          <w:sz w:val="24"/>
          <w:szCs w:val="24"/>
        </w:rPr>
        <w:t xml:space="preserve">, </w:t>
      </w:r>
    </w:p>
    <w:p w:rsidR="00A66748" w:rsidRPr="00601D40" w:rsidRDefault="00A66748" w:rsidP="00A66748">
      <w:pPr>
        <w:widowControl w:val="0"/>
        <w:numPr>
          <w:ilvl w:val="0"/>
          <w:numId w:val="99"/>
        </w:numPr>
        <w:autoSpaceDE w:val="0"/>
        <w:autoSpaceDN w:val="0"/>
        <w:spacing w:after="0" w:line="360" w:lineRule="auto"/>
        <w:contextualSpacing/>
        <w:jc w:val="both"/>
        <w:rPr>
          <w:rFonts w:ascii="Times New Roman" w:eastAsia="Times New Roman" w:hAnsi="Times New Roman" w:cs="Times New Roman"/>
          <w:sz w:val="24"/>
          <w:szCs w:val="24"/>
        </w:rPr>
      </w:pPr>
      <w:r w:rsidRPr="00601D40">
        <w:rPr>
          <w:rFonts w:ascii="Times New Roman" w:eastAsia="Times New Roman" w:hAnsi="Times New Roman" w:cs="Times New Roman"/>
          <w:sz w:val="24"/>
          <w:szCs w:val="24"/>
        </w:rPr>
        <w:t xml:space="preserve">Posebne ciljeve i mjere sadržane u Provedbenom programu izrađenim na temelju Zakona sustavu strateškog planiranja i upravljanja razvojem RH te, </w:t>
      </w:r>
    </w:p>
    <w:p w:rsidR="00A66748" w:rsidRPr="00601D40" w:rsidRDefault="00A66748" w:rsidP="00A66748">
      <w:pPr>
        <w:numPr>
          <w:ilvl w:val="0"/>
          <w:numId w:val="99"/>
        </w:numPr>
        <w:spacing w:line="360" w:lineRule="auto"/>
        <w:contextualSpacing/>
        <w:jc w:val="both"/>
        <w:rPr>
          <w:rFonts w:ascii="Times New Roman" w:hAnsi="Times New Roman" w:cs="Times New Roman"/>
          <w:b/>
          <w:bCs/>
          <w:sz w:val="28"/>
          <w:szCs w:val="28"/>
        </w:rPr>
      </w:pPr>
      <w:r w:rsidRPr="00601D40">
        <w:rPr>
          <w:rFonts w:ascii="Times New Roman" w:eastAsia="Times New Roman" w:hAnsi="Times New Roman" w:cs="Times New Roman"/>
          <w:sz w:val="24"/>
          <w:szCs w:val="24"/>
        </w:rPr>
        <w:t>Osigurana sredstva u proračunu i druge raspoložive resurse</w:t>
      </w: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Pr="00995907" w:rsidRDefault="00A66748" w:rsidP="00A66748">
      <w:pPr>
        <w:pStyle w:val="Naslov1"/>
        <w:numPr>
          <w:ilvl w:val="0"/>
          <w:numId w:val="102"/>
        </w:numPr>
        <w:spacing w:before="360" w:after="80"/>
        <w:rPr>
          <w:rFonts w:ascii="Times New Roman" w:hAnsi="Times New Roman" w:cs="Times New Roman"/>
          <w:b w:val="0"/>
          <w:bCs w:val="0"/>
          <w:color w:val="auto"/>
        </w:rPr>
      </w:pPr>
      <w:bookmarkStart w:id="161" w:name="_Toc213852207"/>
      <w:r w:rsidRPr="00995907">
        <w:rPr>
          <w:rFonts w:ascii="Times New Roman" w:hAnsi="Times New Roman" w:cs="Times New Roman"/>
          <w:color w:val="auto"/>
        </w:rPr>
        <w:t>DJELOKRUG RADA</w:t>
      </w:r>
      <w:bookmarkEnd w:id="161"/>
    </w:p>
    <w:p w:rsidR="00A66748" w:rsidRDefault="00A66748" w:rsidP="00A66748">
      <w:pPr>
        <w:spacing w:line="360" w:lineRule="auto"/>
        <w:jc w:val="both"/>
        <w:rPr>
          <w:rFonts w:ascii="Times New Roman" w:hAnsi="Times New Roman" w:cs="Times New Roman"/>
          <w:sz w:val="24"/>
          <w:szCs w:val="24"/>
        </w:rPr>
      </w:pPr>
    </w:p>
    <w:p w:rsidR="00A66748" w:rsidRPr="0033185F" w:rsidRDefault="00A66748" w:rsidP="00A66748">
      <w:pPr>
        <w:spacing w:after="206" w:line="360" w:lineRule="auto"/>
        <w:ind w:left="-5"/>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lastRenderedPageBreak/>
        <w:t xml:space="preserve">Općina Gornji Bogićevci je samostalna u odlučivanju u poslovima iz svog samoupravnog djelokruga u skladu s Ustavom Republike Hrvatske, Zakonom o lokalnoj i područnoj (regionalnoj) samoupravi i Statutom općine Gornji Bogićevci. </w:t>
      </w:r>
    </w:p>
    <w:p w:rsidR="00A66748" w:rsidRPr="0033185F" w:rsidRDefault="00A66748" w:rsidP="00A66748">
      <w:pPr>
        <w:spacing w:after="0" w:line="360" w:lineRule="auto"/>
        <w:ind w:left="-5"/>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Općina Gornji Bogićevci u svom samoupravnom djelokrugu obavlja poslove lokalnog značaja kojima se neposredno ostvaruju prava građana, a koji nisu Ustavom ili zakonom dodijeljeni državnim tijelima i to osobito poslove koji se odnose na:  </w:t>
      </w:r>
    </w:p>
    <w:p w:rsidR="00A66748" w:rsidRPr="0033185F" w:rsidRDefault="00A66748" w:rsidP="00A66748">
      <w:pPr>
        <w:numPr>
          <w:ilvl w:val="0"/>
          <w:numId w:val="5"/>
        </w:numPr>
        <w:spacing w:after="5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uređenje naselja i stanovanje, </w:t>
      </w:r>
    </w:p>
    <w:p w:rsidR="00A66748" w:rsidRPr="0033185F" w:rsidRDefault="00A66748" w:rsidP="00A66748">
      <w:pPr>
        <w:numPr>
          <w:ilvl w:val="0"/>
          <w:numId w:val="5"/>
        </w:numPr>
        <w:spacing w:after="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prostorno i urbanističko planiranje, </w:t>
      </w:r>
    </w:p>
    <w:p w:rsidR="00A66748" w:rsidRPr="0033185F" w:rsidRDefault="00A66748" w:rsidP="00A66748">
      <w:pPr>
        <w:numPr>
          <w:ilvl w:val="0"/>
          <w:numId w:val="5"/>
        </w:numPr>
        <w:spacing w:after="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komunalno gospodarstvo, </w:t>
      </w:r>
    </w:p>
    <w:p w:rsidR="00A66748" w:rsidRPr="0033185F" w:rsidRDefault="00A66748" w:rsidP="00A66748">
      <w:pPr>
        <w:numPr>
          <w:ilvl w:val="0"/>
          <w:numId w:val="5"/>
        </w:numPr>
        <w:spacing w:after="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brigu o djeci, </w:t>
      </w:r>
    </w:p>
    <w:p w:rsidR="00A66748" w:rsidRPr="0033185F" w:rsidRDefault="00A66748" w:rsidP="00A66748">
      <w:pPr>
        <w:numPr>
          <w:ilvl w:val="0"/>
          <w:numId w:val="5"/>
        </w:numPr>
        <w:spacing w:after="57"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socijalnu skrb, </w:t>
      </w:r>
    </w:p>
    <w:p w:rsidR="00A66748" w:rsidRPr="0033185F" w:rsidRDefault="00A66748" w:rsidP="00A66748">
      <w:pPr>
        <w:numPr>
          <w:ilvl w:val="0"/>
          <w:numId w:val="5"/>
        </w:numPr>
        <w:spacing w:after="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primarnu zdravstvenu zaštitu, </w:t>
      </w:r>
    </w:p>
    <w:p w:rsidR="00A66748" w:rsidRPr="0033185F" w:rsidRDefault="00A66748" w:rsidP="00A66748">
      <w:pPr>
        <w:numPr>
          <w:ilvl w:val="0"/>
          <w:numId w:val="5"/>
        </w:numPr>
        <w:spacing w:after="5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odgoj i osnovno obrazovanje, </w:t>
      </w:r>
    </w:p>
    <w:p w:rsidR="00A66748" w:rsidRPr="0033185F" w:rsidRDefault="00A66748" w:rsidP="00A66748">
      <w:pPr>
        <w:numPr>
          <w:ilvl w:val="0"/>
          <w:numId w:val="5"/>
        </w:numPr>
        <w:spacing w:after="53"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kulturu, tjelesnu kulturu i šport, </w:t>
      </w:r>
    </w:p>
    <w:p w:rsidR="00A66748" w:rsidRPr="0033185F" w:rsidRDefault="00A66748" w:rsidP="00A66748">
      <w:pPr>
        <w:numPr>
          <w:ilvl w:val="0"/>
          <w:numId w:val="5"/>
        </w:numPr>
        <w:spacing w:after="58"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zaštitu potrošača, </w:t>
      </w:r>
    </w:p>
    <w:p w:rsidR="00A66748" w:rsidRPr="0033185F" w:rsidRDefault="00A66748" w:rsidP="00A66748">
      <w:pPr>
        <w:numPr>
          <w:ilvl w:val="0"/>
          <w:numId w:val="5"/>
        </w:numPr>
        <w:spacing w:after="54"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zaštitu i unapređenje prirodnog okoliša, </w:t>
      </w:r>
    </w:p>
    <w:p w:rsidR="00A66748" w:rsidRPr="0033185F" w:rsidRDefault="00A66748" w:rsidP="00A66748">
      <w:pPr>
        <w:numPr>
          <w:ilvl w:val="0"/>
          <w:numId w:val="5"/>
        </w:numPr>
        <w:spacing w:after="54"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protupožarnu zaštitu i civilnu zaštitu, </w:t>
      </w:r>
    </w:p>
    <w:p w:rsidR="00A66748" w:rsidRPr="0033185F" w:rsidRDefault="00A66748" w:rsidP="00A66748">
      <w:pPr>
        <w:numPr>
          <w:ilvl w:val="0"/>
          <w:numId w:val="5"/>
        </w:numPr>
        <w:spacing w:after="5"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promet na svom području, </w:t>
      </w:r>
    </w:p>
    <w:p w:rsidR="00A66748" w:rsidRPr="0033185F" w:rsidRDefault="00A66748" w:rsidP="00A66748">
      <w:pPr>
        <w:numPr>
          <w:ilvl w:val="0"/>
          <w:numId w:val="5"/>
        </w:numPr>
        <w:spacing w:after="0" w:line="360" w:lineRule="auto"/>
        <w:contextualSpacing/>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te ostale poslove sukladno posebnim zakonima. </w:t>
      </w:r>
    </w:p>
    <w:p w:rsidR="00A66748" w:rsidRPr="0033185F" w:rsidRDefault="00A66748" w:rsidP="00A66748">
      <w:pPr>
        <w:spacing w:before="240" w:after="37" w:line="360" w:lineRule="auto"/>
        <w:ind w:left="-5"/>
        <w:jc w:val="both"/>
        <w:rPr>
          <w:rFonts w:ascii="Times New Roman" w:eastAsia="Calibri" w:hAnsi="Times New Roman" w:cs="Times New Roman"/>
          <w:sz w:val="24"/>
          <w:szCs w:val="24"/>
        </w:rPr>
      </w:pPr>
      <w:r w:rsidRPr="0033185F">
        <w:rPr>
          <w:rFonts w:ascii="Times New Roman" w:eastAsia="Calibri" w:hAnsi="Times New Roman" w:cs="Times New Roman"/>
          <w:sz w:val="24"/>
          <w:szCs w:val="24"/>
        </w:rPr>
        <w:t xml:space="preserve">Poslovi iz samoupravnog djelokruga detaljnije se utvrđuju odlukama Općinskog vijeća i Općinskog načelnika u skladu sa zakonom i Statutom Općine Gornji Bogićevci. </w:t>
      </w: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Default="00A66748" w:rsidP="00A66748">
      <w:pPr>
        <w:spacing w:line="360" w:lineRule="auto"/>
        <w:jc w:val="both"/>
        <w:rPr>
          <w:rFonts w:ascii="Times New Roman" w:hAnsi="Times New Roman" w:cs="Times New Roman"/>
          <w:sz w:val="24"/>
          <w:szCs w:val="24"/>
        </w:rPr>
      </w:pPr>
    </w:p>
    <w:p w:rsidR="00A66748" w:rsidRPr="00995907" w:rsidRDefault="00A66748" w:rsidP="00A66748">
      <w:pPr>
        <w:pStyle w:val="Naslov1"/>
        <w:numPr>
          <w:ilvl w:val="0"/>
          <w:numId w:val="102"/>
        </w:numPr>
        <w:spacing w:before="360" w:after="80"/>
        <w:rPr>
          <w:rFonts w:ascii="Times New Roman" w:hAnsi="Times New Roman" w:cs="Times New Roman"/>
          <w:b w:val="0"/>
          <w:bCs w:val="0"/>
          <w:color w:val="auto"/>
        </w:rPr>
      </w:pPr>
      <w:bookmarkStart w:id="162" w:name="_Toc213852208"/>
      <w:r w:rsidRPr="00995907">
        <w:rPr>
          <w:rFonts w:ascii="Times New Roman" w:hAnsi="Times New Roman" w:cs="Times New Roman"/>
          <w:color w:val="auto"/>
        </w:rPr>
        <w:t>VIZIJA I MISIJA</w:t>
      </w:r>
      <w:bookmarkEnd w:id="162"/>
    </w:p>
    <w:p w:rsidR="00A66748" w:rsidRDefault="00A66748" w:rsidP="00A66748">
      <w:pPr>
        <w:spacing w:line="360" w:lineRule="auto"/>
        <w:jc w:val="both"/>
        <w:rPr>
          <w:rFonts w:ascii="Times New Roman" w:hAnsi="Times New Roman" w:cs="Times New Roman"/>
          <w:b/>
          <w:bCs/>
          <w:sz w:val="24"/>
          <w:szCs w:val="24"/>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63" w:name="_Toc213852209"/>
      <w:r w:rsidRPr="00995907">
        <w:rPr>
          <w:bCs/>
          <w:szCs w:val="24"/>
        </w:rPr>
        <w:lastRenderedPageBreak/>
        <w:t>VIZIJA</w:t>
      </w:r>
      <w:bookmarkEnd w:id="163"/>
    </w:p>
    <w:p w:rsidR="00A66748" w:rsidRDefault="00A66748" w:rsidP="00A66748">
      <w:pPr>
        <w:spacing w:line="360" w:lineRule="auto"/>
        <w:jc w:val="both"/>
        <w:rPr>
          <w:rFonts w:ascii="Times New Roman" w:hAnsi="Times New Roman" w:cs="Times New Roman"/>
          <w:b/>
          <w:bCs/>
          <w:sz w:val="24"/>
          <w:szCs w:val="24"/>
        </w:rPr>
      </w:pPr>
    </w:p>
    <w:p w:rsidR="00A66748" w:rsidRPr="0033185F" w:rsidRDefault="00A66748" w:rsidP="00A66748">
      <w:pPr>
        <w:spacing w:line="360" w:lineRule="auto"/>
        <w:jc w:val="both"/>
        <w:rPr>
          <w:rFonts w:ascii="Times New Roman" w:hAnsi="Times New Roman" w:cs="Times New Roman"/>
          <w:b/>
          <w:bCs/>
          <w:i/>
          <w:iCs/>
          <w:sz w:val="24"/>
          <w:szCs w:val="24"/>
        </w:rPr>
      </w:pPr>
      <w:r w:rsidRPr="0033185F">
        <w:rPr>
          <w:rFonts w:ascii="Times New Roman" w:hAnsi="Times New Roman" w:cs="Times New Roman"/>
          <w:b/>
          <w:bCs/>
          <w:i/>
          <w:iCs/>
          <w:sz w:val="24"/>
          <w:szCs w:val="24"/>
        </w:rPr>
        <w:t>Općina Gornji Bogićevci je ruralna sredina s bogatom prirodno-kulturnom baštinom, visoke razine komunalnog i društvenog standarda koja se gospodarski razvija na principima održivog i pametnog razvoja, te brige o zaštiti okoliša. Kroz ulaganja u održivo gospodarstvo, digitalna rješenja, inovativne sadržaje u turizmu i kulturi, te uključivanjem organizacija civilnog društva u brigu o razvoju sporta i kulturnog razvoja Općine. Povećanje kvalitete života sugrađana polazišna je osnova svake aktivnosti i projekta kojeg Općina provodi.</w:t>
      </w:r>
    </w:p>
    <w:p w:rsidR="00A66748" w:rsidRDefault="00A66748" w:rsidP="00A66748">
      <w:pPr>
        <w:spacing w:line="360" w:lineRule="auto"/>
        <w:jc w:val="both"/>
        <w:rPr>
          <w:rFonts w:ascii="Times New Roman" w:hAnsi="Times New Roman" w:cs="Times New Roman"/>
          <w:b/>
          <w:bCs/>
          <w:sz w:val="24"/>
          <w:szCs w:val="24"/>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64" w:name="_Toc213852210"/>
      <w:r w:rsidRPr="00995907">
        <w:rPr>
          <w:bCs/>
          <w:szCs w:val="24"/>
        </w:rPr>
        <w:t>MISIJA</w:t>
      </w:r>
      <w:bookmarkEnd w:id="164"/>
    </w:p>
    <w:p w:rsidR="00A66748" w:rsidRDefault="00A66748" w:rsidP="00A66748">
      <w:pPr>
        <w:spacing w:line="360" w:lineRule="auto"/>
        <w:jc w:val="both"/>
        <w:rPr>
          <w:rFonts w:ascii="Times New Roman" w:hAnsi="Times New Roman" w:cs="Times New Roman"/>
          <w:b/>
          <w:bCs/>
          <w:sz w:val="24"/>
          <w:szCs w:val="24"/>
        </w:rPr>
      </w:pPr>
    </w:p>
    <w:p w:rsidR="00A66748" w:rsidRPr="0033185F" w:rsidRDefault="00A66748" w:rsidP="00A66748">
      <w:pPr>
        <w:spacing w:line="360" w:lineRule="auto"/>
        <w:jc w:val="both"/>
        <w:rPr>
          <w:rFonts w:ascii="Times New Roman" w:hAnsi="Times New Roman" w:cs="Times New Roman"/>
          <w:b/>
          <w:bCs/>
          <w:i/>
          <w:iCs/>
          <w:sz w:val="24"/>
          <w:szCs w:val="24"/>
        </w:rPr>
      </w:pPr>
      <w:r w:rsidRPr="0033185F">
        <w:rPr>
          <w:rFonts w:ascii="Times New Roman" w:hAnsi="Times New Roman" w:cs="Times New Roman"/>
          <w:b/>
          <w:bCs/>
          <w:i/>
          <w:iCs/>
          <w:sz w:val="24"/>
          <w:szCs w:val="24"/>
        </w:rPr>
        <w:t>Misija Općine Gornji Bogićevci je osigurati infrastrukturu za ruralni razvoj, te razvoj ruralnog i kulturno-povijesnog turizma, zaštiti prirodna i kulturna dobra, i poboljšati kvalitetu života svih stanovnika vodeći brigu o djeci, starijima, te ranjivim skupinama. Općina će stvoriti uvjete održivosti cjelokupne zajednice kroz ulaganja u komunalnu i društvenu infrastrukturu, sportsko-obrazovne sadržaje, poboljšanje upravljačkih procesa i uvođenje inovativnih kulturnih sadržaja.</w:t>
      </w:r>
    </w:p>
    <w:p w:rsidR="00A66748" w:rsidRDefault="00A66748" w:rsidP="00A66748">
      <w:pPr>
        <w:spacing w:line="360" w:lineRule="auto"/>
        <w:jc w:val="both"/>
        <w:rPr>
          <w:rFonts w:ascii="Times New Roman" w:hAnsi="Times New Roman" w:cs="Times New Roman"/>
          <w:b/>
          <w:bCs/>
          <w:sz w:val="24"/>
          <w:szCs w:val="24"/>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65" w:name="_Toc213852211"/>
      <w:r w:rsidRPr="00995907">
        <w:rPr>
          <w:bCs/>
          <w:szCs w:val="24"/>
        </w:rPr>
        <w:t>VRIJEDNOSTI</w:t>
      </w:r>
      <w:bookmarkEnd w:id="165"/>
    </w:p>
    <w:p w:rsidR="00A66748" w:rsidRDefault="00A66748" w:rsidP="00A66748">
      <w:pPr>
        <w:spacing w:line="360" w:lineRule="auto"/>
        <w:jc w:val="both"/>
        <w:rPr>
          <w:rFonts w:ascii="Times New Roman" w:hAnsi="Times New Roman" w:cs="Times New Roman"/>
          <w:b/>
          <w:bCs/>
          <w:sz w:val="24"/>
          <w:szCs w:val="24"/>
        </w:rPr>
      </w:pPr>
    </w:p>
    <w:p w:rsidR="00A66748" w:rsidRPr="0033185F" w:rsidRDefault="00A66748" w:rsidP="00A66748">
      <w:pPr>
        <w:spacing w:line="360" w:lineRule="auto"/>
        <w:jc w:val="center"/>
        <w:rPr>
          <w:rFonts w:ascii="Times New Roman" w:hAnsi="Times New Roman" w:cs="Times New Roman"/>
          <w:b/>
          <w:bCs/>
          <w:i/>
          <w:iCs/>
          <w:sz w:val="24"/>
          <w:szCs w:val="24"/>
        </w:rPr>
      </w:pPr>
      <w:r w:rsidRPr="0033185F">
        <w:rPr>
          <w:rFonts w:ascii="Times New Roman" w:hAnsi="Times New Roman" w:cs="Times New Roman"/>
          <w:b/>
          <w:bCs/>
          <w:i/>
          <w:iCs/>
          <w:sz w:val="24"/>
          <w:szCs w:val="24"/>
        </w:rPr>
        <w:t>Očuvanje tradicije, kulturne baštine i lokalnog identiteta</w:t>
      </w:r>
    </w:p>
    <w:p w:rsidR="00A66748" w:rsidRPr="0033185F" w:rsidRDefault="00A66748" w:rsidP="00A66748">
      <w:pPr>
        <w:spacing w:line="360" w:lineRule="auto"/>
        <w:jc w:val="center"/>
        <w:rPr>
          <w:rFonts w:ascii="Times New Roman" w:hAnsi="Times New Roman" w:cs="Times New Roman"/>
          <w:b/>
          <w:bCs/>
          <w:i/>
          <w:iCs/>
          <w:sz w:val="24"/>
          <w:szCs w:val="24"/>
        </w:rPr>
      </w:pPr>
      <w:r w:rsidRPr="0033185F">
        <w:rPr>
          <w:rFonts w:ascii="Times New Roman" w:hAnsi="Times New Roman" w:cs="Times New Roman"/>
          <w:b/>
          <w:bCs/>
          <w:i/>
          <w:iCs/>
          <w:sz w:val="24"/>
          <w:szCs w:val="24"/>
        </w:rPr>
        <w:t>Poštovanje i briga za okoliš te održivo korištenje prirodnih resursa</w:t>
      </w:r>
    </w:p>
    <w:p w:rsidR="00A66748" w:rsidRPr="0033185F" w:rsidRDefault="00A66748" w:rsidP="00A66748">
      <w:pPr>
        <w:spacing w:line="360" w:lineRule="auto"/>
        <w:jc w:val="center"/>
        <w:rPr>
          <w:rFonts w:ascii="Times New Roman" w:hAnsi="Times New Roman" w:cs="Times New Roman"/>
          <w:b/>
          <w:bCs/>
          <w:i/>
          <w:iCs/>
          <w:sz w:val="24"/>
          <w:szCs w:val="24"/>
        </w:rPr>
      </w:pPr>
      <w:r w:rsidRPr="0033185F">
        <w:rPr>
          <w:rFonts w:ascii="Times New Roman" w:hAnsi="Times New Roman" w:cs="Times New Roman"/>
          <w:b/>
          <w:bCs/>
          <w:i/>
          <w:iCs/>
          <w:sz w:val="24"/>
          <w:szCs w:val="24"/>
        </w:rPr>
        <w:t>Obiteljske vrijednosti i međugeneracijska povezanost</w:t>
      </w:r>
    </w:p>
    <w:p w:rsidR="00A66748" w:rsidRPr="0033185F" w:rsidRDefault="00A66748" w:rsidP="00A66748">
      <w:pPr>
        <w:spacing w:line="360" w:lineRule="auto"/>
        <w:jc w:val="center"/>
        <w:rPr>
          <w:rFonts w:ascii="Times New Roman" w:hAnsi="Times New Roman" w:cs="Times New Roman"/>
          <w:b/>
          <w:bCs/>
          <w:sz w:val="24"/>
          <w:szCs w:val="24"/>
        </w:rPr>
      </w:pPr>
      <w:r w:rsidRPr="0033185F">
        <w:rPr>
          <w:rFonts w:ascii="Times New Roman" w:hAnsi="Times New Roman" w:cs="Times New Roman"/>
          <w:b/>
          <w:bCs/>
          <w:i/>
          <w:iCs/>
          <w:sz w:val="24"/>
          <w:szCs w:val="24"/>
        </w:rPr>
        <w:t>Sigurnost i mirno okruženje za život</w:t>
      </w:r>
    </w:p>
    <w:p w:rsidR="00A66748" w:rsidRPr="0033185F" w:rsidRDefault="00A66748" w:rsidP="00A66748">
      <w:pPr>
        <w:spacing w:line="360" w:lineRule="auto"/>
        <w:jc w:val="both"/>
        <w:rPr>
          <w:rFonts w:ascii="Times New Roman" w:hAnsi="Times New Roman" w:cs="Times New Roman"/>
          <w:b/>
          <w:bCs/>
          <w:sz w:val="24"/>
          <w:szCs w:val="24"/>
        </w:rPr>
      </w:pPr>
    </w:p>
    <w:p w:rsidR="00A66748" w:rsidRDefault="00A66748" w:rsidP="00A66748">
      <w:pPr>
        <w:spacing w:line="360" w:lineRule="auto"/>
        <w:jc w:val="both"/>
        <w:rPr>
          <w:rFonts w:ascii="Times New Roman" w:hAnsi="Times New Roman" w:cs="Times New Roman"/>
          <w:b/>
          <w:bCs/>
          <w:sz w:val="28"/>
          <w:szCs w:val="28"/>
        </w:rPr>
      </w:pPr>
    </w:p>
    <w:p w:rsidR="00A66748" w:rsidRDefault="00A66748" w:rsidP="00A66748">
      <w:pPr>
        <w:spacing w:line="360" w:lineRule="auto"/>
        <w:jc w:val="both"/>
        <w:rPr>
          <w:rFonts w:ascii="Times New Roman" w:hAnsi="Times New Roman" w:cs="Times New Roman"/>
          <w:b/>
          <w:bCs/>
          <w:sz w:val="28"/>
          <w:szCs w:val="28"/>
        </w:rPr>
      </w:pPr>
    </w:p>
    <w:p w:rsidR="00A66748" w:rsidRPr="00995907" w:rsidRDefault="00A66748" w:rsidP="00A66748">
      <w:pPr>
        <w:pStyle w:val="Naslov1"/>
        <w:numPr>
          <w:ilvl w:val="0"/>
          <w:numId w:val="102"/>
        </w:numPr>
        <w:spacing w:before="360" w:after="80"/>
        <w:rPr>
          <w:rFonts w:ascii="Times New Roman" w:hAnsi="Times New Roman" w:cs="Times New Roman"/>
          <w:b w:val="0"/>
          <w:bCs w:val="0"/>
          <w:color w:val="auto"/>
        </w:rPr>
      </w:pPr>
      <w:bookmarkStart w:id="166" w:name="_Toc213852212"/>
      <w:r w:rsidRPr="00995907">
        <w:rPr>
          <w:rFonts w:ascii="Times New Roman" w:hAnsi="Times New Roman" w:cs="Times New Roman"/>
          <w:color w:val="auto"/>
        </w:rPr>
        <w:lastRenderedPageBreak/>
        <w:t>KONTEKST</w:t>
      </w:r>
      <w:bookmarkEnd w:id="166"/>
    </w:p>
    <w:p w:rsidR="00A66748" w:rsidRDefault="00A66748" w:rsidP="00A66748">
      <w:pPr>
        <w:spacing w:line="360" w:lineRule="auto"/>
        <w:jc w:val="both"/>
        <w:rPr>
          <w:rFonts w:ascii="Times New Roman" w:hAnsi="Times New Roman" w:cs="Times New Roman"/>
          <w:b/>
          <w:bCs/>
          <w:sz w:val="28"/>
          <w:szCs w:val="28"/>
        </w:rPr>
      </w:pPr>
    </w:p>
    <w:p w:rsidR="00A66748" w:rsidRPr="00057AA5" w:rsidRDefault="00A66748" w:rsidP="00A66748">
      <w:pPr>
        <w:spacing w:line="360" w:lineRule="auto"/>
        <w:jc w:val="both"/>
        <w:rPr>
          <w:rFonts w:ascii="Times New Roman" w:hAnsi="Times New Roman" w:cs="Times New Roman"/>
          <w:sz w:val="24"/>
          <w:szCs w:val="24"/>
        </w:rPr>
      </w:pPr>
      <w:r w:rsidRPr="00057AA5">
        <w:rPr>
          <w:rFonts w:ascii="Times New Roman" w:hAnsi="Times New Roman" w:cs="Times New Roman"/>
          <w:sz w:val="24"/>
          <w:szCs w:val="24"/>
        </w:rPr>
        <w:t>Godišnji plan rada obuhvaća planirane aktivnosti za 2026. godinu usmjerene na ostvarenje definiranih mjera, posebice u području povećanja učinkovitosti lokalne uprave, modernizacije sustava te unapređenja kvalitete pružanja usluga mještanima Općine</w:t>
      </w:r>
      <w:r>
        <w:rPr>
          <w:rFonts w:ascii="Times New Roman" w:hAnsi="Times New Roman" w:cs="Times New Roman"/>
          <w:sz w:val="24"/>
          <w:szCs w:val="24"/>
        </w:rPr>
        <w:t xml:space="preserve"> Gornji Bogićevci</w:t>
      </w:r>
      <w:r w:rsidRPr="00057AA5">
        <w:rPr>
          <w:rFonts w:ascii="Times New Roman" w:hAnsi="Times New Roman" w:cs="Times New Roman"/>
          <w:sz w:val="24"/>
          <w:szCs w:val="24"/>
        </w:rPr>
        <w:t>. Cilj je svih aktivnosti poboljšanje životnih uvjeta i kvalitete života stanovnika kroz djelokrug samoupravnih nadležnosti Općine, provedbu zakona i drugih propisa te praćenje stanja u relevantnim područjima.</w:t>
      </w:r>
    </w:p>
    <w:p w:rsidR="00A66748" w:rsidRPr="00057AA5" w:rsidRDefault="00A66748" w:rsidP="00A66748">
      <w:pPr>
        <w:spacing w:line="360" w:lineRule="auto"/>
        <w:jc w:val="both"/>
        <w:rPr>
          <w:rFonts w:ascii="Times New Roman" w:hAnsi="Times New Roman" w:cs="Times New Roman"/>
          <w:sz w:val="24"/>
          <w:szCs w:val="24"/>
        </w:rPr>
      </w:pPr>
      <w:r w:rsidRPr="00057AA5">
        <w:rPr>
          <w:rFonts w:ascii="Times New Roman" w:hAnsi="Times New Roman" w:cs="Times New Roman"/>
          <w:sz w:val="24"/>
          <w:szCs w:val="24"/>
        </w:rPr>
        <w:t>Godišnji plan rada predstavlja upravljački alat i proces, a njegov rezultat je jednogodišnji provedbeno-operativni dokument koji ima sljedeće ciljeve:</w:t>
      </w:r>
    </w:p>
    <w:p w:rsidR="00A66748" w:rsidRPr="00057AA5" w:rsidRDefault="00A66748" w:rsidP="00A66748">
      <w:pPr>
        <w:pStyle w:val="Odlomakpopisa"/>
        <w:numPr>
          <w:ilvl w:val="0"/>
          <w:numId w:val="100"/>
        </w:numPr>
        <w:spacing w:line="360" w:lineRule="auto"/>
        <w:jc w:val="both"/>
        <w:rPr>
          <w:rFonts w:ascii="Times New Roman" w:hAnsi="Times New Roman" w:cs="Times New Roman"/>
          <w:sz w:val="24"/>
          <w:szCs w:val="24"/>
        </w:rPr>
      </w:pPr>
      <w:r w:rsidRPr="00057AA5">
        <w:rPr>
          <w:rFonts w:ascii="Times New Roman" w:hAnsi="Times New Roman" w:cs="Times New Roman"/>
          <w:sz w:val="24"/>
          <w:szCs w:val="24"/>
        </w:rPr>
        <w:t>informirati korisnike o planu rada tijela Općine</w:t>
      </w:r>
    </w:p>
    <w:p w:rsidR="00A66748" w:rsidRPr="00057AA5" w:rsidRDefault="00A66748" w:rsidP="00A66748">
      <w:pPr>
        <w:pStyle w:val="Odlomakpopisa"/>
        <w:numPr>
          <w:ilvl w:val="0"/>
          <w:numId w:val="100"/>
        </w:numPr>
        <w:spacing w:line="360" w:lineRule="auto"/>
        <w:jc w:val="both"/>
        <w:rPr>
          <w:rFonts w:ascii="Times New Roman" w:hAnsi="Times New Roman" w:cs="Times New Roman"/>
          <w:sz w:val="24"/>
          <w:szCs w:val="24"/>
        </w:rPr>
      </w:pPr>
      <w:r w:rsidRPr="00057AA5">
        <w:rPr>
          <w:rFonts w:ascii="Times New Roman" w:hAnsi="Times New Roman" w:cs="Times New Roman"/>
          <w:sz w:val="24"/>
          <w:szCs w:val="24"/>
        </w:rPr>
        <w:t>osigurati provedbu kratkoročnih akata strateškog planiranja na godišnjoj razini (Provedbenog plana)</w:t>
      </w:r>
    </w:p>
    <w:p w:rsidR="00A66748" w:rsidRPr="00057AA5" w:rsidRDefault="00A66748" w:rsidP="00A66748">
      <w:pPr>
        <w:pStyle w:val="Odlomakpopisa"/>
        <w:numPr>
          <w:ilvl w:val="0"/>
          <w:numId w:val="100"/>
        </w:numPr>
        <w:spacing w:line="360" w:lineRule="auto"/>
        <w:jc w:val="both"/>
        <w:rPr>
          <w:rFonts w:ascii="Times New Roman" w:hAnsi="Times New Roman" w:cs="Times New Roman"/>
          <w:sz w:val="24"/>
          <w:szCs w:val="24"/>
        </w:rPr>
      </w:pPr>
      <w:r w:rsidRPr="00057AA5">
        <w:rPr>
          <w:rFonts w:ascii="Times New Roman" w:hAnsi="Times New Roman" w:cs="Times New Roman"/>
          <w:sz w:val="24"/>
          <w:szCs w:val="24"/>
        </w:rPr>
        <w:t>primijeniti načela dobrog financijskog upravljanja, odnosno osigurati ekonomičnost, učinkovitost i djelotvornost rada Općine</w:t>
      </w:r>
    </w:p>
    <w:p w:rsidR="00A66748" w:rsidRPr="00057AA5" w:rsidRDefault="00A66748" w:rsidP="00A66748">
      <w:pPr>
        <w:spacing w:line="360" w:lineRule="auto"/>
        <w:jc w:val="both"/>
        <w:rPr>
          <w:rFonts w:ascii="Times New Roman" w:hAnsi="Times New Roman" w:cs="Times New Roman"/>
          <w:sz w:val="24"/>
          <w:szCs w:val="24"/>
        </w:rPr>
      </w:pPr>
      <w:r w:rsidRPr="00057AA5">
        <w:rPr>
          <w:rFonts w:ascii="Times New Roman" w:hAnsi="Times New Roman" w:cs="Times New Roman"/>
          <w:sz w:val="24"/>
          <w:szCs w:val="24"/>
        </w:rPr>
        <w:t xml:space="preserve">Općina </w:t>
      </w:r>
      <w:r>
        <w:rPr>
          <w:rFonts w:ascii="Times New Roman" w:hAnsi="Times New Roman" w:cs="Times New Roman"/>
          <w:sz w:val="24"/>
          <w:szCs w:val="24"/>
        </w:rPr>
        <w:t xml:space="preserve">Gornji Bogićevci </w:t>
      </w:r>
      <w:r w:rsidRPr="00057AA5">
        <w:rPr>
          <w:rFonts w:ascii="Times New Roman" w:hAnsi="Times New Roman" w:cs="Times New Roman"/>
          <w:sz w:val="24"/>
          <w:szCs w:val="24"/>
        </w:rPr>
        <w:t xml:space="preserve">djeluje u dinamičnom društveno-gospodarskom i političkom okruženju, koje snažno utječe na planiranje i provedbu njenih aktivnosti. Razumijevanje šireg konteksta ključno je za donošenje kvalitetnih odluka i ostvarenje strateških ciljeva definiranih Provedbenim programom Općine </w:t>
      </w:r>
      <w:r>
        <w:rPr>
          <w:rFonts w:ascii="Times New Roman" w:hAnsi="Times New Roman" w:cs="Times New Roman"/>
          <w:sz w:val="24"/>
          <w:szCs w:val="24"/>
        </w:rPr>
        <w:t xml:space="preserve">Gornji Bogićevci </w:t>
      </w:r>
      <w:r w:rsidRPr="00057AA5">
        <w:rPr>
          <w:rFonts w:ascii="Times New Roman" w:hAnsi="Times New Roman" w:cs="Times New Roman"/>
          <w:sz w:val="24"/>
          <w:szCs w:val="24"/>
        </w:rPr>
        <w:t>za razdoblje 2025. – 2029. godine.</w:t>
      </w:r>
    </w:p>
    <w:p w:rsidR="00A66748" w:rsidRPr="00BA141A" w:rsidRDefault="00A66748" w:rsidP="00A66748">
      <w:pPr>
        <w:spacing w:line="360" w:lineRule="auto"/>
        <w:jc w:val="both"/>
        <w:rPr>
          <w:rFonts w:ascii="Times New Roman" w:hAnsi="Times New Roman" w:cs="Times New Roman"/>
          <w:sz w:val="24"/>
          <w:szCs w:val="24"/>
        </w:rPr>
      </w:pPr>
      <w:r w:rsidRPr="007D3497">
        <w:rPr>
          <w:rFonts w:ascii="Times New Roman" w:hAnsi="Times New Roman" w:cs="Times New Roman"/>
          <w:sz w:val="24"/>
          <w:szCs w:val="24"/>
        </w:rPr>
        <w:t xml:space="preserve">Okruženje u kojem Općina </w:t>
      </w:r>
      <w:r>
        <w:rPr>
          <w:rFonts w:ascii="Times New Roman" w:hAnsi="Times New Roman" w:cs="Times New Roman"/>
          <w:sz w:val="24"/>
          <w:szCs w:val="24"/>
        </w:rPr>
        <w:t xml:space="preserve">Gornji Bogićevci </w:t>
      </w:r>
      <w:r w:rsidRPr="007D3497">
        <w:rPr>
          <w:rFonts w:ascii="Times New Roman" w:hAnsi="Times New Roman" w:cs="Times New Roman"/>
          <w:sz w:val="24"/>
          <w:szCs w:val="24"/>
        </w:rPr>
        <w:t>djeluje u 2026. godini nudi brojne razvojne mogućnosti, osobito u području demografskih mjera, društvene infrastrukture, ali i određene izazove povezane s financijskim kapacitetima, gospodarskom nestabilnošću i demografskim trendovima.</w:t>
      </w:r>
    </w:p>
    <w:p w:rsidR="00A66748" w:rsidRDefault="00A66748" w:rsidP="00A66748">
      <w:pPr>
        <w:rPr>
          <w:rFonts w:ascii="Times New Roman" w:hAnsi="Times New Roman" w:cs="Times New Roman"/>
          <w:sz w:val="28"/>
          <w:szCs w:val="28"/>
        </w:rPr>
      </w:pPr>
    </w:p>
    <w:p w:rsidR="00A66748" w:rsidRDefault="00A66748" w:rsidP="00A66748">
      <w:p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U tom kontekstu, aktivnosti i projekti planirani za 2026. godinu su:</w:t>
      </w:r>
      <w:r w:rsidRPr="007D3497">
        <w:rPr>
          <w:rFonts w:ascii="Times New Roman" w:hAnsi="Times New Roman" w:cs="Times New Roman"/>
          <w:sz w:val="24"/>
          <w:szCs w:val="24"/>
        </w:rPr>
        <w:t xml:space="preserve"> </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Obilježavanje Dana Općine i ostale manifestascije </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Financiranje političkih stranaka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Vijeće srpske nacionalne manjine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Administrativno i stručno osoblje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Komunalni redar</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lastRenderedPageBreak/>
        <w:t xml:space="preserve"> Tekuće i investicijsko održavanje građevinskih objekata, postrojenja i opreme i dr</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Informatizacija uprave i nabava namještaja i opreme</w:t>
      </w:r>
    </w:p>
    <w:p w:rsidR="00A66748" w:rsidRPr="005D0837"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Dom Smrtić</w:t>
      </w:r>
      <w:r>
        <w:rPr>
          <w:rFonts w:ascii="Times New Roman" w:hAnsi="Times New Roman" w:cs="Times New Roman"/>
          <w:sz w:val="24"/>
          <w:szCs w:val="24"/>
        </w:rPr>
        <w:t xml:space="preserve"> – opremanje kuhinje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Izgradnja i opremanje dječjeg vrtića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Intelektualne i osobne usluge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Informatizacija uprave i nabava namještaja i opreme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Održavanje nerazvrstanih cesta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Održavanje javnih površina na kojima nije dopušten promet vozilima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Održavanje javnih zelenih površina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Održavanje groblja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Održavanje čistoće javnih površina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Održavanje javne rasvjete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Centar općine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Cesta Stari kraj- groblje LU Vepar</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Izgradnja prilazne ceste i mosta na potoku Draževac</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Izgradnja dječjeg igrališta u naselju Trnava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Uređenje parkirališta kod doma Kosovac</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Modernizacija javne rasvjete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DVD</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Civilna zaštita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HGSS</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Jednokratne novčane pomoći</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Pomoći u rješavanju prve stambene nekretnine mladih obitelji</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Humanitarna skrb kroz udruge i druge organizacije - Crveni križ</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Javni radovi</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Predškolski odgoj</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Osnovno i srednjoškolsko obrazovanje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 Visoko obrazovanje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Poticanje poljoprivrede i gospodarskih subjekata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Sportske zajednice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 xml:space="preserve">Poticajna naknada za smanjenje količine miješanog komunalnog otpada; </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Naknada za korištenje odlagališta komunalnog otpada</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lastRenderedPageBreak/>
        <w:t>Djelatnost kulturno-umjetničkih društava, udruga i RP Bljesak</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Vjerske zajednice</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Utvrda Bedem</w:t>
      </w:r>
    </w:p>
    <w:p w:rsidR="00A66748" w:rsidRPr="008208C6" w:rsidRDefault="00A66748" w:rsidP="00A66748">
      <w:pPr>
        <w:pStyle w:val="Odlomakpopisa"/>
        <w:numPr>
          <w:ilvl w:val="0"/>
          <w:numId w:val="103"/>
        </w:numPr>
        <w:spacing w:line="360" w:lineRule="auto"/>
        <w:jc w:val="both"/>
        <w:rPr>
          <w:rFonts w:ascii="Times New Roman" w:hAnsi="Times New Roman" w:cs="Times New Roman"/>
          <w:sz w:val="24"/>
          <w:szCs w:val="24"/>
        </w:rPr>
      </w:pPr>
      <w:r w:rsidRPr="008208C6">
        <w:rPr>
          <w:rFonts w:ascii="Times New Roman" w:hAnsi="Times New Roman" w:cs="Times New Roman"/>
          <w:sz w:val="24"/>
          <w:szCs w:val="24"/>
        </w:rPr>
        <w:t>Narodna knjižnica i čitaonica</w:t>
      </w: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Pr="007D3497" w:rsidRDefault="00A66748" w:rsidP="00A66748">
      <w:pPr>
        <w:spacing w:line="360" w:lineRule="auto"/>
        <w:jc w:val="both"/>
        <w:rPr>
          <w:rFonts w:ascii="Times New Roman" w:hAnsi="Times New Roman" w:cs="Times New Roman"/>
          <w:sz w:val="24"/>
          <w:szCs w:val="24"/>
        </w:rPr>
      </w:pPr>
      <w:r w:rsidRPr="007D3497">
        <w:rPr>
          <w:rFonts w:ascii="Times New Roman" w:hAnsi="Times New Roman" w:cs="Times New Roman"/>
          <w:sz w:val="24"/>
          <w:szCs w:val="24"/>
        </w:rPr>
        <w:t xml:space="preserve">U središtu svih planiranih aktivnosti nalazi se </w:t>
      </w:r>
      <w:r>
        <w:rPr>
          <w:rFonts w:ascii="Times New Roman" w:hAnsi="Times New Roman" w:cs="Times New Roman"/>
          <w:sz w:val="24"/>
          <w:szCs w:val="24"/>
        </w:rPr>
        <w:t xml:space="preserve">stanovništvo </w:t>
      </w:r>
      <w:r w:rsidRPr="007D3497">
        <w:rPr>
          <w:rFonts w:ascii="Times New Roman" w:hAnsi="Times New Roman" w:cs="Times New Roman"/>
          <w:sz w:val="24"/>
          <w:szCs w:val="24"/>
        </w:rPr>
        <w:t>Općine</w:t>
      </w:r>
      <w:r>
        <w:rPr>
          <w:rFonts w:ascii="Times New Roman" w:hAnsi="Times New Roman" w:cs="Times New Roman"/>
          <w:sz w:val="24"/>
          <w:szCs w:val="24"/>
        </w:rPr>
        <w:t xml:space="preserve"> Gornji Bogićevci</w:t>
      </w:r>
      <w:r w:rsidRPr="007D3497">
        <w:rPr>
          <w:rFonts w:ascii="Times New Roman" w:hAnsi="Times New Roman" w:cs="Times New Roman"/>
          <w:sz w:val="24"/>
          <w:szCs w:val="24"/>
        </w:rPr>
        <w:t>. Ulaganjem u infrastrukturu, obrazovanje, društveni život i zaštitu okoliša, Općina nastavlja stvarati zajednicu koja pruža sigurnost, prilike i visoku kvalitetu života svim generacijama.</w:t>
      </w:r>
    </w:p>
    <w:p w:rsidR="00A66748" w:rsidRDefault="00A66748" w:rsidP="00A66748">
      <w:pPr>
        <w:spacing w:line="360" w:lineRule="auto"/>
        <w:jc w:val="both"/>
        <w:rPr>
          <w:rFonts w:ascii="Times New Roman" w:hAnsi="Times New Roman" w:cs="Times New Roman"/>
          <w:sz w:val="24"/>
          <w:szCs w:val="24"/>
        </w:rPr>
      </w:pPr>
      <w:r w:rsidRPr="007D3497">
        <w:rPr>
          <w:rFonts w:ascii="Times New Roman" w:hAnsi="Times New Roman" w:cs="Times New Roman"/>
          <w:sz w:val="24"/>
          <w:szCs w:val="24"/>
        </w:rPr>
        <w:t xml:space="preserve">Cilj za 2026. godinu je ostvariti konkretne promjene u svakodnevnom životu mještana, otvoriti nove mogućnosti za mlade te dodatno učvrstiti položaj </w:t>
      </w:r>
      <w:r>
        <w:rPr>
          <w:rFonts w:ascii="Times New Roman" w:hAnsi="Times New Roman" w:cs="Times New Roman"/>
          <w:sz w:val="24"/>
          <w:szCs w:val="24"/>
        </w:rPr>
        <w:t>Gornjih Bogićevaca</w:t>
      </w:r>
      <w:r w:rsidRPr="007D3497">
        <w:rPr>
          <w:rFonts w:ascii="Times New Roman" w:hAnsi="Times New Roman" w:cs="Times New Roman"/>
          <w:sz w:val="24"/>
          <w:szCs w:val="24"/>
        </w:rPr>
        <w:t xml:space="preserve"> kao suvremene, otvorene i solidarne sredine ugodnog življenja.</w:t>
      </w: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67" w:name="_Toc213852213"/>
      <w:r w:rsidRPr="00995907">
        <w:rPr>
          <w:bCs/>
          <w:szCs w:val="24"/>
        </w:rPr>
        <w:t>ORGANIZACIJSKA STRUKTURA</w:t>
      </w:r>
      <w:bookmarkEnd w:id="167"/>
    </w:p>
    <w:p w:rsidR="00A66748" w:rsidRDefault="00A66748" w:rsidP="00A66748">
      <w:pPr>
        <w:rPr>
          <w:rFonts w:ascii="Times New Roman" w:hAnsi="Times New Roman" w:cs="Times New Roman"/>
          <w:b/>
          <w:bCs/>
          <w:sz w:val="24"/>
          <w:szCs w:val="24"/>
        </w:rPr>
      </w:pPr>
    </w:p>
    <w:p w:rsidR="00A66748" w:rsidRDefault="00A66748" w:rsidP="00A66748">
      <w:pPr>
        <w:rPr>
          <w:rFonts w:ascii="Times New Roman" w:hAnsi="Times New Roman" w:cs="Times New Roman"/>
          <w:b/>
          <w:bCs/>
          <w:sz w:val="24"/>
          <w:szCs w:val="24"/>
        </w:rPr>
      </w:pPr>
    </w:p>
    <w:p w:rsidR="00A66748" w:rsidRPr="00BA141A" w:rsidRDefault="00A66748" w:rsidP="00A66748">
      <w:pPr>
        <w:rPr>
          <w:rFonts w:ascii="Times New Roman" w:hAnsi="Times New Roman" w:cs="Times New Roman"/>
          <w:b/>
          <w:bCs/>
          <w:sz w:val="24"/>
          <w:szCs w:val="24"/>
        </w:rPr>
      </w:pPr>
      <w:r w:rsidRPr="00A253D1">
        <w:rPr>
          <w:rFonts w:ascii="Times New Roman" w:hAnsi="Times New Roman" w:cs="Times New Roman"/>
          <w:b/>
          <w:bCs/>
          <w:noProof/>
          <w:sz w:val="24"/>
          <w:szCs w:val="24"/>
          <w:lang w:eastAsia="hr-HR"/>
        </w:rPr>
        <w:lastRenderedPageBreak/>
        <w:drawing>
          <wp:inline distT="0" distB="0" distL="0" distR="0">
            <wp:extent cx="5760720" cy="3883025"/>
            <wp:effectExtent l="0" t="0" r="0" b="3175"/>
            <wp:docPr id="313251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251153" name=""/>
                    <pic:cNvPicPr/>
                  </pic:nvPicPr>
                  <pic:blipFill>
                    <a:blip r:embed="rId83" cstate="print"/>
                    <a:stretch>
                      <a:fillRect/>
                    </a:stretch>
                  </pic:blipFill>
                  <pic:spPr>
                    <a:xfrm>
                      <a:off x="0" y="0"/>
                      <a:ext cx="5760720" cy="3883025"/>
                    </a:xfrm>
                    <a:prstGeom prst="rect">
                      <a:avLst/>
                    </a:prstGeom>
                  </pic:spPr>
                </pic:pic>
              </a:graphicData>
            </a:graphic>
          </wp:inline>
        </w:drawing>
      </w: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68" w:name="_Toc213852214"/>
      <w:r w:rsidRPr="00995907">
        <w:rPr>
          <w:bCs/>
          <w:szCs w:val="24"/>
        </w:rPr>
        <w:t>SWOT ANALIZA</w:t>
      </w:r>
      <w:bookmarkEnd w:id="168"/>
    </w:p>
    <w:p w:rsidR="00A66748" w:rsidRDefault="00A66748" w:rsidP="00A66748">
      <w:pPr>
        <w:rPr>
          <w:rFonts w:ascii="Times New Roman" w:hAnsi="Times New Roman" w:cs="Times New Roman"/>
          <w:b/>
          <w:bCs/>
          <w:sz w:val="24"/>
          <w:szCs w:val="24"/>
        </w:rPr>
      </w:pPr>
    </w:p>
    <w:tbl>
      <w:tblPr>
        <w:tblStyle w:val="Reetkatablice"/>
        <w:tblW w:w="0" w:type="auto"/>
        <w:tblLook w:val="04A0"/>
      </w:tblPr>
      <w:tblGrid>
        <w:gridCol w:w="4531"/>
        <w:gridCol w:w="4531"/>
      </w:tblGrid>
      <w:tr w:rsidR="00A66748" w:rsidRPr="00A253D1" w:rsidTr="00F57898">
        <w:trPr>
          <w:trHeight w:val="483"/>
        </w:trPr>
        <w:tc>
          <w:tcPr>
            <w:tcW w:w="4531" w:type="dxa"/>
            <w:shd w:val="clear" w:color="auto" w:fill="ED7D31" w:themeFill="accent2"/>
          </w:tcPr>
          <w:p w:rsidR="00A66748" w:rsidRPr="00A253D1" w:rsidRDefault="00A66748" w:rsidP="00F57898">
            <w:pPr>
              <w:spacing w:line="360" w:lineRule="auto"/>
              <w:jc w:val="center"/>
              <w:rPr>
                <w:rFonts w:ascii="Times New Roman" w:eastAsia="Calibri" w:hAnsi="Times New Roman"/>
                <w:sz w:val="18"/>
                <w:szCs w:val="18"/>
              </w:rPr>
            </w:pPr>
            <w:r w:rsidRPr="00A253D1">
              <w:rPr>
                <w:rFonts w:ascii="Times New Roman" w:eastAsia="Calibri" w:hAnsi="Times New Roman"/>
                <w:b/>
                <w:bCs/>
                <w:sz w:val="18"/>
                <w:szCs w:val="18"/>
              </w:rPr>
              <w:t>SNAGE (S)</w:t>
            </w:r>
          </w:p>
        </w:tc>
        <w:tc>
          <w:tcPr>
            <w:tcW w:w="4531" w:type="dxa"/>
            <w:shd w:val="clear" w:color="auto" w:fill="ED7D31" w:themeFill="accent2"/>
          </w:tcPr>
          <w:p w:rsidR="00A66748" w:rsidRPr="00A253D1" w:rsidRDefault="00A66748" w:rsidP="00F57898">
            <w:pPr>
              <w:spacing w:line="360" w:lineRule="auto"/>
              <w:jc w:val="center"/>
              <w:rPr>
                <w:rFonts w:ascii="Times New Roman" w:eastAsia="Calibri" w:hAnsi="Times New Roman"/>
                <w:sz w:val="18"/>
                <w:szCs w:val="18"/>
              </w:rPr>
            </w:pPr>
            <w:r w:rsidRPr="00A253D1">
              <w:rPr>
                <w:rFonts w:ascii="Times New Roman" w:eastAsia="Calibri" w:hAnsi="Times New Roman"/>
                <w:b/>
                <w:bCs/>
                <w:sz w:val="18"/>
                <w:szCs w:val="18"/>
              </w:rPr>
              <w:t>SLABOSTI (W)</w:t>
            </w:r>
          </w:p>
        </w:tc>
      </w:tr>
      <w:tr w:rsidR="00A66748" w:rsidRPr="00A253D1" w:rsidTr="00F57898">
        <w:trPr>
          <w:trHeight w:val="2971"/>
        </w:trPr>
        <w:tc>
          <w:tcPr>
            <w:tcW w:w="4531" w:type="dxa"/>
          </w:tcPr>
          <w:p w:rsidR="00A66748" w:rsidRPr="00A253D1" w:rsidRDefault="00A66748" w:rsidP="00A66748">
            <w:pPr>
              <w:numPr>
                <w:ilvl w:val="0"/>
                <w:numId w:val="6"/>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lastRenderedPageBreak/>
              <w:t>Dobra prometna dostupnost: blizina autoceste A3 (Zagreb–Lipovac) i državnih/županijskih veza prema Novoj Gradiški i Okučanima (oslonac za logistiku i dnevnu migraciju radne snage).</w:t>
            </w:r>
          </w:p>
          <w:p w:rsidR="00A66748" w:rsidRPr="00A253D1" w:rsidRDefault="00A66748" w:rsidP="00A66748">
            <w:pPr>
              <w:numPr>
                <w:ilvl w:val="0"/>
                <w:numId w:val="6"/>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Postojeća poduzetnička zona „Brezine“ s raspoloživim zemljištem i poduzetničkim subjektima (metal, obrada, stolarski i srodni programi).</w:t>
            </w:r>
          </w:p>
          <w:p w:rsidR="00A66748" w:rsidRPr="00A253D1" w:rsidRDefault="00A66748" w:rsidP="00A66748">
            <w:pPr>
              <w:numPr>
                <w:ilvl w:val="0"/>
                <w:numId w:val="6"/>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Visok poljoprivredni potencijal (oranice, stočarstvo) i tradicija obiteljskih gospodarstava.</w:t>
            </w:r>
          </w:p>
          <w:p w:rsidR="00A66748" w:rsidRPr="00A253D1" w:rsidRDefault="00A66748" w:rsidP="00A66748">
            <w:pPr>
              <w:numPr>
                <w:ilvl w:val="0"/>
                <w:numId w:val="6"/>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Uhodani komunalni i društveni projekti iz Provedbenog programa (održavanje cesta i javnih površina, domovi, rasvjeta, društvene i socijalne mjere).</w:t>
            </w:r>
          </w:p>
          <w:p w:rsidR="00A66748" w:rsidRPr="00A253D1" w:rsidRDefault="00A66748" w:rsidP="00A66748">
            <w:pPr>
              <w:numPr>
                <w:ilvl w:val="0"/>
                <w:numId w:val="6"/>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Operativna iskustva s vodoopskrbom/odvodnjom (regionalni planovi, komunalna suradnja).</w:t>
            </w:r>
          </w:p>
        </w:tc>
        <w:tc>
          <w:tcPr>
            <w:tcW w:w="4531" w:type="dxa"/>
          </w:tcPr>
          <w:p w:rsidR="00A66748" w:rsidRPr="00A253D1" w:rsidRDefault="00A66748" w:rsidP="00F57898">
            <w:pPr>
              <w:spacing w:line="360" w:lineRule="auto"/>
              <w:jc w:val="both"/>
              <w:rPr>
                <w:rFonts w:ascii="Times New Roman" w:eastAsia="Calibri" w:hAnsi="Times New Roman"/>
                <w:sz w:val="18"/>
                <w:szCs w:val="18"/>
              </w:rPr>
            </w:pPr>
            <w:r w:rsidRPr="00A253D1">
              <w:rPr>
                <w:rFonts w:ascii="Times New Roman" w:eastAsia="Calibri" w:hAnsi="Times New Roman"/>
                <w:sz w:val="18"/>
                <w:szCs w:val="18"/>
              </w:rPr>
              <w:t>Negativni demografski trendovi (dugoročan pad i starenje stanovništva)</w:t>
            </w:r>
          </w:p>
          <w:p w:rsidR="00A66748" w:rsidRPr="00A253D1" w:rsidRDefault="00A66748" w:rsidP="00F57898">
            <w:pPr>
              <w:spacing w:line="360" w:lineRule="auto"/>
              <w:jc w:val="both"/>
              <w:rPr>
                <w:rFonts w:ascii="Times New Roman" w:eastAsia="Calibri" w:hAnsi="Times New Roman"/>
                <w:sz w:val="18"/>
                <w:szCs w:val="18"/>
              </w:rPr>
            </w:pPr>
            <w:r w:rsidRPr="00A253D1">
              <w:rPr>
                <w:rFonts w:ascii="Times New Roman" w:eastAsia="Calibri" w:hAnsi="Times New Roman"/>
                <w:sz w:val="18"/>
                <w:szCs w:val="18"/>
              </w:rPr>
              <w:t>Ograničena diversifikacija gospodarstva; oslonac na mikro i mala poduzeća/obrte i poljoprivredu</w:t>
            </w:r>
          </w:p>
          <w:p w:rsidR="00A66748" w:rsidRPr="00A253D1" w:rsidRDefault="00A66748" w:rsidP="00F57898">
            <w:pPr>
              <w:spacing w:line="360" w:lineRule="auto"/>
              <w:jc w:val="both"/>
              <w:rPr>
                <w:rFonts w:ascii="Times New Roman" w:eastAsia="Calibri" w:hAnsi="Times New Roman"/>
                <w:sz w:val="18"/>
                <w:szCs w:val="18"/>
              </w:rPr>
            </w:pPr>
            <w:r w:rsidRPr="00A253D1">
              <w:rPr>
                <w:rFonts w:ascii="Times New Roman" w:eastAsia="Calibri" w:hAnsi="Times New Roman"/>
                <w:sz w:val="18"/>
                <w:szCs w:val="18"/>
              </w:rPr>
              <w:t>Nedostatna prerada i kraće vrijednosne lance (slabija dodana vrijednost lokalnih proizvoda).</w:t>
            </w:r>
          </w:p>
          <w:p w:rsidR="00A66748" w:rsidRPr="00A253D1" w:rsidRDefault="00A66748" w:rsidP="00F57898">
            <w:pPr>
              <w:spacing w:line="360" w:lineRule="auto"/>
              <w:jc w:val="both"/>
              <w:rPr>
                <w:rFonts w:ascii="Times New Roman" w:eastAsia="Calibri" w:hAnsi="Times New Roman"/>
                <w:sz w:val="18"/>
                <w:szCs w:val="18"/>
              </w:rPr>
            </w:pPr>
            <w:r w:rsidRPr="00A253D1">
              <w:rPr>
                <w:rFonts w:ascii="Times New Roman" w:eastAsia="Calibri" w:hAnsi="Times New Roman"/>
                <w:sz w:val="18"/>
                <w:szCs w:val="18"/>
              </w:rPr>
              <w:t>Ograničen fiskalni kapacitet općine za veće kapitalne zahvate bez vanjskog sufinanciranja.</w:t>
            </w:r>
          </w:p>
          <w:p w:rsidR="00A66748" w:rsidRPr="00A253D1" w:rsidRDefault="00A66748" w:rsidP="00F57898">
            <w:pPr>
              <w:spacing w:line="360" w:lineRule="auto"/>
              <w:jc w:val="both"/>
              <w:rPr>
                <w:rFonts w:ascii="Times New Roman" w:eastAsia="Calibri" w:hAnsi="Times New Roman"/>
                <w:sz w:val="18"/>
                <w:szCs w:val="18"/>
              </w:rPr>
            </w:pPr>
            <w:r w:rsidRPr="00A253D1">
              <w:rPr>
                <w:rFonts w:ascii="Times New Roman" w:eastAsia="Calibri" w:hAnsi="Times New Roman"/>
                <w:sz w:val="18"/>
                <w:szCs w:val="18"/>
              </w:rPr>
              <w:t>Nedostatak turističkih smještajnih kapaciteta i sadržaja</w:t>
            </w:r>
          </w:p>
          <w:p w:rsidR="00A66748" w:rsidRPr="00A253D1" w:rsidRDefault="00A66748" w:rsidP="00F57898">
            <w:pPr>
              <w:spacing w:line="360" w:lineRule="auto"/>
              <w:jc w:val="both"/>
              <w:rPr>
                <w:rFonts w:ascii="Times New Roman" w:eastAsia="Calibri" w:hAnsi="Times New Roman"/>
                <w:sz w:val="18"/>
                <w:szCs w:val="18"/>
              </w:rPr>
            </w:pPr>
            <w:r w:rsidRPr="00A253D1">
              <w:rPr>
                <w:rFonts w:ascii="Times New Roman" w:eastAsia="Calibri" w:hAnsi="Times New Roman"/>
                <w:sz w:val="18"/>
                <w:szCs w:val="18"/>
              </w:rPr>
              <w:t>Raspršenost naselja i dužina nerazvrstanih cesta povećavaju trošak održavanja infrastrukture.</w:t>
            </w:r>
          </w:p>
        </w:tc>
      </w:tr>
      <w:tr w:rsidR="00A66748" w:rsidRPr="00A253D1" w:rsidTr="00F57898">
        <w:trPr>
          <w:trHeight w:val="406"/>
        </w:trPr>
        <w:tc>
          <w:tcPr>
            <w:tcW w:w="4531" w:type="dxa"/>
            <w:shd w:val="clear" w:color="auto" w:fill="ED7D31" w:themeFill="accent2"/>
          </w:tcPr>
          <w:p w:rsidR="00A66748" w:rsidRPr="00F77DD6" w:rsidRDefault="00A66748" w:rsidP="00F57898">
            <w:pPr>
              <w:spacing w:line="360" w:lineRule="auto"/>
              <w:jc w:val="center"/>
              <w:rPr>
                <w:rFonts w:ascii="Times New Roman" w:eastAsia="Calibri" w:hAnsi="Times New Roman"/>
                <w:color w:val="000000" w:themeColor="text1"/>
                <w:sz w:val="18"/>
                <w:szCs w:val="18"/>
              </w:rPr>
            </w:pPr>
            <w:r w:rsidRPr="00F77DD6">
              <w:rPr>
                <w:rFonts w:ascii="Times New Roman" w:eastAsia="Calibri" w:hAnsi="Times New Roman"/>
                <w:b/>
                <w:bCs/>
                <w:color w:val="000000" w:themeColor="text1"/>
                <w:sz w:val="18"/>
                <w:szCs w:val="18"/>
              </w:rPr>
              <w:t>PRILIKE (O)</w:t>
            </w:r>
          </w:p>
        </w:tc>
        <w:tc>
          <w:tcPr>
            <w:tcW w:w="4531" w:type="dxa"/>
            <w:shd w:val="clear" w:color="auto" w:fill="ED7D31" w:themeFill="accent2"/>
          </w:tcPr>
          <w:p w:rsidR="00A66748" w:rsidRPr="00F77DD6" w:rsidRDefault="00A66748" w:rsidP="00F57898">
            <w:pPr>
              <w:spacing w:line="360" w:lineRule="auto"/>
              <w:jc w:val="center"/>
              <w:rPr>
                <w:rFonts w:ascii="Times New Roman" w:eastAsia="Calibri" w:hAnsi="Times New Roman"/>
                <w:color w:val="000000" w:themeColor="text1"/>
                <w:sz w:val="18"/>
                <w:szCs w:val="18"/>
              </w:rPr>
            </w:pPr>
            <w:r w:rsidRPr="00F77DD6">
              <w:rPr>
                <w:rFonts w:ascii="Times New Roman" w:eastAsia="Calibri" w:hAnsi="Times New Roman"/>
                <w:b/>
                <w:bCs/>
                <w:color w:val="000000" w:themeColor="text1"/>
                <w:sz w:val="18"/>
                <w:szCs w:val="18"/>
              </w:rPr>
              <w:t>PRIJETNJE (T)</w:t>
            </w:r>
          </w:p>
        </w:tc>
      </w:tr>
      <w:tr w:rsidR="00A66748" w:rsidRPr="00A253D1" w:rsidTr="00F57898">
        <w:trPr>
          <w:trHeight w:val="2963"/>
        </w:trPr>
        <w:tc>
          <w:tcPr>
            <w:tcW w:w="4531" w:type="dxa"/>
          </w:tcPr>
          <w:p w:rsidR="00A66748" w:rsidRPr="00A253D1" w:rsidRDefault="00A66748" w:rsidP="00A66748">
            <w:pPr>
              <w:numPr>
                <w:ilvl w:val="0"/>
                <w:numId w:val="7"/>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Novo financijsko razdoblje EU (2021–2027  za komunalne, zelene i digitalne projekte; mjere za ruralni razvoj, energetsku obnovu.</w:t>
            </w:r>
          </w:p>
          <w:p w:rsidR="00A66748" w:rsidRPr="00A253D1" w:rsidRDefault="00A66748" w:rsidP="00A66748">
            <w:pPr>
              <w:numPr>
                <w:ilvl w:val="0"/>
                <w:numId w:val="7"/>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Daljnje popunjavanje i nadogradnja PZ „Brezine“ (privlačenje proizvodnje/logistike uz A3; poticaji, komunalno opremanje).</w:t>
            </w:r>
          </w:p>
          <w:p w:rsidR="00A66748" w:rsidRPr="00A253D1" w:rsidRDefault="00A66748" w:rsidP="00A66748">
            <w:pPr>
              <w:numPr>
                <w:ilvl w:val="0"/>
                <w:numId w:val="7"/>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Razvoj kratkih lanaca opskrbe, lokalnih robnih marki i prerade poljoprivrednih proizvoda (dodana vrijednost i nova radna mjesta).</w:t>
            </w:r>
          </w:p>
          <w:p w:rsidR="00A66748" w:rsidRPr="00A253D1" w:rsidRDefault="00A66748" w:rsidP="00A66748">
            <w:pPr>
              <w:numPr>
                <w:ilvl w:val="0"/>
                <w:numId w:val="7"/>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Unaprjeđenje cestovne i komunalne infrastrukture (nerazvrstane ceste, rasvjeta, domovi, javne površine) – veća sigurnost i kvaliteta života.</w:t>
            </w:r>
          </w:p>
          <w:p w:rsidR="00A66748" w:rsidRPr="00A253D1" w:rsidRDefault="00A66748" w:rsidP="00A66748">
            <w:pPr>
              <w:numPr>
                <w:ilvl w:val="0"/>
                <w:numId w:val="7"/>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Digitalizacija uprave i usluga (e-usluge, GIS komunalne imovine, pametna rasvjeta) – veća učinkovitost i transparentnost.</w:t>
            </w:r>
          </w:p>
        </w:tc>
        <w:tc>
          <w:tcPr>
            <w:tcW w:w="4531" w:type="dxa"/>
          </w:tcPr>
          <w:p w:rsidR="00A66748" w:rsidRPr="00A253D1" w:rsidRDefault="00A66748" w:rsidP="00A66748">
            <w:pPr>
              <w:numPr>
                <w:ilvl w:val="0"/>
                <w:numId w:val="8"/>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Nastavak depopulacije i iseljavanja mladih – dodatno slabljenje lokalnog tržišta rada i održivosti usluga.</w:t>
            </w:r>
          </w:p>
          <w:p w:rsidR="00A66748" w:rsidRPr="00A253D1" w:rsidRDefault="00A66748" w:rsidP="00A66748">
            <w:pPr>
              <w:numPr>
                <w:ilvl w:val="0"/>
                <w:numId w:val="8"/>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Cjenovni i troškovni pritisci (energenti, materijali) koji odgađaju investicije komunalnih i privatnih projekata.</w:t>
            </w:r>
          </w:p>
          <w:p w:rsidR="00A66748" w:rsidRPr="00A253D1" w:rsidRDefault="00A66748" w:rsidP="00A66748">
            <w:pPr>
              <w:numPr>
                <w:ilvl w:val="0"/>
                <w:numId w:val="8"/>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Klimatske promjene i vremenski ekstremi (suša, poplave) – rizici za poljoprivredu i komunalnu infrastrukturu.</w:t>
            </w:r>
          </w:p>
          <w:p w:rsidR="00A66748" w:rsidRPr="00A253D1" w:rsidRDefault="00A66748" w:rsidP="00A66748">
            <w:pPr>
              <w:numPr>
                <w:ilvl w:val="0"/>
                <w:numId w:val="8"/>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Ograničen interes investitora u slabije naseljena ruralna područja bez dodatnih poticaja.</w:t>
            </w:r>
          </w:p>
          <w:p w:rsidR="00A66748" w:rsidRPr="00A253D1" w:rsidRDefault="00A66748" w:rsidP="00A66748">
            <w:pPr>
              <w:numPr>
                <w:ilvl w:val="0"/>
                <w:numId w:val="8"/>
              </w:numPr>
              <w:spacing w:line="360" w:lineRule="auto"/>
              <w:contextualSpacing/>
              <w:jc w:val="both"/>
              <w:rPr>
                <w:rFonts w:ascii="Times New Roman" w:eastAsia="Calibri" w:hAnsi="Times New Roman"/>
                <w:sz w:val="18"/>
                <w:szCs w:val="18"/>
              </w:rPr>
            </w:pPr>
            <w:r w:rsidRPr="00A253D1">
              <w:rPr>
                <w:rFonts w:ascii="Times New Roman" w:eastAsia="Calibri" w:hAnsi="Times New Roman"/>
                <w:sz w:val="18"/>
                <w:szCs w:val="18"/>
              </w:rPr>
              <w:t xml:space="preserve">Regulativa i administrativni zahtjevi (za projekte, okoliš, EU) mogu usporiti provedbu ako nema dovoljno kapaciteta. </w:t>
            </w:r>
          </w:p>
          <w:p w:rsidR="00A66748" w:rsidRPr="00A253D1" w:rsidRDefault="00A66748" w:rsidP="00F57898">
            <w:pPr>
              <w:spacing w:line="360" w:lineRule="auto"/>
              <w:jc w:val="both"/>
              <w:rPr>
                <w:rFonts w:ascii="Times New Roman" w:eastAsia="Calibri" w:hAnsi="Times New Roman"/>
                <w:sz w:val="18"/>
                <w:szCs w:val="18"/>
              </w:rPr>
            </w:pPr>
          </w:p>
        </w:tc>
      </w:tr>
    </w:tbl>
    <w:p w:rsidR="00A66748" w:rsidRDefault="00A66748" w:rsidP="00A66748">
      <w:pPr>
        <w:rPr>
          <w:rFonts w:ascii="Times New Roman" w:hAnsi="Times New Roman" w:cs="Times New Roman"/>
          <w:b/>
          <w:bCs/>
          <w:sz w:val="24"/>
          <w:szCs w:val="24"/>
        </w:rPr>
      </w:pPr>
    </w:p>
    <w:p w:rsidR="00A66748" w:rsidRDefault="00A66748" w:rsidP="00A66748">
      <w:pPr>
        <w:rPr>
          <w:rFonts w:ascii="Times New Roman" w:hAnsi="Times New Roman" w:cs="Times New Roman"/>
          <w:b/>
          <w:bCs/>
          <w:sz w:val="24"/>
          <w:szCs w:val="24"/>
        </w:rPr>
      </w:pPr>
    </w:p>
    <w:p w:rsidR="00A66748" w:rsidRDefault="00A66748" w:rsidP="00A66748">
      <w:pPr>
        <w:rPr>
          <w:rFonts w:ascii="Times New Roman" w:hAnsi="Times New Roman" w:cs="Times New Roman"/>
          <w:b/>
          <w:bCs/>
          <w:sz w:val="24"/>
          <w:szCs w:val="24"/>
        </w:rPr>
      </w:pPr>
    </w:p>
    <w:p w:rsidR="00A66748" w:rsidRDefault="00A66748" w:rsidP="00A66748">
      <w:pPr>
        <w:rPr>
          <w:rFonts w:ascii="Times New Roman" w:hAnsi="Times New Roman" w:cs="Times New Roman"/>
          <w:b/>
          <w:bCs/>
          <w:sz w:val="24"/>
          <w:szCs w:val="24"/>
        </w:rPr>
      </w:pPr>
    </w:p>
    <w:p w:rsidR="00A66748" w:rsidRDefault="00A66748" w:rsidP="00A66748">
      <w:pPr>
        <w:rPr>
          <w:rFonts w:ascii="Times New Roman" w:hAnsi="Times New Roman" w:cs="Times New Roman"/>
          <w:b/>
          <w:bCs/>
          <w:sz w:val="24"/>
          <w:szCs w:val="24"/>
        </w:rPr>
      </w:pPr>
    </w:p>
    <w:p w:rsidR="00A66748" w:rsidRPr="00995907" w:rsidRDefault="00A66748" w:rsidP="00A66748">
      <w:pPr>
        <w:pStyle w:val="Naslov1"/>
        <w:numPr>
          <w:ilvl w:val="0"/>
          <w:numId w:val="102"/>
        </w:numPr>
        <w:spacing w:before="360" w:after="80"/>
        <w:rPr>
          <w:rFonts w:ascii="Times New Roman" w:hAnsi="Times New Roman" w:cs="Times New Roman"/>
          <w:b w:val="0"/>
          <w:bCs w:val="0"/>
          <w:color w:val="auto"/>
        </w:rPr>
      </w:pPr>
      <w:bookmarkStart w:id="169" w:name="_Toc213852215"/>
      <w:r w:rsidRPr="00995907">
        <w:rPr>
          <w:rFonts w:ascii="Times New Roman" w:hAnsi="Times New Roman" w:cs="Times New Roman"/>
          <w:color w:val="auto"/>
        </w:rPr>
        <w:lastRenderedPageBreak/>
        <w:t>POPIS PRIORITETA DJELOVANJA U PODRUČJU NADLEŽNOSTI OPĆINE GORNJI BOGIĆEVCI</w:t>
      </w:r>
      <w:bookmarkEnd w:id="169"/>
    </w:p>
    <w:p w:rsidR="00A66748" w:rsidRDefault="00A66748" w:rsidP="00A66748">
      <w:pPr>
        <w:rPr>
          <w:rFonts w:ascii="Times New Roman" w:hAnsi="Times New Roman" w:cs="Times New Roman"/>
          <w:b/>
          <w:bCs/>
          <w:sz w:val="28"/>
          <w:szCs w:val="28"/>
        </w:rPr>
      </w:pPr>
    </w:p>
    <w:tbl>
      <w:tblPr>
        <w:tblStyle w:val="Tamnatablicareetke5-isticanje21"/>
        <w:tblW w:w="0" w:type="auto"/>
        <w:tblLook w:val="04A0"/>
      </w:tblPr>
      <w:tblGrid>
        <w:gridCol w:w="1524"/>
        <w:gridCol w:w="7538"/>
      </w:tblGrid>
      <w:tr w:rsidR="00A66748" w:rsidRPr="00A43B74" w:rsidTr="00F57898">
        <w:trPr>
          <w:cnfStyle w:val="100000000000"/>
          <w:trHeight w:val="1038"/>
        </w:trPr>
        <w:tc>
          <w:tcPr>
            <w:cnfStyle w:val="001000000000"/>
            <w:tcW w:w="1524" w:type="dxa"/>
          </w:tcPr>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r w:rsidRPr="00A43B74">
              <w:rPr>
                <w:rFonts w:ascii="Times New Roman" w:eastAsia="Times New Roman" w:hAnsi="Times New Roman" w:cs="Times New Roman"/>
              </w:rPr>
              <w:t>PRIORITET</w:t>
            </w:r>
            <w:r>
              <w:rPr>
                <w:rFonts w:ascii="Times New Roman" w:eastAsia="Times New Roman" w:hAnsi="Times New Roman" w:cs="Times New Roman"/>
              </w:rPr>
              <w:t>:</w:t>
            </w:r>
          </w:p>
          <w:p w:rsidR="00A66748" w:rsidRPr="00A43B74" w:rsidRDefault="00A66748" w:rsidP="00F57898">
            <w:pPr>
              <w:widowControl w:val="0"/>
              <w:autoSpaceDE w:val="0"/>
              <w:autoSpaceDN w:val="0"/>
              <w:spacing w:line="360" w:lineRule="auto"/>
              <w:rPr>
                <w:rFonts w:ascii="Times New Roman" w:eastAsia="Times New Roman" w:hAnsi="Times New Roman" w:cs="Times New Roman"/>
              </w:rPr>
            </w:pPr>
            <w:r w:rsidRPr="00A43B74">
              <w:rPr>
                <w:rFonts w:ascii="Times New Roman" w:eastAsia="Times New Roman" w:hAnsi="Times New Roman" w:cs="Times New Roman"/>
              </w:rPr>
              <w:t>MJERA</w:t>
            </w:r>
            <w:r>
              <w:rPr>
                <w:rFonts w:ascii="Times New Roman" w:eastAsia="Times New Roman" w:hAnsi="Times New Roman" w:cs="Times New Roman"/>
              </w:rPr>
              <w:t>:</w:t>
            </w:r>
          </w:p>
        </w:tc>
        <w:tc>
          <w:tcPr>
            <w:tcW w:w="7538" w:type="dxa"/>
          </w:tcPr>
          <w:p w:rsidR="00A66748" w:rsidRDefault="00A66748" w:rsidP="00F57898">
            <w:pPr>
              <w:spacing w:line="480" w:lineRule="auto"/>
              <w:cnfStyle w:val="100000000000"/>
              <w:rPr>
                <w:rFonts w:ascii="Times New Roman" w:eastAsia="Times New Roman" w:hAnsi="Times New Roman" w:cs="Times New Roman"/>
                <w:b w:val="0"/>
                <w:bCs w:val="0"/>
              </w:rPr>
            </w:pPr>
            <w:r w:rsidRPr="00A374F1">
              <w:rPr>
                <w:rFonts w:ascii="Times New Roman" w:eastAsia="Times New Roman" w:hAnsi="Times New Roman" w:cs="Times New Roman"/>
              </w:rPr>
              <w:t xml:space="preserve">PRIORITET 1: </w:t>
            </w:r>
            <w:r>
              <w:rPr>
                <w:rFonts w:ascii="Times New Roman" w:eastAsia="Times New Roman" w:hAnsi="Times New Roman" w:cs="Times New Roman"/>
              </w:rPr>
              <w:t xml:space="preserve"> </w:t>
            </w:r>
            <w:r w:rsidRPr="00A374F1">
              <w:rPr>
                <w:rFonts w:ascii="Times New Roman" w:eastAsia="Times New Roman" w:hAnsi="Times New Roman" w:cs="Times New Roman"/>
              </w:rPr>
              <w:t>Razvoj i unaprjeđenje institucionalnih kapaciteta</w:t>
            </w:r>
          </w:p>
          <w:p w:rsidR="00A66748" w:rsidRDefault="00A66748" w:rsidP="00F57898">
            <w:pPr>
              <w:spacing w:line="480" w:lineRule="auto"/>
              <w:cnfStyle w:val="100000000000"/>
              <w:rPr>
                <w:rFonts w:ascii="Times New Roman" w:eastAsia="Times New Roman" w:hAnsi="Times New Roman" w:cs="Times New Roman"/>
              </w:rPr>
            </w:pPr>
            <w:r w:rsidRPr="00A374F1">
              <w:rPr>
                <w:rFonts w:ascii="Times New Roman" w:eastAsia="Times New Roman" w:hAnsi="Times New Roman" w:cs="Times New Roman"/>
                <w:b w:val="0"/>
                <w:bCs w:val="0"/>
              </w:rPr>
              <w:t>Mjera 1. Redovna djelatnost izvršnog tijela, predstavničkih tijela i upravnih tijela Općine</w:t>
            </w:r>
          </w:p>
          <w:p w:rsidR="00A66748" w:rsidRDefault="00A66748" w:rsidP="00F57898">
            <w:pPr>
              <w:spacing w:line="480" w:lineRule="auto"/>
              <w:cnfStyle w:val="100000000000"/>
              <w:rPr>
                <w:rFonts w:ascii="Times New Roman" w:eastAsia="Times New Roman" w:hAnsi="Times New Roman" w:cs="Times New Roman"/>
              </w:rPr>
            </w:pPr>
            <w:r w:rsidRPr="00A374F1">
              <w:rPr>
                <w:rFonts w:ascii="Times New Roman" w:eastAsia="Times New Roman" w:hAnsi="Times New Roman" w:cs="Times New Roman"/>
                <w:b w:val="0"/>
                <w:bCs w:val="0"/>
              </w:rPr>
              <w:t>Mjera 2.</w:t>
            </w:r>
            <w:r>
              <w:rPr>
                <w:rFonts w:ascii="Times New Roman" w:eastAsia="Times New Roman" w:hAnsi="Times New Roman" w:cs="Times New Roman"/>
                <w:b w:val="0"/>
                <w:bCs w:val="0"/>
              </w:rPr>
              <w:t xml:space="preserve"> </w:t>
            </w:r>
            <w:r w:rsidRPr="00A374F1">
              <w:rPr>
                <w:rFonts w:ascii="Times New Roman" w:eastAsia="Times New Roman" w:hAnsi="Times New Roman" w:cs="Times New Roman"/>
                <w:b w:val="0"/>
                <w:bCs w:val="0"/>
              </w:rPr>
              <w:t>Gradnja, održavanje i dodatna ulaganja u objekte javne namjene</w:t>
            </w:r>
          </w:p>
          <w:p w:rsidR="00A66748" w:rsidRPr="00A374F1" w:rsidRDefault="00A66748" w:rsidP="00F57898">
            <w:pPr>
              <w:spacing w:line="480" w:lineRule="auto"/>
              <w:cnfStyle w:val="100000000000"/>
              <w:rPr>
                <w:rFonts w:ascii="Times New Roman" w:eastAsia="Times New Roman" w:hAnsi="Times New Roman" w:cs="Times New Roman"/>
                <w:b w:val="0"/>
                <w:bCs w:val="0"/>
              </w:rPr>
            </w:pPr>
            <w:r w:rsidRPr="00A374F1">
              <w:rPr>
                <w:rFonts w:ascii="Times New Roman" w:eastAsia="Times New Roman" w:hAnsi="Times New Roman" w:cs="Times New Roman"/>
                <w:b w:val="0"/>
                <w:bCs w:val="0"/>
              </w:rPr>
              <w:t>Mjera 3. Nabava uredske opreme i izrada dokumentacije</w:t>
            </w:r>
          </w:p>
        </w:tc>
      </w:tr>
      <w:tr w:rsidR="00A66748" w:rsidRPr="00A43B74" w:rsidTr="00F57898">
        <w:trPr>
          <w:cnfStyle w:val="000000100000"/>
          <w:trHeight w:val="1557"/>
        </w:trPr>
        <w:tc>
          <w:tcPr>
            <w:cnfStyle w:val="001000000000"/>
            <w:tcW w:w="1524" w:type="dxa"/>
          </w:tcPr>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r w:rsidRPr="00A43B74">
              <w:rPr>
                <w:rFonts w:ascii="Times New Roman" w:eastAsia="Times New Roman" w:hAnsi="Times New Roman" w:cs="Times New Roman"/>
              </w:rPr>
              <w:t>PRIORITET</w:t>
            </w:r>
          </w:p>
          <w:p w:rsidR="00A66748" w:rsidRDefault="00A66748" w:rsidP="00F57898">
            <w:pPr>
              <w:widowControl w:val="0"/>
              <w:autoSpaceDE w:val="0"/>
              <w:autoSpaceDN w:val="0"/>
              <w:spacing w:line="360" w:lineRule="auto"/>
              <w:jc w:val="center"/>
              <w:rPr>
                <w:rFonts w:ascii="Times New Roman" w:eastAsia="Times New Roman" w:hAnsi="Times New Roman" w:cs="Times New Roman"/>
                <w:b w:val="0"/>
                <w:bCs w:val="0"/>
              </w:rPr>
            </w:pPr>
          </w:p>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r w:rsidRPr="00A43B74">
              <w:rPr>
                <w:rFonts w:ascii="Times New Roman" w:eastAsia="Times New Roman" w:hAnsi="Times New Roman" w:cs="Times New Roman"/>
              </w:rPr>
              <w:t>MJERA</w:t>
            </w:r>
            <w:r>
              <w:rPr>
                <w:rFonts w:ascii="Times New Roman" w:eastAsia="Times New Roman" w:hAnsi="Times New Roman" w:cs="Times New Roman"/>
              </w:rPr>
              <w:t>:</w:t>
            </w:r>
          </w:p>
        </w:tc>
        <w:tc>
          <w:tcPr>
            <w:tcW w:w="7538" w:type="dxa"/>
          </w:tcPr>
          <w:p w:rsidR="00A66748" w:rsidRPr="004B4D9A" w:rsidRDefault="00A66748" w:rsidP="00F57898">
            <w:pPr>
              <w:widowControl w:val="0"/>
              <w:autoSpaceDE w:val="0"/>
              <w:autoSpaceDN w:val="0"/>
              <w:spacing w:line="360" w:lineRule="auto"/>
              <w:cnfStyle w:val="000000100000"/>
              <w:rPr>
                <w:rFonts w:ascii="Times New Roman" w:eastAsia="Times New Roman" w:hAnsi="Times New Roman" w:cs="Times New Roman"/>
                <w:b/>
                <w:bCs/>
                <w:color w:val="C45911" w:themeColor="accent2" w:themeShade="BF"/>
              </w:rPr>
            </w:pPr>
            <w:r w:rsidRPr="00A374F1">
              <w:rPr>
                <w:rFonts w:ascii="Times New Roman" w:eastAsia="Times New Roman" w:hAnsi="Times New Roman" w:cs="Times New Roman"/>
                <w:b/>
                <w:bCs/>
                <w:color w:val="C45911" w:themeColor="accent2" w:themeShade="BF"/>
              </w:rPr>
              <w:t>PRIORITET 2: Komunalno gospodarstvo</w:t>
            </w:r>
          </w:p>
          <w:p w:rsidR="00A66748" w:rsidRDefault="00A66748" w:rsidP="00F57898">
            <w:pPr>
              <w:spacing w:line="360" w:lineRule="auto"/>
              <w:jc w:val="both"/>
              <w:cnfStyle w:val="000000100000"/>
              <w:rPr>
                <w:rFonts w:ascii="Times New Roman" w:eastAsia="Times New Roman" w:hAnsi="Times New Roman" w:cs="Times New Roman"/>
                <w:color w:val="C45911" w:themeColor="accent2" w:themeShade="BF"/>
              </w:rPr>
            </w:pPr>
          </w:p>
          <w:p w:rsidR="00A66748" w:rsidRPr="00A374F1" w:rsidRDefault="00A66748" w:rsidP="00F57898">
            <w:pPr>
              <w:cnfStyle w:val="0000001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4. Izgradnja i održavanje komunalne infrastrukture</w:t>
            </w:r>
          </w:p>
        </w:tc>
      </w:tr>
      <w:tr w:rsidR="00A66748" w:rsidRPr="00A43B74" w:rsidTr="00F57898">
        <w:trPr>
          <w:trHeight w:val="1396"/>
        </w:trPr>
        <w:tc>
          <w:tcPr>
            <w:cnfStyle w:val="001000000000"/>
            <w:tcW w:w="1524" w:type="dxa"/>
          </w:tcPr>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r w:rsidRPr="00A43B74">
              <w:rPr>
                <w:rFonts w:ascii="Times New Roman" w:eastAsia="Times New Roman" w:hAnsi="Times New Roman" w:cs="Times New Roman"/>
              </w:rPr>
              <w:t>PRIORITET</w:t>
            </w:r>
          </w:p>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p>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r w:rsidRPr="00A43B74">
              <w:rPr>
                <w:rFonts w:ascii="Times New Roman" w:eastAsia="Times New Roman" w:hAnsi="Times New Roman" w:cs="Times New Roman"/>
              </w:rPr>
              <w:t>MJERA</w:t>
            </w:r>
            <w:r>
              <w:rPr>
                <w:rFonts w:ascii="Times New Roman" w:eastAsia="Times New Roman" w:hAnsi="Times New Roman" w:cs="Times New Roman"/>
              </w:rPr>
              <w:t>:</w:t>
            </w:r>
          </w:p>
        </w:tc>
        <w:tc>
          <w:tcPr>
            <w:tcW w:w="7538" w:type="dxa"/>
          </w:tcPr>
          <w:p w:rsidR="00A66748" w:rsidRPr="00A374F1" w:rsidRDefault="00A66748" w:rsidP="00F57898">
            <w:pPr>
              <w:spacing w:line="360" w:lineRule="auto"/>
              <w:cnfStyle w:val="000000000000"/>
              <w:rPr>
                <w:rFonts w:ascii="Times New Roman" w:eastAsia="Times New Roman" w:hAnsi="Times New Roman" w:cs="Times New Roman"/>
                <w:b/>
                <w:bCs/>
                <w:color w:val="C45911" w:themeColor="accent2" w:themeShade="BF"/>
              </w:rPr>
            </w:pPr>
            <w:r w:rsidRPr="00A374F1">
              <w:rPr>
                <w:rFonts w:ascii="Times New Roman" w:eastAsia="Times New Roman" w:hAnsi="Times New Roman" w:cs="Times New Roman"/>
                <w:b/>
                <w:bCs/>
                <w:color w:val="C45911" w:themeColor="accent2" w:themeShade="BF"/>
              </w:rPr>
              <w:t>PRIORITET 3: Razvoj ljudskih potencijala i unaprjeđenje kvalitete života lokalnog stanovništva</w:t>
            </w:r>
          </w:p>
          <w:p w:rsidR="00A66748" w:rsidRDefault="00A66748" w:rsidP="00F57898">
            <w:pPr>
              <w:spacing w:line="360" w:lineRule="auto"/>
              <w:cnfStyle w:val="0000000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5.</w:t>
            </w:r>
            <w:r>
              <w:rPr>
                <w:rFonts w:ascii="Times New Roman" w:eastAsia="Times New Roman" w:hAnsi="Times New Roman" w:cs="Times New Roman"/>
                <w:color w:val="C45911" w:themeColor="accent2" w:themeShade="BF"/>
              </w:rPr>
              <w:t xml:space="preserve"> </w:t>
            </w:r>
            <w:r w:rsidRPr="00A374F1">
              <w:rPr>
                <w:rFonts w:ascii="Times New Roman" w:eastAsia="Times New Roman" w:hAnsi="Times New Roman" w:cs="Times New Roman"/>
                <w:color w:val="C45911" w:themeColor="accent2" w:themeShade="BF"/>
              </w:rPr>
              <w:t>Protupožarna i civilna zaštita</w:t>
            </w:r>
          </w:p>
          <w:p w:rsidR="00A66748" w:rsidRDefault="00A66748" w:rsidP="00F57898">
            <w:pPr>
              <w:spacing w:line="360" w:lineRule="auto"/>
              <w:cnfStyle w:val="0000000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6.</w:t>
            </w:r>
            <w:r>
              <w:rPr>
                <w:rFonts w:ascii="Times New Roman" w:eastAsia="Times New Roman" w:hAnsi="Times New Roman" w:cs="Times New Roman"/>
                <w:color w:val="C45911" w:themeColor="accent2" w:themeShade="BF"/>
              </w:rPr>
              <w:t xml:space="preserve"> </w:t>
            </w:r>
            <w:r w:rsidRPr="00A374F1">
              <w:rPr>
                <w:rFonts w:ascii="Times New Roman" w:eastAsia="Times New Roman" w:hAnsi="Times New Roman" w:cs="Times New Roman"/>
                <w:color w:val="C45911" w:themeColor="accent2" w:themeShade="BF"/>
              </w:rPr>
              <w:t>Pružanje socijalne zaštite</w:t>
            </w:r>
          </w:p>
          <w:p w:rsidR="00A66748" w:rsidRDefault="00A66748" w:rsidP="00F57898">
            <w:pPr>
              <w:spacing w:line="360" w:lineRule="auto"/>
              <w:cnfStyle w:val="0000000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7. Podizanje standarda u odgoju i obrazovanju</w:t>
            </w:r>
          </w:p>
          <w:p w:rsidR="00A66748" w:rsidRDefault="00A66748" w:rsidP="00F57898">
            <w:pPr>
              <w:spacing w:line="360" w:lineRule="auto"/>
              <w:cnfStyle w:val="0000000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8. Poticanje razvoja gospodarstva</w:t>
            </w:r>
          </w:p>
          <w:p w:rsidR="00A66748" w:rsidRPr="004B4D9A" w:rsidRDefault="00A66748" w:rsidP="00F57898">
            <w:pPr>
              <w:spacing w:line="360" w:lineRule="auto"/>
              <w:cnfStyle w:val="0000000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9. Poticanje razvoja sporta i rekreacije</w:t>
            </w:r>
          </w:p>
        </w:tc>
      </w:tr>
      <w:tr w:rsidR="00A66748" w:rsidRPr="00A43B74" w:rsidTr="00F57898">
        <w:trPr>
          <w:cnfStyle w:val="000000100000"/>
          <w:trHeight w:val="1396"/>
        </w:trPr>
        <w:tc>
          <w:tcPr>
            <w:cnfStyle w:val="001000000000"/>
            <w:tcW w:w="1524" w:type="dxa"/>
          </w:tcPr>
          <w:p w:rsidR="00A66748" w:rsidRDefault="00A66748" w:rsidP="00F57898">
            <w:pPr>
              <w:widowControl w:val="0"/>
              <w:autoSpaceDE w:val="0"/>
              <w:autoSpaceDN w:val="0"/>
              <w:spacing w:line="360" w:lineRule="auto"/>
              <w:jc w:val="center"/>
              <w:rPr>
                <w:rFonts w:ascii="Times New Roman" w:eastAsia="Times New Roman" w:hAnsi="Times New Roman" w:cs="Times New Roman"/>
                <w:b w:val="0"/>
                <w:bCs w:val="0"/>
              </w:rPr>
            </w:pPr>
            <w:r>
              <w:rPr>
                <w:rFonts w:ascii="Times New Roman" w:eastAsia="Times New Roman" w:hAnsi="Times New Roman" w:cs="Times New Roman"/>
              </w:rPr>
              <w:t>PRIORITET</w:t>
            </w:r>
          </w:p>
          <w:p w:rsidR="00A66748" w:rsidRDefault="00A66748" w:rsidP="00F57898">
            <w:pPr>
              <w:widowControl w:val="0"/>
              <w:autoSpaceDE w:val="0"/>
              <w:autoSpaceDN w:val="0"/>
              <w:spacing w:line="360" w:lineRule="auto"/>
              <w:jc w:val="center"/>
              <w:rPr>
                <w:rFonts w:ascii="Times New Roman" w:eastAsia="Times New Roman" w:hAnsi="Times New Roman" w:cs="Times New Roman"/>
                <w:b w:val="0"/>
                <w:bCs w:val="0"/>
              </w:rPr>
            </w:pPr>
          </w:p>
          <w:p w:rsidR="00A66748" w:rsidRPr="00A43B74" w:rsidRDefault="00A66748" w:rsidP="00F57898">
            <w:pPr>
              <w:widowControl w:val="0"/>
              <w:autoSpaceDE w:val="0"/>
              <w:autoSpaceDN w:val="0"/>
              <w:spacing w:line="360" w:lineRule="auto"/>
              <w:jc w:val="center"/>
              <w:rPr>
                <w:rFonts w:ascii="Times New Roman" w:eastAsia="Times New Roman" w:hAnsi="Times New Roman" w:cs="Times New Roman"/>
              </w:rPr>
            </w:pPr>
            <w:r>
              <w:rPr>
                <w:rFonts w:ascii="Times New Roman" w:eastAsia="Times New Roman" w:hAnsi="Times New Roman" w:cs="Times New Roman"/>
              </w:rPr>
              <w:t>MJERA:</w:t>
            </w:r>
          </w:p>
        </w:tc>
        <w:tc>
          <w:tcPr>
            <w:tcW w:w="7538" w:type="dxa"/>
          </w:tcPr>
          <w:p w:rsidR="00A66748" w:rsidRDefault="00A66748" w:rsidP="00F57898">
            <w:pPr>
              <w:spacing w:line="360" w:lineRule="auto"/>
              <w:cnfStyle w:val="000000100000"/>
              <w:rPr>
                <w:rFonts w:ascii="Times New Roman" w:eastAsia="Times New Roman" w:hAnsi="Times New Roman" w:cs="Times New Roman"/>
                <w:b/>
                <w:bCs/>
                <w:color w:val="C45911" w:themeColor="accent2" w:themeShade="BF"/>
              </w:rPr>
            </w:pPr>
            <w:r w:rsidRPr="00A374F1">
              <w:rPr>
                <w:rFonts w:ascii="Times New Roman" w:eastAsia="Times New Roman" w:hAnsi="Times New Roman" w:cs="Times New Roman"/>
                <w:b/>
                <w:bCs/>
                <w:color w:val="C45911" w:themeColor="accent2" w:themeShade="BF"/>
              </w:rPr>
              <w:t>PRIORITET 4: Zaštita i očuvanje okoliša i kulturne baštine</w:t>
            </w:r>
          </w:p>
          <w:p w:rsidR="00A66748" w:rsidRDefault="00A66748" w:rsidP="00F57898">
            <w:pPr>
              <w:spacing w:line="360" w:lineRule="auto"/>
              <w:cnfStyle w:val="000000100000"/>
              <w:rPr>
                <w:rFonts w:ascii="Times New Roman" w:eastAsia="Times New Roman" w:hAnsi="Times New Roman" w:cs="Times New Roman"/>
                <w:b/>
                <w:bCs/>
                <w:color w:val="C45911" w:themeColor="accent2" w:themeShade="BF"/>
              </w:rPr>
            </w:pPr>
          </w:p>
          <w:p w:rsidR="00A66748" w:rsidRPr="00A374F1" w:rsidRDefault="00A66748" w:rsidP="00F57898">
            <w:pPr>
              <w:spacing w:line="360" w:lineRule="auto"/>
              <w:cnfStyle w:val="000000100000"/>
              <w:rPr>
                <w:rFonts w:ascii="Times New Roman" w:eastAsia="Times New Roman" w:hAnsi="Times New Roman" w:cs="Times New Roman"/>
                <w:color w:val="C45911" w:themeColor="accent2" w:themeShade="BF"/>
              </w:rPr>
            </w:pPr>
            <w:r w:rsidRPr="00A374F1">
              <w:rPr>
                <w:rFonts w:ascii="Times New Roman" w:eastAsia="Times New Roman" w:hAnsi="Times New Roman" w:cs="Times New Roman"/>
                <w:color w:val="C45911" w:themeColor="accent2" w:themeShade="BF"/>
              </w:rPr>
              <w:t>Mjera 10. Zaštita okoliša</w:t>
            </w:r>
          </w:p>
          <w:p w:rsidR="00A66748" w:rsidRPr="00A374F1" w:rsidRDefault="00A66748" w:rsidP="00F57898">
            <w:pPr>
              <w:spacing w:line="360" w:lineRule="auto"/>
              <w:cnfStyle w:val="000000100000"/>
              <w:rPr>
                <w:rFonts w:ascii="Times New Roman" w:eastAsia="Times New Roman" w:hAnsi="Times New Roman" w:cs="Times New Roman"/>
                <w:b/>
                <w:bCs/>
                <w:color w:val="C45911" w:themeColor="accent2" w:themeShade="BF"/>
              </w:rPr>
            </w:pPr>
            <w:r w:rsidRPr="00A374F1">
              <w:rPr>
                <w:rFonts w:ascii="Times New Roman" w:eastAsia="Times New Roman" w:hAnsi="Times New Roman" w:cs="Times New Roman"/>
                <w:color w:val="C45911" w:themeColor="accent2" w:themeShade="BF"/>
              </w:rPr>
              <w:t>Mjera 11. Promicanje kulture i kulturnih sadržaja</w:t>
            </w:r>
          </w:p>
        </w:tc>
      </w:tr>
    </w:tbl>
    <w:p w:rsidR="00A66748" w:rsidRDefault="00A66748" w:rsidP="00A66748">
      <w:pPr>
        <w:rPr>
          <w:rFonts w:ascii="Times New Roman" w:hAnsi="Times New Roman" w:cs="Times New Roman"/>
          <w:b/>
          <w:bCs/>
          <w:sz w:val="28"/>
          <w:szCs w:val="28"/>
        </w:rPr>
      </w:pPr>
    </w:p>
    <w:p w:rsidR="00A66748" w:rsidRDefault="00A66748" w:rsidP="00A66748">
      <w:pPr>
        <w:rPr>
          <w:rFonts w:ascii="Times New Roman" w:hAnsi="Times New Roman" w:cs="Times New Roman"/>
          <w:b/>
          <w:bCs/>
          <w:sz w:val="28"/>
          <w:szCs w:val="28"/>
        </w:rPr>
      </w:pPr>
    </w:p>
    <w:p w:rsidR="00A66748" w:rsidRPr="00C74D56" w:rsidRDefault="00A66748" w:rsidP="00A66748">
      <w:pPr>
        <w:rPr>
          <w:rFonts w:ascii="Times New Roman" w:hAnsi="Times New Roman" w:cs="Times New Roman"/>
          <w:sz w:val="28"/>
          <w:szCs w:val="28"/>
        </w:rPr>
      </w:pPr>
    </w:p>
    <w:p w:rsidR="00A66748" w:rsidRPr="00C74D56" w:rsidRDefault="00A66748" w:rsidP="00A66748">
      <w:pPr>
        <w:rPr>
          <w:rFonts w:ascii="Times New Roman" w:hAnsi="Times New Roman" w:cs="Times New Roman"/>
          <w:sz w:val="28"/>
          <w:szCs w:val="28"/>
        </w:rPr>
      </w:pPr>
    </w:p>
    <w:p w:rsidR="00A66748" w:rsidRPr="00C74D56" w:rsidRDefault="00A66748" w:rsidP="00A66748">
      <w:pPr>
        <w:rPr>
          <w:rFonts w:ascii="Times New Roman" w:hAnsi="Times New Roman" w:cs="Times New Roman"/>
          <w:sz w:val="28"/>
          <w:szCs w:val="28"/>
        </w:rPr>
      </w:pPr>
    </w:p>
    <w:p w:rsidR="00A66748" w:rsidRPr="00C74D56" w:rsidRDefault="00A66748" w:rsidP="00A66748">
      <w:pPr>
        <w:rPr>
          <w:rFonts w:ascii="Times New Roman" w:hAnsi="Times New Roman" w:cs="Times New Roman"/>
          <w:sz w:val="28"/>
          <w:szCs w:val="28"/>
        </w:rPr>
      </w:pPr>
    </w:p>
    <w:p w:rsidR="00A66748" w:rsidRDefault="00A66748" w:rsidP="00A66748">
      <w:pPr>
        <w:rPr>
          <w:rFonts w:ascii="Times New Roman" w:hAnsi="Times New Roman" w:cs="Times New Roman"/>
          <w:sz w:val="28"/>
          <w:szCs w:val="28"/>
        </w:rPr>
      </w:pPr>
    </w:p>
    <w:p w:rsidR="00A66748" w:rsidRPr="00995907" w:rsidRDefault="00A66748" w:rsidP="00A66748">
      <w:pPr>
        <w:pStyle w:val="Naslov1"/>
        <w:numPr>
          <w:ilvl w:val="0"/>
          <w:numId w:val="102"/>
        </w:numPr>
        <w:spacing w:before="360" w:after="80"/>
        <w:rPr>
          <w:rFonts w:ascii="Times New Roman" w:hAnsi="Times New Roman" w:cs="Times New Roman"/>
          <w:b w:val="0"/>
          <w:bCs w:val="0"/>
          <w:color w:val="auto"/>
        </w:rPr>
      </w:pPr>
      <w:bookmarkStart w:id="170" w:name="_Toc213852216"/>
      <w:r w:rsidRPr="00995907">
        <w:rPr>
          <w:rFonts w:ascii="Times New Roman" w:hAnsi="Times New Roman" w:cs="Times New Roman"/>
          <w:color w:val="auto"/>
        </w:rPr>
        <w:lastRenderedPageBreak/>
        <w:t>PLANIRANE MJERE I AKTIVNOSTI U 2026. GODINI</w:t>
      </w:r>
      <w:bookmarkEnd w:id="170"/>
    </w:p>
    <w:p w:rsidR="00A66748" w:rsidRDefault="00A66748" w:rsidP="00A66748">
      <w:pPr>
        <w:rPr>
          <w:rFonts w:ascii="Times New Roman" w:hAnsi="Times New Roman" w:cs="Times New Roman"/>
          <w:b/>
          <w:bCs/>
          <w:sz w:val="28"/>
          <w:szCs w:val="28"/>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71" w:name="_Toc213852217"/>
      <w:r w:rsidRPr="00995907">
        <w:rPr>
          <w:bCs/>
          <w:szCs w:val="24"/>
        </w:rPr>
        <w:t>MJERE IZ PROVEDBENOG PLANA</w:t>
      </w:r>
      <w:bookmarkEnd w:id="171"/>
    </w:p>
    <w:p w:rsidR="00A66748" w:rsidRDefault="00A66748" w:rsidP="00A66748">
      <w:pPr>
        <w:rPr>
          <w:rFonts w:ascii="Times New Roman" w:hAnsi="Times New Roman" w:cs="Times New Roman"/>
          <w:b/>
          <w:bCs/>
          <w:sz w:val="24"/>
          <w:szCs w:val="24"/>
        </w:rPr>
      </w:pPr>
    </w:p>
    <w:tbl>
      <w:tblPr>
        <w:tblStyle w:val="Tablicapopisa3-isticanje21"/>
        <w:tblW w:w="0" w:type="auto"/>
        <w:tblLook w:val="04A0"/>
      </w:tblPr>
      <w:tblGrid>
        <w:gridCol w:w="728"/>
        <w:gridCol w:w="2064"/>
        <w:gridCol w:w="1860"/>
        <w:gridCol w:w="1329"/>
        <w:gridCol w:w="1390"/>
        <w:gridCol w:w="1691"/>
      </w:tblGrid>
      <w:tr w:rsidR="00A66748" w:rsidRPr="007D440C" w:rsidTr="00F57898">
        <w:trPr>
          <w:cnfStyle w:val="100000000000"/>
        </w:trPr>
        <w:tc>
          <w:tcPr>
            <w:cnfStyle w:val="001000000100"/>
            <w:tcW w:w="728" w:type="dxa"/>
          </w:tcPr>
          <w:p w:rsidR="00A66748" w:rsidRPr="006E7722" w:rsidRDefault="00A66748" w:rsidP="00F57898">
            <w:pPr>
              <w:widowControl w:val="0"/>
              <w:autoSpaceDE w:val="0"/>
              <w:autoSpaceDN w:val="0"/>
              <w:jc w:val="center"/>
              <w:rPr>
                <w:rFonts w:ascii="Times New Roman" w:eastAsia="Times New Roman" w:hAnsi="Times New Roman" w:cs="Times New Roman"/>
                <w:sz w:val="20"/>
                <w:szCs w:val="20"/>
              </w:rPr>
            </w:pPr>
            <w:r w:rsidRPr="006E7722">
              <w:rPr>
                <w:rFonts w:ascii="Times New Roman" w:eastAsia="Times New Roman" w:hAnsi="Times New Roman" w:cs="Times New Roman"/>
                <w:sz w:val="20"/>
                <w:szCs w:val="20"/>
              </w:rPr>
              <w:t>Redni broj</w:t>
            </w:r>
          </w:p>
        </w:tc>
        <w:tc>
          <w:tcPr>
            <w:tcW w:w="2064" w:type="dxa"/>
          </w:tcPr>
          <w:p w:rsidR="00A66748" w:rsidRPr="006E7722" w:rsidRDefault="00A66748" w:rsidP="00F57898">
            <w:pPr>
              <w:widowControl w:val="0"/>
              <w:autoSpaceDE w:val="0"/>
              <w:autoSpaceDN w:val="0"/>
              <w:jc w:val="center"/>
              <w:cnfStyle w:val="100000000000"/>
              <w:rPr>
                <w:rFonts w:ascii="Times New Roman" w:eastAsia="Times New Roman" w:hAnsi="Times New Roman" w:cs="Times New Roman"/>
                <w:sz w:val="20"/>
                <w:szCs w:val="20"/>
              </w:rPr>
            </w:pPr>
            <w:r w:rsidRPr="006E7722">
              <w:rPr>
                <w:rFonts w:ascii="Times New Roman" w:eastAsia="Times New Roman" w:hAnsi="Times New Roman" w:cs="Times New Roman"/>
                <w:sz w:val="20"/>
                <w:szCs w:val="20"/>
              </w:rPr>
              <w:t>Mjere i ciljevi iz djelokruga rada</w:t>
            </w:r>
          </w:p>
        </w:tc>
        <w:tc>
          <w:tcPr>
            <w:tcW w:w="1860" w:type="dxa"/>
          </w:tcPr>
          <w:p w:rsidR="00A66748" w:rsidRPr="006E7722" w:rsidRDefault="00A66748" w:rsidP="00F57898">
            <w:pPr>
              <w:widowControl w:val="0"/>
              <w:autoSpaceDE w:val="0"/>
              <w:autoSpaceDN w:val="0"/>
              <w:jc w:val="center"/>
              <w:cnfStyle w:val="100000000000"/>
              <w:rPr>
                <w:rFonts w:ascii="Times New Roman" w:eastAsia="Times New Roman" w:hAnsi="Times New Roman" w:cs="Times New Roman"/>
                <w:sz w:val="20"/>
                <w:szCs w:val="20"/>
              </w:rPr>
            </w:pPr>
            <w:r w:rsidRPr="006E7722">
              <w:rPr>
                <w:rFonts w:ascii="Times New Roman" w:eastAsia="Times New Roman" w:hAnsi="Times New Roman" w:cs="Times New Roman"/>
                <w:sz w:val="20"/>
                <w:szCs w:val="20"/>
              </w:rPr>
              <w:t>Pokazatelji (ishod, rezultat)</w:t>
            </w:r>
          </w:p>
        </w:tc>
        <w:tc>
          <w:tcPr>
            <w:tcW w:w="1329" w:type="dxa"/>
          </w:tcPr>
          <w:p w:rsidR="00A66748" w:rsidRPr="006E7722" w:rsidRDefault="00A66748" w:rsidP="00F57898">
            <w:pPr>
              <w:widowControl w:val="0"/>
              <w:autoSpaceDE w:val="0"/>
              <w:autoSpaceDN w:val="0"/>
              <w:jc w:val="center"/>
              <w:cnfStyle w:val="100000000000"/>
              <w:rPr>
                <w:rFonts w:ascii="Times New Roman" w:eastAsia="Times New Roman" w:hAnsi="Times New Roman" w:cs="Times New Roman"/>
                <w:sz w:val="20"/>
                <w:szCs w:val="20"/>
              </w:rPr>
            </w:pPr>
            <w:r w:rsidRPr="006E7722">
              <w:rPr>
                <w:rFonts w:ascii="Times New Roman" w:eastAsia="Times New Roman" w:hAnsi="Times New Roman" w:cs="Times New Roman"/>
                <w:sz w:val="20"/>
                <w:szCs w:val="20"/>
              </w:rPr>
              <w:t>Trenutačna vrijednost pokazatelja</w:t>
            </w:r>
          </w:p>
        </w:tc>
        <w:tc>
          <w:tcPr>
            <w:tcW w:w="1390" w:type="dxa"/>
          </w:tcPr>
          <w:p w:rsidR="00A66748" w:rsidRPr="006E7722" w:rsidRDefault="00A66748" w:rsidP="00F57898">
            <w:pPr>
              <w:widowControl w:val="0"/>
              <w:autoSpaceDE w:val="0"/>
              <w:autoSpaceDN w:val="0"/>
              <w:jc w:val="center"/>
              <w:cnfStyle w:val="100000000000"/>
              <w:rPr>
                <w:rFonts w:ascii="Times New Roman" w:eastAsia="Times New Roman" w:hAnsi="Times New Roman" w:cs="Times New Roman"/>
                <w:sz w:val="20"/>
                <w:szCs w:val="20"/>
              </w:rPr>
            </w:pPr>
            <w:r w:rsidRPr="006E7722">
              <w:rPr>
                <w:rFonts w:ascii="Times New Roman" w:eastAsia="Times New Roman" w:hAnsi="Times New Roman" w:cs="Times New Roman"/>
                <w:sz w:val="20"/>
                <w:szCs w:val="20"/>
              </w:rPr>
              <w:t>Planirana vrijednost pokazatelja</w:t>
            </w:r>
          </w:p>
        </w:tc>
        <w:tc>
          <w:tcPr>
            <w:tcW w:w="1691" w:type="dxa"/>
          </w:tcPr>
          <w:p w:rsidR="00A66748" w:rsidRPr="006E7722" w:rsidRDefault="00A66748" w:rsidP="00F57898">
            <w:pPr>
              <w:widowControl w:val="0"/>
              <w:autoSpaceDE w:val="0"/>
              <w:autoSpaceDN w:val="0"/>
              <w:jc w:val="center"/>
              <w:cnfStyle w:val="100000000000"/>
              <w:rPr>
                <w:rFonts w:ascii="Times New Roman" w:eastAsia="Times New Roman" w:hAnsi="Times New Roman" w:cs="Times New Roman"/>
                <w:sz w:val="20"/>
                <w:szCs w:val="20"/>
              </w:rPr>
            </w:pPr>
            <w:r w:rsidRPr="006E7722">
              <w:rPr>
                <w:rFonts w:ascii="Times New Roman" w:eastAsia="Times New Roman" w:hAnsi="Times New Roman" w:cs="Times New Roman"/>
                <w:sz w:val="20"/>
                <w:szCs w:val="20"/>
              </w:rPr>
              <w:t>Referenca</w:t>
            </w:r>
          </w:p>
        </w:tc>
      </w:tr>
      <w:tr w:rsidR="00A66748" w:rsidRPr="006E7722" w:rsidTr="00F57898">
        <w:trPr>
          <w:cnfStyle w:val="000000100000"/>
          <w:trHeight w:val="204"/>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 xml:space="preserve">1. </w:t>
            </w:r>
          </w:p>
        </w:tc>
        <w:tc>
          <w:tcPr>
            <w:tcW w:w="2064"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Redovna djelatnost izvršnog tijela, predstavničkih tijela i upravnih tijela Općine</w:t>
            </w:r>
          </w:p>
        </w:tc>
        <w:tc>
          <w:tcPr>
            <w:tcW w:w="186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održanih sjednica Općinskog vijeća</w:t>
            </w:r>
          </w:p>
        </w:tc>
        <w:tc>
          <w:tcPr>
            <w:tcW w:w="1329"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5</w:t>
            </w:r>
          </w:p>
        </w:tc>
        <w:tc>
          <w:tcPr>
            <w:tcW w:w="139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5</w:t>
            </w:r>
          </w:p>
        </w:tc>
        <w:tc>
          <w:tcPr>
            <w:tcW w:w="1691" w:type="dxa"/>
          </w:tcPr>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13. Razvoj potpomognutih područja i ITU</w:t>
            </w:r>
          </w:p>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Redovna djelatnost izvršnog tijela, predstavničkih tijela i upravnih tijela Općine</w:t>
            </w:r>
          </w:p>
        </w:tc>
      </w:tr>
      <w:tr w:rsidR="00A66748" w:rsidRPr="006E7722" w:rsidTr="00F57898">
        <w:trPr>
          <w:trHeight w:val="128"/>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2.</w:t>
            </w:r>
          </w:p>
        </w:tc>
        <w:tc>
          <w:tcPr>
            <w:tcW w:w="2064"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Gradnja, održavanje i dodatna ulaganja u objekte javne namjene</w:t>
            </w:r>
          </w:p>
        </w:tc>
        <w:tc>
          <w:tcPr>
            <w:tcW w:w="1860" w:type="dxa"/>
          </w:tcPr>
          <w:p w:rsidR="00A66748" w:rsidRPr="00842656" w:rsidRDefault="00A66748" w:rsidP="00F57898">
            <w:pPr>
              <w:jc w:val="center"/>
              <w:cnfStyle w:val="000000000000"/>
              <w:rPr>
                <w:rFonts w:ascii="Times New Roman" w:eastAsia="Times New Roman" w:hAnsi="Times New Roman" w:cs="Times New Roman"/>
                <w:sz w:val="20"/>
                <w:szCs w:val="20"/>
              </w:rPr>
            </w:pPr>
            <w:r w:rsidRPr="00842656">
              <w:rPr>
                <w:rFonts w:ascii="Times New Roman" w:eastAsia="Times New Roman" w:hAnsi="Times New Roman" w:cs="Times New Roman"/>
                <w:color w:val="767171" w:themeColor="background2" w:themeShade="80"/>
                <w:sz w:val="20"/>
                <w:szCs w:val="20"/>
              </w:rPr>
              <w:t>Broj održanih društvenih domova</w:t>
            </w:r>
          </w:p>
        </w:tc>
        <w:tc>
          <w:tcPr>
            <w:tcW w:w="1329"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5</w:t>
            </w:r>
          </w:p>
        </w:tc>
        <w:tc>
          <w:tcPr>
            <w:tcW w:w="139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5</w:t>
            </w:r>
          </w:p>
        </w:tc>
        <w:tc>
          <w:tcPr>
            <w:tcW w:w="1691" w:type="dxa"/>
          </w:tcPr>
          <w:p w:rsidR="00A66748"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11. Daljnji razvoj komunalne, prometne i društvene infrastrukture</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Gradnja, održavanje i dodatna ulaganja u objekte javne namjene</w:t>
            </w:r>
          </w:p>
        </w:tc>
      </w:tr>
      <w:tr w:rsidR="00A66748" w:rsidRPr="006E7722" w:rsidTr="00F57898">
        <w:trPr>
          <w:cnfStyle w:val="000000100000"/>
          <w:trHeight w:val="1069"/>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3.</w:t>
            </w:r>
          </w:p>
        </w:tc>
        <w:tc>
          <w:tcPr>
            <w:tcW w:w="2064"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13. Razvoj potpomognutih područja i ITU</w:t>
            </w:r>
          </w:p>
        </w:tc>
        <w:tc>
          <w:tcPr>
            <w:tcW w:w="186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donesenih akata i dokumenata</w:t>
            </w:r>
          </w:p>
        </w:tc>
        <w:tc>
          <w:tcPr>
            <w:tcW w:w="1329"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5</w:t>
            </w:r>
          </w:p>
        </w:tc>
        <w:tc>
          <w:tcPr>
            <w:tcW w:w="139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7</w:t>
            </w:r>
          </w:p>
        </w:tc>
        <w:tc>
          <w:tcPr>
            <w:tcW w:w="1691" w:type="dxa"/>
          </w:tcPr>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13. Razvoj potpomognutih područja i ITU</w:t>
            </w:r>
          </w:p>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Posebni cilj 13. Razvoj potpomognutih područja i ITU</w:t>
            </w:r>
          </w:p>
        </w:tc>
      </w:tr>
      <w:tr w:rsidR="00A66748" w:rsidRPr="006E7722" w:rsidTr="00F57898">
        <w:trPr>
          <w:trHeight w:val="971"/>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4.</w:t>
            </w:r>
          </w:p>
        </w:tc>
        <w:tc>
          <w:tcPr>
            <w:tcW w:w="2064"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11. Daljnji razvoj komunalne, prometne i društvene infrastrukture</w:t>
            </w:r>
          </w:p>
        </w:tc>
        <w:tc>
          <w:tcPr>
            <w:tcW w:w="186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naselja u kojima se održavaju zelene površine</w:t>
            </w:r>
          </w:p>
        </w:tc>
        <w:tc>
          <w:tcPr>
            <w:tcW w:w="1329"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6</w:t>
            </w:r>
          </w:p>
        </w:tc>
        <w:tc>
          <w:tcPr>
            <w:tcW w:w="139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6</w:t>
            </w:r>
          </w:p>
        </w:tc>
        <w:tc>
          <w:tcPr>
            <w:tcW w:w="1691" w:type="dxa"/>
          </w:tcPr>
          <w:p w:rsidR="00A66748"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 xml:space="preserve">Posebni cilj 11. Daljnji razvoj komunalne, prometne i </w:t>
            </w:r>
            <w:r w:rsidRPr="005D54A4">
              <w:rPr>
                <w:rFonts w:ascii="Times New Roman" w:eastAsia="Times New Roman" w:hAnsi="Times New Roman" w:cs="Times New Roman"/>
                <w:color w:val="767171" w:themeColor="background2" w:themeShade="80"/>
                <w:sz w:val="20"/>
                <w:szCs w:val="20"/>
              </w:rPr>
              <w:lastRenderedPageBreak/>
              <w:t>društvene infrastrukture</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11. Daljnji razvoj komunalne, prometne i društvene infrastrukture</w:t>
            </w:r>
          </w:p>
        </w:tc>
      </w:tr>
      <w:tr w:rsidR="00A66748" w:rsidRPr="006E7722" w:rsidTr="00F57898">
        <w:trPr>
          <w:cnfStyle w:val="000000100000"/>
          <w:trHeight w:val="856"/>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lastRenderedPageBreak/>
              <w:t>5.</w:t>
            </w:r>
          </w:p>
        </w:tc>
        <w:tc>
          <w:tcPr>
            <w:tcW w:w="2064"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Protupožarna i civilna zaštita</w:t>
            </w:r>
          </w:p>
        </w:tc>
        <w:tc>
          <w:tcPr>
            <w:tcW w:w="186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osposobljenih članova vatrogasnog društva</w:t>
            </w:r>
          </w:p>
        </w:tc>
        <w:tc>
          <w:tcPr>
            <w:tcW w:w="1329"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23</w:t>
            </w:r>
          </w:p>
        </w:tc>
        <w:tc>
          <w:tcPr>
            <w:tcW w:w="139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25</w:t>
            </w:r>
          </w:p>
        </w:tc>
        <w:tc>
          <w:tcPr>
            <w:tcW w:w="1691" w:type="dxa"/>
          </w:tcPr>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11. Daljnji razvoj komunalne, prometne i društvene infrastrukture</w:t>
            </w:r>
          </w:p>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Protupožarna i civilna zaštita</w:t>
            </w:r>
          </w:p>
        </w:tc>
      </w:tr>
      <w:tr w:rsidR="00A66748" w:rsidRPr="006E7722" w:rsidTr="00F57898">
        <w:trPr>
          <w:trHeight w:val="1110"/>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6.</w:t>
            </w:r>
          </w:p>
        </w:tc>
        <w:tc>
          <w:tcPr>
            <w:tcW w:w="2064"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Pružanje socijalne zaštite</w:t>
            </w:r>
          </w:p>
        </w:tc>
        <w:tc>
          <w:tcPr>
            <w:tcW w:w="186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korisnika socijalnih pomoći i usluga</w:t>
            </w:r>
          </w:p>
        </w:tc>
        <w:tc>
          <w:tcPr>
            <w:tcW w:w="1329" w:type="dxa"/>
          </w:tcPr>
          <w:p w:rsidR="00A66748" w:rsidRPr="0051344B" w:rsidRDefault="00A66748" w:rsidP="00F57898">
            <w:pPr>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30</w:t>
            </w: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jc w:val="center"/>
              <w:cnfStyle w:val="000000000000"/>
              <w:rPr>
                <w:rFonts w:ascii="Times New Roman" w:eastAsia="Times New Roman" w:hAnsi="Times New Roman" w:cs="Times New Roman"/>
                <w:color w:val="767171" w:themeColor="background2" w:themeShade="80"/>
                <w:sz w:val="20"/>
                <w:szCs w:val="20"/>
              </w:rPr>
            </w:pPr>
          </w:p>
        </w:tc>
        <w:tc>
          <w:tcPr>
            <w:tcW w:w="1390" w:type="dxa"/>
          </w:tcPr>
          <w:p w:rsidR="00A66748" w:rsidRPr="0051344B" w:rsidRDefault="00A66748" w:rsidP="00F57898">
            <w:pPr>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40</w:t>
            </w: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jc w:val="center"/>
              <w:cnfStyle w:val="000000000000"/>
              <w:rPr>
                <w:rFonts w:ascii="Times New Roman" w:eastAsia="Times New Roman" w:hAnsi="Times New Roman" w:cs="Times New Roman"/>
                <w:color w:val="767171" w:themeColor="background2" w:themeShade="80"/>
                <w:sz w:val="20"/>
                <w:szCs w:val="20"/>
              </w:rPr>
            </w:pPr>
          </w:p>
        </w:tc>
        <w:tc>
          <w:tcPr>
            <w:tcW w:w="1691" w:type="dxa"/>
          </w:tcPr>
          <w:p w:rsidR="00A66748"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6. Ulaganje u zdravstvenu i socijalnu skrb</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Pružanje socijalne zaštite</w:t>
            </w:r>
          </w:p>
        </w:tc>
      </w:tr>
      <w:tr w:rsidR="00A66748" w:rsidRPr="006E7722" w:rsidTr="00F57898">
        <w:trPr>
          <w:cnfStyle w:val="000000100000"/>
          <w:trHeight w:val="1268"/>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7.</w:t>
            </w:r>
          </w:p>
        </w:tc>
        <w:tc>
          <w:tcPr>
            <w:tcW w:w="2064"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Podizanje standarda u odgoju i obrazovanju</w:t>
            </w:r>
          </w:p>
        </w:tc>
        <w:tc>
          <w:tcPr>
            <w:tcW w:w="186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djece kojima se sufinancira vrtić</w:t>
            </w:r>
          </w:p>
        </w:tc>
        <w:tc>
          <w:tcPr>
            <w:tcW w:w="1329" w:type="dxa"/>
          </w:tcPr>
          <w:p w:rsidR="00A66748" w:rsidRPr="0051344B" w:rsidRDefault="00A66748" w:rsidP="00F57898">
            <w:pPr>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20</w:t>
            </w: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jc w:val="center"/>
              <w:cnfStyle w:val="000000100000"/>
              <w:rPr>
                <w:rFonts w:ascii="Times New Roman" w:eastAsia="Times New Roman" w:hAnsi="Times New Roman" w:cs="Times New Roman"/>
                <w:color w:val="767171" w:themeColor="background2" w:themeShade="80"/>
                <w:sz w:val="20"/>
                <w:szCs w:val="20"/>
              </w:rPr>
            </w:pPr>
          </w:p>
        </w:tc>
        <w:tc>
          <w:tcPr>
            <w:tcW w:w="1390" w:type="dxa"/>
          </w:tcPr>
          <w:p w:rsidR="00A66748" w:rsidRPr="0051344B" w:rsidRDefault="00A66748" w:rsidP="00F57898">
            <w:pPr>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22</w:t>
            </w: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cnfStyle w:val="000000100000"/>
              <w:rPr>
                <w:rFonts w:ascii="Times New Roman" w:eastAsia="Times New Roman" w:hAnsi="Times New Roman" w:cs="Times New Roman"/>
                <w:color w:val="767171" w:themeColor="background2" w:themeShade="80"/>
                <w:sz w:val="20"/>
                <w:szCs w:val="20"/>
              </w:rPr>
            </w:pPr>
          </w:p>
          <w:p w:rsidR="00A66748" w:rsidRPr="0051344B" w:rsidRDefault="00A66748" w:rsidP="00F57898">
            <w:pPr>
              <w:jc w:val="center"/>
              <w:cnfStyle w:val="000000100000"/>
              <w:rPr>
                <w:rFonts w:ascii="Times New Roman" w:eastAsia="Times New Roman" w:hAnsi="Times New Roman" w:cs="Times New Roman"/>
                <w:color w:val="767171" w:themeColor="background2" w:themeShade="80"/>
                <w:sz w:val="20"/>
                <w:szCs w:val="20"/>
              </w:rPr>
            </w:pPr>
          </w:p>
        </w:tc>
        <w:tc>
          <w:tcPr>
            <w:tcW w:w="1691" w:type="dxa"/>
          </w:tcPr>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3. Razvoj znanosti i obrazovanja</w:t>
            </w:r>
          </w:p>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Podizanje standarda u odgoju i obrazovanju</w:t>
            </w:r>
          </w:p>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p>
        </w:tc>
      </w:tr>
      <w:tr w:rsidR="00A66748" w:rsidRPr="006E7722" w:rsidTr="00F57898">
        <w:trPr>
          <w:trHeight w:val="128"/>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8.</w:t>
            </w:r>
          </w:p>
        </w:tc>
        <w:tc>
          <w:tcPr>
            <w:tcW w:w="2064"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Poticanje razvoja gospodarstva</w:t>
            </w:r>
          </w:p>
        </w:tc>
        <w:tc>
          <w:tcPr>
            <w:tcW w:w="186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dodijeljenih potpora poljoprivrednicima i poduzetnicima</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tc>
        <w:tc>
          <w:tcPr>
            <w:tcW w:w="1329"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3</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tc>
        <w:tc>
          <w:tcPr>
            <w:tcW w:w="139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4</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p>
        </w:tc>
        <w:tc>
          <w:tcPr>
            <w:tcW w:w="1691" w:type="dxa"/>
          </w:tcPr>
          <w:p w:rsidR="00A66748"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 Razvoj kreativnog i inovativnog gospodarstva</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Poticanje razvoja gospodarstva</w:t>
            </w:r>
          </w:p>
        </w:tc>
      </w:tr>
      <w:tr w:rsidR="00A66748" w:rsidRPr="006E7722" w:rsidTr="00F57898">
        <w:trPr>
          <w:cnfStyle w:val="000000100000"/>
          <w:trHeight w:val="1338"/>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9.</w:t>
            </w:r>
          </w:p>
        </w:tc>
        <w:tc>
          <w:tcPr>
            <w:tcW w:w="2064"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Poticanje razvoja sporta i rekreacije</w:t>
            </w:r>
          </w:p>
        </w:tc>
        <w:tc>
          <w:tcPr>
            <w:tcW w:w="186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sufinanciranih sportskih udruga</w:t>
            </w:r>
          </w:p>
        </w:tc>
        <w:tc>
          <w:tcPr>
            <w:tcW w:w="1329"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2</w:t>
            </w:r>
          </w:p>
        </w:tc>
        <w:tc>
          <w:tcPr>
            <w:tcW w:w="139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2</w:t>
            </w:r>
          </w:p>
        </w:tc>
        <w:tc>
          <w:tcPr>
            <w:tcW w:w="1691" w:type="dxa"/>
          </w:tcPr>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5. Demografski rast i aktivno življenje</w:t>
            </w:r>
          </w:p>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 xml:space="preserve">Poticanje </w:t>
            </w:r>
            <w:r w:rsidRPr="005D54A4">
              <w:rPr>
                <w:rFonts w:ascii="Times New Roman" w:eastAsia="Times New Roman" w:hAnsi="Times New Roman" w:cs="Times New Roman"/>
                <w:color w:val="767171" w:themeColor="background2" w:themeShade="80"/>
                <w:sz w:val="20"/>
                <w:szCs w:val="20"/>
              </w:rPr>
              <w:lastRenderedPageBreak/>
              <w:t>razvoja sporta i rekreacije</w:t>
            </w:r>
          </w:p>
        </w:tc>
      </w:tr>
      <w:tr w:rsidR="00A66748" w:rsidRPr="006E7722" w:rsidTr="00F57898">
        <w:trPr>
          <w:trHeight w:val="1696"/>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lastRenderedPageBreak/>
              <w:t>10.</w:t>
            </w:r>
          </w:p>
        </w:tc>
        <w:tc>
          <w:tcPr>
            <w:tcW w:w="2064"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Zaštita okoliša</w:t>
            </w:r>
          </w:p>
        </w:tc>
        <w:tc>
          <w:tcPr>
            <w:tcW w:w="186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naselja u kojima se odvozi komunalni otpad</w:t>
            </w:r>
          </w:p>
        </w:tc>
        <w:tc>
          <w:tcPr>
            <w:tcW w:w="1329"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6</w:t>
            </w:r>
          </w:p>
        </w:tc>
        <w:tc>
          <w:tcPr>
            <w:tcW w:w="1390" w:type="dxa"/>
          </w:tcPr>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6</w:t>
            </w:r>
          </w:p>
        </w:tc>
        <w:tc>
          <w:tcPr>
            <w:tcW w:w="1691" w:type="dxa"/>
          </w:tcPr>
          <w:p w:rsidR="00A66748"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11. Daljnji razvoj komunalne, prometne i društvene infrastrukture</w:t>
            </w:r>
          </w:p>
          <w:p w:rsidR="00A66748" w:rsidRPr="0051344B" w:rsidRDefault="00A66748" w:rsidP="00F57898">
            <w:pPr>
              <w:widowControl w:val="0"/>
              <w:autoSpaceDE w:val="0"/>
              <w:autoSpaceDN w:val="0"/>
              <w:spacing w:line="360" w:lineRule="auto"/>
              <w:jc w:val="center"/>
              <w:cnfStyle w:val="0000000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Zaštita okoliša</w:t>
            </w:r>
          </w:p>
        </w:tc>
      </w:tr>
      <w:tr w:rsidR="00A66748" w:rsidRPr="006E7722" w:rsidTr="00F57898">
        <w:trPr>
          <w:cnfStyle w:val="000000100000"/>
          <w:trHeight w:val="1696"/>
        </w:trPr>
        <w:tc>
          <w:tcPr>
            <w:cnfStyle w:val="001000000000"/>
            <w:tcW w:w="728" w:type="dxa"/>
          </w:tcPr>
          <w:p w:rsidR="00A66748" w:rsidRPr="0051344B" w:rsidRDefault="00A66748" w:rsidP="00F57898">
            <w:pPr>
              <w:widowControl w:val="0"/>
              <w:autoSpaceDE w:val="0"/>
              <w:autoSpaceDN w:val="0"/>
              <w:spacing w:line="360" w:lineRule="auto"/>
              <w:jc w:val="center"/>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11.</w:t>
            </w:r>
          </w:p>
        </w:tc>
        <w:tc>
          <w:tcPr>
            <w:tcW w:w="2064" w:type="dxa"/>
          </w:tcPr>
          <w:p w:rsidR="00A66748" w:rsidRPr="00842656"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Promicanje kulture i kulturnih sadržaja</w:t>
            </w:r>
          </w:p>
        </w:tc>
        <w:tc>
          <w:tcPr>
            <w:tcW w:w="186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842656">
              <w:rPr>
                <w:rFonts w:ascii="Times New Roman" w:eastAsia="Times New Roman" w:hAnsi="Times New Roman" w:cs="Times New Roman"/>
                <w:color w:val="767171" w:themeColor="background2" w:themeShade="80"/>
                <w:sz w:val="20"/>
                <w:szCs w:val="20"/>
              </w:rPr>
              <w:t>Broj kulturnih udruga koje se sufinanciraju</w:t>
            </w:r>
          </w:p>
        </w:tc>
        <w:tc>
          <w:tcPr>
            <w:tcW w:w="1329"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6</w:t>
            </w:r>
          </w:p>
        </w:tc>
        <w:tc>
          <w:tcPr>
            <w:tcW w:w="1390" w:type="dxa"/>
          </w:tcPr>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6</w:t>
            </w:r>
          </w:p>
        </w:tc>
        <w:tc>
          <w:tcPr>
            <w:tcW w:w="1691" w:type="dxa"/>
          </w:tcPr>
          <w:p w:rsidR="00A66748"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Posebni cilj 7. Ulaganja u kulturu</w:t>
            </w:r>
          </w:p>
          <w:p w:rsidR="00A66748" w:rsidRPr="0051344B" w:rsidRDefault="00A66748" w:rsidP="00F57898">
            <w:pPr>
              <w:widowControl w:val="0"/>
              <w:autoSpaceDE w:val="0"/>
              <w:autoSpaceDN w:val="0"/>
              <w:spacing w:line="360" w:lineRule="auto"/>
              <w:jc w:val="center"/>
              <w:cnfStyle w:val="000000100000"/>
              <w:rPr>
                <w:rFonts w:ascii="Times New Roman" w:eastAsia="Times New Roman" w:hAnsi="Times New Roman" w:cs="Times New Roman"/>
                <w:color w:val="767171" w:themeColor="background2" w:themeShade="80"/>
                <w:sz w:val="20"/>
                <w:szCs w:val="20"/>
              </w:rPr>
            </w:pPr>
            <w:r>
              <w:rPr>
                <w:rFonts w:ascii="Times New Roman" w:eastAsia="Times New Roman" w:hAnsi="Times New Roman" w:cs="Times New Roman"/>
                <w:color w:val="767171" w:themeColor="background2" w:themeShade="80"/>
                <w:sz w:val="20"/>
                <w:szCs w:val="20"/>
              </w:rPr>
              <w:t xml:space="preserve">PP </w:t>
            </w:r>
            <w:r w:rsidRPr="005D54A4">
              <w:rPr>
                <w:rFonts w:ascii="Times New Roman" w:eastAsia="Times New Roman" w:hAnsi="Times New Roman" w:cs="Times New Roman"/>
                <w:color w:val="767171" w:themeColor="background2" w:themeShade="80"/>
                <w:sz w:val="20"/>
                <w:szCs w:val="20"/>
              </w:rPr>
              <w:t>Promicanje kulture i kulturnih sadržaja</w:t>
            </w:r>
          </w:p>
        </w:tc>
      </w:tr>
    </w:tbl>
    <w:p w:rsidR="00A66748" w:rsidRDefault="00A66748" w:rsidP="00A66748">
      <w:pPr>
        <w:rPr>
          <w:rFonts w:ascii="Times New Roman" w:hAnsi="Times New Roman" w:cs="Times New Roman"/>
          <w:b/>
          <w:bCs/>
          <w:sz w:val="24"/>
          <w:szCs w:val="24"/>
        </w:rPr>
      </w:pPr>
    </w:p>
    <w:p w:rsidR="00A66748" w:rsidRPr="00995907" w:rsidRDefault="00A66748" w:rsidP="00A66748">
      <w:pPr>
        <w:pStyle w:val="Naslov2"/>
        <w:keepLines/>
        <w:numPr>
          <w:ilvl w:val="1"/>
          <w:numId w:val="102"/>
        </w:numPr>
        <w:spacing w:before="160" w:after="80" w:line="259" w:lineRule="auto"/>
        <w:jc w:val="left"/>
        <w:rPr>
          <w:b w:val="0"/>
          <w:bCs/>
          <w:szCs w:val="24"/>
        </w:rPr>
      </w:pPr>
      <w:bookmarkStart w:id="172" w:name="_Toc213852218"/>
      <w:r w:rsidRPr="00995907">
        <w:rPr>
          <w:bCs/>
          <w:szCs w:val="24"/>
        </w:rPr>
        <w:t>OPERATIVNI CILJ</w:t>
      </w:r>
      <w:bookmarkEnd w:id="172"/>
    </w:p>
    <w:p w:rsidR="00A66748" w:rsidRDefault="00A66748" w:rsidP="00A66748">
      <w:pPr>
        <w:rPr>
          <w:rFonts w:ascii="Times New Roman" w:hAnsi="Times New Roman" w:cs="Times New Roman"/>
          <w:b/>
          <w:bCs/>
          <w:sz w:val="24"/>
          <w:szCs w:val="24"/>
        </w:rPr>
      </w:pPr>
    </w:p>
    <w:tbl>
      <w:tblPr>
        <w:tblStyle w:val="Tablicapopisa3-isticanje21"/>
        <w:tblW w:w="10060" w:type="dxa"/>
        <w:tblLook w:val="04A0"/>
      </w:tblPr>
      <w:tblGrid>
        <w:gridCol w:w="728"/>
        <w:gridCol w:w="3662"/>
        <w:gridCol w:w="1483"/>
        <w:gridCol w:w="1409"/>
        <w:gridCol w:w="2778"/>
      </w:tblGrid>
      <w:tr w:rsidR="00A66748" w:rsidRPr="00506875" w:rsidTr="00F57898">
        <w:trPr>
          <w:cnfStyle w:val="100000000000"/>
        </w:trPr>
        <w:tc>
          <w:tcPr>
            <w:cnfStyle w:val="001000000100"/>
            <w:tcW w:w="728" w:type="dxa"/>
          </w:tcPr>
          <w:p w:rsidR="00A66748" w:rsidRPr="00506875" w:rsidRDefault="00A66748" w:rsidP="00F57898">
            <w:pPr>
              <w:widowControl w:val="0"/>
              <w:autoSpaceDE w:val="0"/>
              <w:autoSpaceDN w:val="0"/>
              <w:spacing w:after="160" w:line="360" w:lineRule="auto"/>
              <w:jc w:val="center"/>
              <w:rPr>
                <w:rFonts w:ascii="Times New Roman" w:eastAsia="Times New Roman" w:hAnsi="Times New Roman" w:cs="Times New Roman"/>
                <w:sz w:val="20"/>
                <w:szCs w:val="20"/>
              </w:rPr>
            </w:pPr>
            <w:r w:rsidRPr="00506875">
              <w:rPr>
                <w:rFonts w:ascii="Times New Roman" w:eastAsia="Times New Roman" w:hAnsi="Times New Roman" w:cs="Times New Roman"/>
                <w:sz w:val="20"/>
                <w:szCs w:val="20"/>
              </w:rPr>
              <w:t>Redni broj</w:t>
            </w:r>
          </w:p>
        </w:tc>
        <w:tc>
          <w:tcPr>
            <w:tcW w:w="3662" w:type="dxa"/>
          </w:tcPr>
          <w:p w:rsidR="00A66748" w:rsidRPr="00506875" w:rsidRDefault="00A66748" w:rsidP="00F57898">
            <w:pPr>
              <w:widowControl w:val="0"/>
              <w:autoSpaceDE w:val="0"/>
              <w:autoSpaceDN w:val="0"/>
              <w:spacing w:after="160" w:line="259" w:lineRule="auto"/>
              <w:jc w:val="center"/>
              <w:cnfStyle w:val="100000000000"/>
              <w:rPr>
                <w:rFonts w:ascii="Times New Roman" w:eastAsia="Times New Roman" w:hAnsi="Times New Roman" w:cs="Times New Roman"/>
                <w:sz w:val="20"/>
                <w:szCs w:val="20"/>
              </w:rPr>
            </w:pPr>
            <w:r w:rsidRPr="00506875">
              <w:rPr>
                <w:rFonts w:ascii="Times New Roman" w:eastAsia="Times New Roman" w:hAnsi="Times New Roman" w:cs="Times New Roman"/>
                <w:sz w:val="20"/>
                <w:szCs w:val="20"/>
              </w:rPr>
              <w:t>Operativni cilj (radnja)</w:t>
            </w:r>
          </w:p>
        </w:tc>
        <w:tc>
          <w:tcPr>
            <w:tcW w:w="1483" w:type="dxa"/>
          </w:tcPr>
          <w:p w:rsidR="00A66748" w:rsidRPr="00506875" w:rsidRDefault="00A66748" w:rsidP="00F57898">
            <w:pPr>
              <w:widowControl w:val="0"/>
              <w:autoSpaceDE w:val="0"/>
              <w:autoSpaceDN w:val="0"/>
              <w:spacing w:after="160" w:line="360" w:lineRule="auto"/>
              <w:jc w:val="center"/>
              <w:cnfStyle w:val="100000000000"/>
              <w:rPr>
                <w:rFonts w:ascii="Times New Roman" w:eastAsia="Times New Roman" w:hAnsi="Times New Roman" w:cs="Times New Roman"/>
                <w:sz w:val="20"/>
                <w:szCs w:val="20"/>
              </w:rPr>
            </w:pPr>
            <w:r w:rsidRPr="00506875">
              <w:rPr>
                <w:rFonts w:ascii="Times New Roman" w:eastAsia="Times New Roman" w:hAnsi="Times New Roman" w:cs="Times New Roman"/>
                <w:sz w:val="20"/>
                <w:szCs w:val="20"/>
              </w:rPr>
              <w:t>Rok izvršenja</w:t>
            </w:r>
          </w:p>
        </w:tc>
        <w:tc>
          <w:tcPr>
            <w:tcW w:w="1409" w:type="dxa"/>
          </w:tcPr>
          <w:p w:rsidR="00A66748" w:rsidRPr="00506875" w:rsidRDefault="00A66748" w:rsidP="00F57898">
            <w:pPr>
              <w:widowControl w:val="0"/>
              <w:autoSpaceDE w:val="0"/>
              <w:autoSpaceDN w:val="0"/>
              <w:spacing w:after="160" w:line="360" w:lineRule="auto"/>
              <w:jc w:val="center"/>
              <w:cnfStyle w:val="100000000000"/>
              <w:rPr>
                <w:rFonts w:ascii="Times New Roman" w:eastAsia="Times New Roman" w:hAnsi="Times New Roman" w:cs="Times New Roman"/>
                <w:sz w:val="20"/>
                <w:szCs w:val="20"/>
              </w:rPr>
            </w:pPr>
            <w:r w:rsidRPr="00506875">
              <w:rPr>
                <w:rFonts w:ascii="Times New Roman" w:eastAsia="Times New Roman" w:hAnsi="Times New Roman" w:cs="Times New Roman"/>
                <w:sz w:val="20"/>
                <w:szCs w:val="20"/>
              </w:rPr>
              <w:t>Nadležnost</w:t>
            </w:r>
          </w:p>
        </w:tc>
        <w:tc>
          <w:tcPr>
            <w:tcW w:w="2778" w:type="dxa"/>
          </w:tcPr>
          <w:p w:rsidR="00A66748" w:rsidRPr="00506875" w:rsidRDefault="00A66748" w:rsidP="00F57898">
            <w:pPr>
              <w:widowControl w:val="0"/>
              <w:autoSpaceDE w:val="0"/>
              <w:autoSpaceDN w:val="0"/>
              <w:spacing w:after="160" w:line="360" w:lineRule="auto"/>
              <w:jc w:val="center"/>
              <w:cnfStyle w:val="100000000000"/>
              <w:rPr>
                <w:rFonts w:ascii="Times New Roman" w:eastAsia="Times New Roman" w:hAnsi="Times New Roman" w:cs="Times New Roman"/>
                <w:sz w:val="20"/>
                <w:szCs w:val="20"/>
              </w:rPr>
            </w:pPr>
            <w:r w:rsidRPr="00506875">
              <w:rPr>
                <w:rFonts w:ascii="Times New Roman" w:eastAsia="Times New Roman" w:hAnsi="Times New Roman" w:cs="Times New Roman"/>
                <w:sz w:val="20"/>
                <w:szCs w:val="20"/>
              </w:rPr>
              <w:t>Izvor financiranja</w:t>
            </w:r>
          </w:p>
        </w:tc>
      </w:tr>
      <w:tr w:rsidR="00A66748" w:rsidRPr="00506875" w:rsidTr="00F57898">
        <w:trPr>
          <w:cnfStyle w:val="000000100000"/>
        </w:trPr>
        <w:tc>
          <w:tcPr>
            <w:cnfStyle w:val="001000000000"/>
            <w:tcW w:w="728" w:type="dxa"/>
          </w:tcPr>
          <w:p w:rsidR="00A66748" w:rsidRPr="0051344B" w:rsidRDefault="00A66748" w:rsidP="00A66748">
            <w:pPr>
              <w:widowControl w:val="0"/>
              <w:numPr>
                <w:ilvl w:val="0"/>
                <w:numId w:val="101"/>
              </w:numPr>
              <w:autoSpaceDE w:val="0"/>
              <w:autoSpaceDN w:val="0"/>
              <w:spacing w:after="160"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lang w:val="en-US"/>
              </w:rPr>
            </w:pPr>
            <w:r>
              <w:rPr>
                <w:rFonts w:ascii="Times New Roman" w:eastAsia="Times New Roman" w:hAnsi="Times New Roman" w:cs="Times New Roman"/>
                <w:color w:val="767171" w:themeColor="background2" w:themeShade="80"/>
                <w:sz w:val="20"/>
                <w:szCs w:val="20"/>
                <w:lang w:val="en-US"/>
              </w:rPr>
              <w:t xml:space="preserve">Cilj </w:t>
            </w:r>
            <w:r w:rsidRPr="005D54A4">
              <w:rPr>
                <w:rFonts w:ascii="Times New Roman" w:eastAsia="Times New Roman" w:hAnsi="Times New Roman" w:cs="Times New Roman"/>
                <w:color w:val="767171" w:themeColor="background2" w:themeShade="80"/>
                <w:sz w:val="20"/>
                <w:szCs w:val="20"/>
                <w:lang w:val="en-US"/>
              </w:rPr>
              <w:t>provedbe mjere je ostvarivanje kroz redovne i izvanredne aktivnosti predstavničkih tijela i gradskog vijeća, te unaprjeđenje rada Općine kroz transparentno i učinkovito poslovanje.</w:t>
            </w:r>
          </w:p>
        </w:tc>
        <w:tc>
          <w:tcPr>
            <w:tcW w:w="1483"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5A48E8"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bookmarkStart w:id="173" w:name="_Hlk214610036"/>
            <w:r w:rsidRPr="005A48E8">
              <w:rPr>
                <w:rFonts w:ascii="Times New Roman" w:eastAsia="Times New Roman" w:hAnsi="Times New Roman" w:cs="Times New Roman"/>
                <w:color w:val="767171" w:themeColor="background2" w:themeShade="80"/>
                <w:sz w:val="20"/>
                <w:szCs w:val="20"/>
              </w:rPr>
              <w:t>A100104 Obilježavanje Dana Općine i ostale manifestascije; A100103 Financiranje političkih stranaka</w:t>
            </w:r>
            <w:r>
              <w:rPr>
                <w:rFonts w:ascii="Times New Roman" w:eastAsia="Times New Roman" w:hAnsi="Times New Roman" w:cs="Times New Roman"/>
                <w:color w:val="767171" w:themeColor="background2" w:themeShade="80"/>
                <w:sz w:val="20"/>
                <w:szCs w:val="20"/>
              </w:rPr>
              <w:t xml:space="preserve">; </w:t>
            </w:r>
            <w:r w:rsidRPr="005A48E8">
              <w:rPr>
                <w:rFonts w:ascii="Times New Roman" w:eastAsia="Times New Roman" w:hAnsi="Times New Roman" w:cs="Times New Roman"/>
                <w:color w:val="767171" w:themeColor="background2" w:themeShade="80"/>
                <w:sz w:val="20"/>
                <w:szCs w:val="20"/>
              </w:rPr>
              <w:t>A100201 Vijeće srpske nacionalne manjine</w:t>
            </w:r>
            <w:r>
              <w:rPr>
                <w:rFonts w:ascii="Times New Roman" w:eastAsia="Times New Roman" w:hAnsi="Times New Roman" w:cs="Times New Roman"/>
                <w:color w:val="767171" w:themeColor="background2" w:themeShade="80"/>
                <w:sz w:val="20"/>
                <w:szCs w:val="20"/>
              </w:rPr>
              <w:t xml:space="preserve">; </w:t>
            </w:r>
            <w:r w:rsidRPr="005A48E8">
              <w:rPr>
                <w:rFonts w:ascii="Times New Roman" w:eastAsia="Times New Roman" w:hAnsi="Times New Roman" w:cs="Times New Roman"/>
                <w:color w:val="767171" w:themeColor="background2" w:themeShade="80"/>
                <w:sz w:val="20"/>
                <w:szCs w:val="20"/>
              </w:rPr>
              <w:t>A100301 Administrativno i stručno osoblje</w:t>
            </w:r>
            <w:r>
              <w:rPr>
                <w:rFonts w:ascii="Times New Roman" w:eastAsia="Times New Roman" w:hAnsi="Times New Roman" w:cs="Times New Roman"/>
                <w:color w:val="767171" w:themeColor="background2" w:themeShade="80"/>
                <w:sz w:val="20"/>
                <w:szCs w:val="20"/>
              </w:rPr>
              <w:t xml:space="preserve">; </w:t>
            </w:r>
            <w:r w:rsidRPr="005A48E8">
              <w:rPr>
                <w:rFonts w:ascii="Times New Roman" w:eastAsia="Times New Roman" w:hAnsi="Times New Roman" w:cs="Times New Roman"/>
                <w:color w:val="767171" w:themeColor="background2" w:themeShade="80"/>
                <w:sz w:val="20"/>
                <w:szCs w:val="20"/>
              </w:rPr>
              <w:t>A100302 Komunalni redar</w:t>
            </w:r>
            <w:r>
              <w:rPr>
                <w:rFonts w:ascii="Times New Roman" w:eastAsia="Times New Roman" w:hAnsi="Times New Roman" w:cs="Times New Roman"/>
                <w:color w:val="767171" w:themeColor="background2" w:themeShade="80"/>
                <w:sz w:val="20"/>
                <w:szCs w:val="20"/>
              </w:rPr>
              <w:t xml:space="preserve">; </w:t>
            </w:r>
            <w:r w:rsidRPr="005A48E8">
              <w:rPr>
                <w:rFonts w:ascii="Times New Roman" w:eastAsia="Times New Roman" w:hAnsi="Times New Roman" w:cs="Times New Roman"/>
                <w:color w:val="767171" w:themeColor="background2" w:themeShade="80"/>
                <w:sz w:val="20"/>
                <w:szCs w:val="20"/>
              </w:rPr>
              <w:t>A100303 Tekuće i investicijsko održavanje građevinskih objekata, postrojenja i opreme i dr.</w:t>
            </w:r>
            <w:r>
              <w:rPr>
                <w:rFonts w:ascii="Times New Roman" w:eastAsia="Times New Roman" w:hAnsi="Times New Roman" w:cs="Times New Roman"/>
                <w:color w:val="767171" w:themeColor="background2" w:themeShade="80"/>
                <w:sz w:val="20"/>
                <w:szCs w:val="20"/>
              </w:rPr>
              <w:t xml:space="preserve">; </w:t>
            </w:r>
            <w:r w:rsidRPr="005A48E8">
              <w:rPr>
                <w:rFonts w:ascii="Times New Roman" w:eastAsia="Times New Roman" w:hAnsi="Times New Roman" w:cs="Times New Roman"/>
                <w:color w:val="767171" w:themeColor="background2" w:themeShade="80"/>
                <w:sz w:val="20"/>
                <w:szCs w:val="20"/>
              </w:rPr>
              <w:t>A100305 Informatizacija uprave i nabava namještaja i opreme</w:t>
            </w:r>
            <w:bookmarkEnd w:id="173"/>
          </w:p>
        </w:tc>
      </w:tr>
      <w:tr w:rsidR="00A66748" w:rsidRPr="00506875" w:rsidTr="00F57898">
        <w:tc>
          <w:tcPr>
            <w:cnfStyle w:val="001000000000"/>
            <w:tcW w:w="728" w:type="dxa"/>
          </w:tcPr>
          <w:p w:rsidR="00A66748" w:rsidRPr="0051344B" w:rsidRDefault="00A66748" w:rsidP="00A66748">
            <w:pPr>
              <w:widowControl w:val="0"/>
              <w:numPr>
                <w:ilvl w:val="0"/>
                <w:numId w:val="101"/>
              </w:numPr>
              <w:autoSpaceDE w:val="0"/>
              <w:autoSpaceDN w:val="0"/>
              <w:spacing w:after="160"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 xml:space="preserve">Prostorno urediti i izgraditi općinske objekte i ostale društvene objekte za </w:t>
            </w:r>
            <w:r w:rsidRPr="005D54A4">
              <w:rPr>
                <w:rFonts w:ascii="Times New Roman" w:eastAsia="Times New Roman" w:hAnsi="Times New Roman" w:cs="Times New Roman"/>
                <w:color w:val="767171" w:themeColor="background2" w:themeShade="80"/>
                <w:sz w:val="20"/>
                <w:szCs w:val="20"/>
              </w:rPr>
              <w:lastRenderedPageBreak/>
              <w:t>aktivniji i kvalitetniji život stanovnika.</w:t>
            </w:r>
          </w:p>
        </w:tc>
        <w:tc>
          <w:tcPr>
            <w:tcW w:w="1483" w:type="dxa"/>
          </w:tcPr>
          <w:p w:rsidR="00A66748" w:rsidRPr="0051344B"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lastRenderedPageBreak/>
              <w:t xml:space="preserve">Kontinuirano, </w:t>
            </w:r>
            <w:r w:rsidRPr="0051344B">
              <w:rPr>
                <w:rFonts w:ascii="Times New Roman" w:eastAsia="Times New Roman" w:hAnsi="Times New Roman" w:cs="Times New Roman"/>
                <w:color w:val="767171" w:themeColor="background2" w:themeShade="80"/>
                <w:sz w:val="20"/>
                <w:szCs w:val="20"/>
              </w:rPr>
              <w:lastRenderedPageBreak/>
              <w:t>2026</w:t>
            </w:r>
          </w:p>
        </w:tc>
        <w:tc>
          <w:tcPr>
            <w:tcW w:w="1409" w:type="dxa"/>
          </w:tcPr>
          <w:p w:rsidR="00A66748" w:rsidRPr="0051344B"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lastRenderedPageBreak/>
              <w:t>Načelnik, JUO</w:t>
            </w:r>
          </w:p>
        </w:tc>
        <w:tc>
          <w:tcPr>
            <w:tcW w:w="2778" w:type="dxa"/>
          </w:tcPr>
          <w:p w:rsidR="00A66748"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bookmarkStart w:id="174" w:name="_Hlk214610088"/>
            <w:r w:rsidRPr="005A48E8">
              <w:rPr>
                <w:rFonts w:ascii="Times New Roman" w:eastAsia="Times New Roman" w:hAnsi="Times New Roman" w:cs="Times New Roman"/>
                <w:color w:val="767171" w:themeColor="background2" w:themeShade="80"/>
                <w:sz w:val="20"/>
                <w:szCs w:val="20"/>
              </w:rPr>
              <w:t>K100609 Dom Smrtić</w:t>
            </w:r>
            <w:r>
              <w:rPr>
                <w:rFonts w:ascii="Times New Roman" w:eastAsia="Times New Roman" w:hAnsi="Times New Roman" w:cs="Times New Roman"/>
                <w:color w:val="767171" w:themeColor="background2" w:themeShade="80"/>
                <w:sz w:val="20"/>
                <w:szCs w:val="20"/>
              </w:rPr>
              <w:t xml:space="preserve"> -</w:t>
            </w:r>
            <w:r>
              <w:rPr>
                <w:rFonts w:ascii="Times New Roman" w:eastAsia="Times New Roman" w:hAnsi="Times New Roman" w:cs="Times New Roman"/>
                <w:color w:val="767171" w:themeColor="background2" w:themeShade="80"/>
                <w:sz w:val="20"/>
                <w:szCs w:val="20"/>
              </w:rPr>
              <w:lastRenderedPageBreak/>
              <w:t>opremanje kuhinje</w:t>
            </w:r>
          </w:p>
          <w:p w:rsidR="00A66748" w:rsidRPr="005A48E8"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D6022F">
              <w:rPr>
                <w:rFonts w:ascii="Times New Roman" w:eastAsia="Times New Roman" w:hAnsi="Times New Roman" w:cs="Times New Roman"/>
                <w:bCs/>
                <w:color w:val="767171" w:themeColor="background2" w:themeShade="80"/>
                <w:sz w:val="20"/>
                <w:szCs w:val="20"/>
              </w:rPr>
              <w:t>K100605 Izgradnja i opremanje dječjeg vrtića</w:t>
            </w:r>
            <w:r>
              <w:rPr>
                <w:rFonts w:ascii="Times New Roman" w:eastAsia="Times New Roman" w:hAnsi="Times New Roman" w:cs="Times New Roman"/>
                <w:bCs/>
                <w:color w:val="767171" w:themeColor="background2" w:themeShade="80"/>
                <w:sz w:val="20"/>
                <w:szCs w:val="20"/>
              </w:rPr>
              <w:t xml:space="preserve">; </w:t>
            </w:r>
            <w:bookmarkEnd w:id="174"/>
          </w:p>
        </w:tc>
      </w:tr>
      <w:tr w:rsidR="00A66748" w:rsidRPr="00506875" w:rsidTr="00F57898">
        <w:trPr>
          <w:cnfStyle w:val="000000100000"/>
        </w:trPr>
        <w:tc>
          <w:tcPr>
            <w:cnfStyle w:val="001000000000"/>
            <w:tcW w:w="728" w:type="dxa"/>
          </w:tcPr>
          <w:p w:rsidR="00A66748" w:rsidRPr="0051344B" w:rsidRDefault="00A66748" w:rsidP="00A66748">
            <w:pPr>
              <w:widowControl w:val="0"/>
              <w:numPr>
                <w:ilvl w:val="0"/>
                <w:numId w:val="101"/>
              </w:numPr>
              <w:autoSpaceDE w:val="0"/>
              <w:autoSpaceDN w:val="0"/>
              <w:spacing w:after="160"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Unaprijediti administrativne kapacitete i stvoriti preduvjete za kvalitetno planiranje i provedbu projekata kroz nabavu potrebne uredske opreme i izradu dokumentacije.</w:t>
            </w:r>
          </w:p>
        </w:tc>
        <w:tc>
          <w:tcPr>
            <w:tcW w:w="1483"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w:t>
            </w:r>
          </w:p>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 xml:space="preserve">2026. </w:t>
            </w:r>
          </w:p>
        </w:tc>
        <w:tc>
          <w:tcPr>
            <w:tcW w:w="1409"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6022F"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bookmarkStart w:id="175" w:name="_Hlk214610111"/>
            <w:r w:rsidRPr="00D6022F">
              <w:rPr>
                <w:rFonts w:ascii="Times New Roman" w:eastAsia="Times New Roman" w:hAnsi="Times New Roman" w:cs="Times New Roman"/>
                <w:color w:val="767171" w:themeColor="background2" w:themeShade="80"/>
                <w:sz w:val="20"/>
                <w:szCs w:val="20"/>
              </w:rPr>
              <w:t>A100304 Intelektualne i osobne usluge; A100305 Informatizacija uprave i nabava namještaja i opreme</w:t>
            </w:r>
            <w:bookmarkEnd w:id="175"/>
          </w:p>
        </w:tc>
      </w:tr>
      <w:tr w:rsidR="00A66748" w:rsidRPr="00506875" w:rsidTr="00F57898">
        <w:tc>
          <w:tcPr>
            <w:cnfStyle w:val="001000000000"/>
            <w:tcW w:w="728" w:type="dxa"/>
          </w:tcPr>
          <w:p w:rsidR="00A66748" w:rsidRPr="0051344B" w:rsidRDefault="00A66748" w:rsidP="00A66748">
            <w:pPr>
              <w:widowControl w:val="0"/>
              <w:numPr>
                <w:ilvl w:val="0"/>
                <w:numId w:val="101"/>
              </w:numPr>
              <w:autoSpaceDE w:val="0"/>
              <w:autoSpaceDN w:val="0"/>
              <w:spacing w:after="160"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Osigurati kvalitetnu, sigurnu i funkcionalnu komunalnu infrastrukturu radi podizanja standarda života stanovnika i stvaranja preduvjeta za gospodarski i društveni razvoj Općine</w:t>
            </w:r>
          </w:p>
        </w:tc>
        <w:tc>
          <w:tcPr>
            <w:tcW w:w="1483" w:type="dxa"/>
          </w:tcPr>
          <w:p w:rsidR="00A66748" w:rsidRPr="0051344B"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6022F" w:rsidRDefault="00A66748" w:rsidP="00F57898">
            <w:pPr>
              <w:widowControl w:val="0"/>
              <w:autoSpaceDE w:val="0"/>
              <w:autoSpaceDN w:val="0"/>
              <w:spacing w:after="160" w:line="360" w:lineRule="auto"/>
              <w:cnfStyle w:val="000000000000"/>
              <w:rPr>
                <w:rFonts w:ascii="Times New Roman" w:eastAsia="Times New Roman" w:hAnsi="Times New Roman" w:cs="Times New Roman"/>
                <w:color w:val="767171" w:themeColor="background2" w:themeShade="80"/>
                <w:sz w:val="20"/>
                <w:szCs w:val="20"/>
              </w:rPr>
            </w:pPr>
            <w:bookmarkStart w:id="176" w:name="_Hlk214610134"/>
            <w:r w:rsidRPr="00D6022F">
              <w:rPr>
                <w:rFonts w:ascii="Times New Roman" w:eastAsia="Times New Roman" w:hAnsi="Times New Roman" w:cs="Times New Roman"/>
                <w:color w:val="767171" w:themeColor="background2" w:themeShade="80"/>
                <w:sz w:val="20"/>
                <w:szCs w:val="20"/>
              </w:rPr>
              <w:t>A100501 Održavanje nerazvrstanih cesta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A100502 Održavanje javnih površina na kojima nije dopušten promet vozilima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A100504 Održavanje javnih zelenih površina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A100506 Održavanje groblja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A100507 Održavanje čistoće javnih površina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A100508 Održavanje javne rasvjete</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K100607 Centar općine</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K100608 Cesta Stari kraj- groblje LU Vepar</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K100601 Izgradnja prilazne ceste i mosta na potoku Draževac</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K100602 Izgradnja dječjeg igrališta u naselju Trnava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K100603 Uređenje parkirališta kod doma Kosovac</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K100606 Modernizacija javne rasvjete</w:t>
            </w:r>
            <w:bookmarkEnd w:id="176"/>
          </w:p>
        </w:tc>
      </w:tr>
      <w:tr w:rsidR="00A66748" w:rsidRPr="00506875" w:rsidTr="00F57898">
        <w:trPr>
          <w:cnfStyle w:val="000000100000"/>
        </w:trPr>
        <w:tc>
          <w:tcPr>
            <w:cnfStyle w:val="001000000000"/>
            <w:tcW w:w="728" w:type="dxa"/>
          </w:tcPr>
          <w:p w:rsidR="00A66748" w:rsidRPr="0051344B" w:rsidRDefault="00A66748" w:rsidP="00A66748">
            <w:pPr>
              <w:widowControl w:val="0"/>
              <w:numPr>
                <w:ilvl w:val="0"/>
                <w:numId w:val="101"/>
              </w:numPr>
              <w:autoSpaceDE w:val="0"/>
              <w:autoSpaceDN w:val="0"/>
              <w:spacing w:after="160"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Osigurati zaštitu ljudi, imovine i prostora kroz učinkovit sustav protupožarne i civilne zaštite te podići razinu pripravnosti lokalne zajednice na izvanredne situacije.</w:t>
            </w:r>
          </w:p>
        </w:tc>
        <w:tc>
          <w:tcPr>
            <w:tcW w:w="1483"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w:t>
            </w:r>
          </w:p>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2026.</w:t>
            </w:r>
          </w:p>
        </w:tc>
        <w:tc>
          <w:tcPr>
            <w:tcW w:w="1409" w:type="dxa"/>
          </w:tcPr>
          <w:p w:rsidR="00A66748" w:rsidRPr="0051344B" w:rsidRDefault="00A66748" w:rsidP="00F57898">
            <w:pPr>
              <w:widowControl w:val="0"/>
              <w:autoSpaceDE w:val="0"/>
              <w:autoSpaceDN w:val="0"/>
              <w:spacing w:after="160"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6022F"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bookmarkStart w:id="177" w:name="_Hlk214610231"/>
            <w:r w:rsidRPr="00D6022F">
              <w:rPr>
                <w:rFonts w:ascii="Times New Roman" w:eastAsia="Times New Roman" w:hAnsi="Times New Roman" w:cs="Times New Roman"/>
                <w:color w:val="767171" w:themeColor="background2" w:themeShade="80"/>
                <w:sz w:val="20"/>
                <w:szCs w:val="20"/>
              </w:rPr>
              <w:t>A101201 DVD; A101202 Civilna zaštita</w:t>
            </w:r>
            <w:r>
              <w:rPr>
                <w:rFonts w:ascii="Times New Roman" w:eastAsia="Times New Roman" w:hAnsi="Times New Roman" w:cs="Times New Roman"/>
                <w:color w:val="767171" w:themeColor="background2" w:themeShade="80"/>
                <w:sz w:val="20"/>
                <w:szCs w:val="20"/>
              </w:rPr>
              <w:t xml:space="preserve">; </w:t>
            </w:r>
            <w:r w:rsidRPr="00D6022F">
              <w:rPr>
                <w:rFonts w:ascii="Times New Roman" w:eastAsia="Times New Roman" w:hAnsi="Times New Roman" w:cs="Times New Roman"/>
                <w:color w:val="767171" w:themeColor="background2" w:themeShade="80"/>
                <w:sz w:val="20"/>
                <w:szCs w:val="20"/>
              </w:rPr>
              <w:t>A101203 HGSS</w:t>
            </w:r>
            <w:bookmarkEnd w:id="177"/>
          </w:p>
        </w:tc>
      </w:tr>
      <w:tr w:rsidR="00A66748" w:rsidRPr="00506875" w:rsidTr="00F57898">
        <w:tc>
          <w:tcPr>
            <w:cnfStyle w:val="001000000000"/>
            <w:tcW w:w="728" w:type="dxa"/>
          </w:tcPr>
          <w:p w:rsidR="00A66748" w:rsidRPr="0051344B" w:rsidRDefault="00A66748" w:rsidP="00A66748">
            <w:pPr>
              <w:widowControl w:val="0"/>
              <w:numPr>
                <w:ilvl w:val="0"/>
                <w:numId w:val="101"/>
              </w:numPr>
              <w:autoSpaceDE w:val="0"/>
              <w:autoSpaceDN w:val="0"/>
              <w:spacing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Poboljšati kvalitetu života socijalno ugroženih skupina te osigurati dostupnost osnovnih socijalnih usluga svim stanovnicima.</w:t>
            </w:r>
          </w:p>
        </w:tc>
        <w:tc>
          <w:tcPr>
            <w:tcW w:w="1483"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AF0C83"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bookmarkStart w:id="178" w:name="_Hlk214610260"/>
            <w:r w:rsidRPr="00AF0C83">
              <w:rPr>
                <w:rFonts w:ascii="Times New Roman" w:eastAsia="Times New Roman" w:hAnsi="Times New Roman" w:cs="Times New Roman"/>
                <w:color w:val="767171" w:themeColor="background2" w:themeShade="80"/>
                <w:sz w:val="20"/>
                <w:szCs w:val="20"/>
              </w:rPr>
              <w:t xml:space="preserve">A101001 Jednokratne novčane pomoći; A101002 Pomoći u rješavanju prve stambene nekretnine mladih obitelji; A101003 Humanitarna skrb kroz udruge i druge organizacije - Crveni križ; </w:t>
            </w:r>
            <w:r w:rsidRPr="00AF0C83">
              <w:rPr>
                <w:rFonts w:ascii="Times New Roman" w:eastAsia="Times New Roman" w:hAnsi="Times New Roman" w:cs="Times New Roman"/>
                <w:color w:val="767171" w:themeColor="background2" w:themeShade="80"/>
                <w:sz w:val="20"/>
                <w:szCs w:val="20"/>
              </w:rPr>
              <w:lastRenderedPageBreak/>
              <w:t>A101004 Javni radovi</w:t>
            </w:r>
            <w:bookmarkEnd w:id="178"/>
          </w:p>
        </w:tc>
      </w:tr>
      <w:tr w:rsidR="00A66748" w:rsidRPr="00506875" w:rsidTr="00F57898">
        <w:trPr>
          <w:cnfStyle w:val="000000100000"/>
        </w:trPr>
        <w:tc>
          <w:tcPr>
            <w:cnfStyle w:val="001000000000"/>
            <w:tcW w:w="728" w:type="dxa"/>
          </w:tcPr>
          <w:p w:rsidR="00A66748" w:rsidRPr="0051344B" w:rsidRDefault="00A66748" w:rsidP="00A66748">
            <w:pPr>
              <w:widowControl w:val="0"/>
              <w:numPr>
                <w:ilvl w:val="0"/>
                <w:numId w:val="101"/>
              </w:numPr>
              <w:autoSpaceDE w:val="0"/>
              <w:autoSpaceDN w:val="0"/>
              <w:spacing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Unaprijediti uvjete za kvalitetno obrazovanje i odgoj djece i mladih te omogućiti jednake prilike za sve učenike i studente.</w:t>
            </w:r>
          </w:p>
        </w:tc>
        <w:tc>
          <w:tcPr>
            <w:tcW w:w="1483"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7069E"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bookmarkStart w:id="179" w:name="_Hlk214610294"/>
            <w:r w:rsidRPr="00D7069E">
              <w:rPr>
                <w:rFonts w:ascii="Times New Roman" w:eastAsia="Times New Roman" w:hAnsi="Times New Roman" w:cs="Times New Roman"/>
                <w:color w:val="767171" w:themeColor="background2" w:themeShade="80"/>
                <w:sz w:val="20"/>
                <w:szCs w:val="20"/>
              </w:rPr>
              <w:t>A100801 Predškolski odgoj</w:t>
            </w:r>
            <w:r>
              <w:rPr>
                <w:rFonts w:ascii="Times New Roman" w:eastAsia="Times New Roman" w:hAnsi="Times New Roman" w:cs="Times New Roman"/>
                <w:color w:val="767171" w:themeColor="background2" w:themeShade="80"/>
                <w:sz w:val="20"/>
                <w:szCs w:val="20"/>
              </w:rPr>
              <w:t xml:space="preserve">; </w:t>
            </w:r>
            <w:r w:rsidRPr="00D7069E">
              <w:rPr>
                <w:rFonts w:ascii="Times New Roman" w:eastAsia="Times New Roman" w:hAnsi="Times New Roman" w:cs="Times New Roman"/>
                <w:color w:val="767171" w:themeColor="background2" w:themeShade="80"/>
                <w:sz w:val="20"/>
                <w:szCs w:val="20"/>
              </w:rPr>
              <w:t>A100802 Osnovno i srednjoškolsko obrazovanje</w:t>
            </w:r>
            <w:r>
              <w:rPr>
                <w:rFonts w:ascii="Times New Roman" w:eastAsia="Times New Roman" w:hAnsi="Times New Roman" w:cs="Times New Roman"/>
                <w:color w:val="767171" w:themeColor="background2" w:themeShade="80"/>
                <w:sz w:val="20"/>
                <w:szCs w:val="20"/>
              </w:rPr>
              <w:t xml:space="preserve">; </w:t>
            </w:r>
            <w:r w:rsidRPr="00D7069E">
              <w:rPr>
                <w:rFonts w:ascii="Times New Roman" w:eastAsia="Times New Roman" w:hAnsi="Times New Roman" w:cs="Times New Roman"/>
                <w:color w:val="767171" w:themeColor="background2" w:themeShade="80"/>
                <w:sz w:val="20"/>
                <w:szCs w:val="20"/>
              </w:rPr>
              <w:t>A100803 Visoko obrazovanje</w:t>
            </w:r>
            <w:bookmarkEnd w:id="179"/>
          </w:p>
        </w:tc>
      </w:tr>
      <w:tr w:rsidR="00A66748" w:rsidRPr="00506875" w:rsidTr="00F57898">
        <w:tc>
          <w:tcPr>
            <w:cnfStyle w:val="001000000000"/>
            <w:tcW w:w="728" w:type="dxa"/>
          </w:tcPr>
          <w:p w:rsidR="00A66748" w:rsidRPr="0051344B" w:rsidRDefault="00A66748" w:rsidP="00A66748">
            <w:pPr>
              <w:widowControl w:val="0"/>
              <w:numPr>
                <w:ilvl w:val="0"/>
                <w:numId w:val="101"/>
              </w:numPr>
              <w:autoSpaceDE w:val="0"/>
              <w:autoSpaceDN w:val="0"/>
              <w:spacing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Poticati razvoj lokalnog gospodarstva i poljoprivrede kroz stvaranje povoljnog okruženja, jačanje konkurentnosti i povećanje zaposlenosti.</w:t>
            </w:r>
          </w:p>
        </w:tc>
        <w:tc>
          <w:tcPr>
            <w:tcW w:w="1483"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7069E"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bookmarkStart w:id="180" w:name="_Hlk214610372"/>
            <w:r w:rsidRPr="00D7069E">
              <w:rPr>
                <w:rFonts w:ascii="Times New Roman" w:eastAsia="Times New Roman" w:hAnsi="Times New Roman" w:cs="Times New Roman"/>
                <w:color w:val="767171" w:themeColor="background2" w:themeShade="80"/>
                <w:sz w:val="20"/>
                <w:szCs w:val="20"/>
              </w:rPr>
              <w:t>A100401 Poticanje poljoprivrede i gospodarskih subjekata</w:t>
            </w:r>
            <w:bookmarkEnd w:id="180"/>
          </w:p>
        </w:tc>
      </w:tr>
      <w:tr w:rsidR="00A66748" w:rsidRPr="00506875" w:rsidTr="00F57898">
        <w:trPr>
          <w:cnfStyle w:val="000000100000"/>
        </w:trPr>
        <w:tc>
          <w:tcPr>
            <w:cnfStyle w:val="001000000000"/>
            <w:tcW w:w="728" w:type="dxa"/>
          </w:tcPr>
          <w:p w:rsidR="00A66748" w:rsidRPr="0051344B" w:rsidRDefault="00A66748" w:rsidP="00A66748">
            <w:pPr>
              <w:widowControl w:val="0"/>
              <w:numPr>
                <w:ilvl w:val="0"/>
                <w:numId w:val="101"/>
              </w:numPr>
              <w:autoSpaceDE w:val="0"/>
              <w:autoSpaceDN w:val="0"/>
              <w:spacing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Povećati dostupnost i kvalitetu sportskih i rekreacijskih sadržaja, potaknuti aktivno sudjelovanje građana svih dobnih skupina u sportskim aktivnostima te unaprijediti zdravstveno i socijalno blagostanje lokalne zajednice.</w:t>
            </w:r>
          </w:p>
        </w:tc>
        <w:tc>
          <w:tcPr>
            <w:tcW w:w="1483"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7069E"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bookmarkStart w:id="181" w:name="_Hlk214610387"/>
            <w:r w:rsidRPr="00D7069E">
              <w:rPr>
                <w:rFonts w:ascii="Times New Roman" w:eastAsia="Times New Roman" w:hAnsi="Times New Roman" w:cs="Times New Roman"/>
                <w:color w:val="767171" w:themeColor="background2" w:themeShade="80"/>
                <w:sz w:val="20"/>
                <w:szCs w:val="20"/>
              </w:rPr>
              <w:t>A100904 Sportske zajednice</w:t>
            </w:r>
            <w:bookmarkEnd w:id="181"/>
          </w:p>
        </w:tc>
      </w:tr>
      <w:tr w:rsidR="00A66748" w:rsidRPr="00506875" w:rsidTr="00F57898">
        <w:tc>
          <w:tcPr>
            <w:cnfStyle w:val="001000000000"/>
            <w:tcW w:w="728" w:type="dxa"/>
          </w:tcPr>
          <w:p w:rsidR="00A66748" w:rsidRPr="0051344B" w:rsidRDefault="00A66748" w:rsidP="00A66748">
            <w:pPr>
              <w:widowControl w:val="0"/>
              <w:numPr>
                <w:ilvl w:val="0"/>
                <w:numId w:val="101"/>
              </w:numPr>
              <w:autoSpaceDE w:val="0"/>
              <w:autoSpaceDN w:val="0"/>
              <w:spacing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Smanjiti negativan utjecaj otpada i otpadnih voda na okoliš te unaprijediti sustave gospodarenja otpadom i pročišćavanja otpadnih voda u lokalnoj zajednici.</w:t>
            </w:r>
          </w:p>
        </w:tc>
        <w:tc>
          <w:tcPr>
            <w:tcW w:w="1483"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r w:rsidRPr="0051344B">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7069E" w:rsidRDefault="00A66748" w:rsidP="00F57898">
            <w:pPr>
              <w:widowControl w:val="0"/>
              <w:autoSpaceDE w:val="0"/>
              <w:autoSpaceDN w:val="0"/>
              <w:spacing w:line="360" w:lineRule="auto"/>
              <w:cnfStyle w:val="000000000000"/>
              <w:rPr>
                <w:rFonts w:ascii="Times New Roman" w:eastAsia="Times New Roman" w:hAnsi="Times New Roman" w:cs="Times New Roman"/>
                <w:color w:val="767171" w:themeColor="background2" w:themeShade="80"/>
                <w:sz w:val="20"/>
                <w:szCs w:val="20"/>
              </w:rPr>
            </w:pPr>
            <w:bookmarkStart w:id="182" w:name="_Hlk214610397"/>
            <w:r w:rsidRPr="00D7069E">
              <w:rPr>
                <w:rFonts w:ascii="Times New Roman" w:eastAsia="Times New Roman" w:hAnsi="Times New Roman" w:cs="Times New Roman"/>
                <w:color w:val="767171" w:themeColor="background2" w:themeShade="80"/>
                <w:sz w:val="20"/>
                <w:szCs w:val="20"/>
              </w:rPr>
              <w:t>A100701 Poticajna naknada za smanjenje količine miješanog komunalnog otpada; A100702 Naknada za korištenje odlagališta komunalnog otpada</w:t>
            </w:r>
            <w:bookmarkEnd w:id="182"/>
          </w:p>
        </w:tc>
      </w:tr>
      <w:tr w:rsidR="00A66748" w:rsidRPr="00506875" w:rsidTr="00F57898">
        <w:trPr>
          <w:cnfStyle w:val="000000100000"/>
        </w:trPr>
        <w:tc>
          <w:tcPr>
            <w:cnfStyle w:val="001000000000"/>
            <w:tcW w:w="728" w:type="dxa"/>
          </w:tcPr>
          <w:p w:rsidR="00A66748" w:rsidRPr="0051344B" w:rsidRDefault="00A66748" w:rsidP="00A66748">
            <w:pPr>
              <w:widowControl w:val="0"/>
              <w:numPr>
                <w:ilvl w:val="0"/>
                <w:numId w:val="101"/>
              </w:numPr>
              <w:autoSpaceDE w:val="0"/>
              <w:autoSpaceDN w:val="0"/>
              <w:spacing w:line="360" w:lineRule="auto"/>
              <w:rPr>
                <w:rFonts w:ascii="Times New Roman" w:eastAsia="Times New Roman" w:hAnsi="Times New Roman" w:cs="Times New Roman"/>
                <w:color w:val="767171" w:themeColor="background2" w:themeShade="80"/>
                <w:sz w:val="20"/>
                <w:szCs w:val="20"/>
              </w:rPr>
            </w:pPr>
          </w:p>
        </w:tc>
        <w:tc>
          <w:tcPr>
            <w:tcW w:w="3662"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5D54A4">
              <w:rPr>
                <w:rFonts w:ascii="Times New Roman" w:eastAsia="Times New Roman" w:hAnsi="Times New Roman" w:cs="Times New Roman"/>
                <w:color w:val="767171" w:themeColor="background2" w:themeShade="80"/>
                <w:sz w:val="20"/>
                <w:szCs w:val="20"/>
              </w:rPr>
              <w:t>Povećati dostupnost i sudjelovanje građana u kulturnim aktivnostima te unaprijediti kulturnu ponudu i očuvanje kulturne baštine lokalne zajednice.</w:t>
            </w:r>
          </w:p>
        </w:tc>
        <w:tc>
          <w:tcPr>
            <w:tcW w:w="1483"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D7069E">
              <w:rPr>
                <w:rFonts w:ascii="Times New Roman" w:eastAsia="Times New Roman" w:hAnsi="Times New Roman" w:cs="Times New Roman"/>
                <w:color w:val="767171" w:themeColor="background2" w:themeShade="80"/>
                <w:sz w:val="20"/>
                <w:szCs w:val="20"/>
              </w:rPr>
              <w:t>Kontinuirano, 2026</w:t>
            </w:r>
          </w:p>
        </w:tc>
        <w:tc>
          <w:tcPr>
            <w:tcW w:w="1409" w:type="dxa"/>
          </w:tcPr>
          <w:p w:rsidR="00A66748" w:rsidRPr="0051344B" w:rsidRDefault="00A66748" w:rsidP="00F57898">
            <w:pPr>
              <w:widowControl w:val="0"/>
              <w:autoSpaceDE w:val="0"/>
              <w:autoSpaceDN w:val="0"/>
              <w:spacing w:line="360" w:lineRule="auto"/>
              <w:cnfStyle w:val="000000100000"/>
              <w:rPr>
                <w:rFonts w:ascii="Times New Roman" w:eastAsia="Times New Roman" w:hAnsi="Times New Roman" w:cs="Times New Roman"/>
                <w:color w:val="767171" w:themeColor="background2" w:themeShade="80"/>
                <w:sz w:val="20"/>
                <w:szCs w:val="20"/>
              </w:rPr>
            </w:pPr>
            <w:r w:rsidRPr="00D7069E">
              <w:rPr>
                <w:rFonts w:ascii="Times New Roman" w:eastAsia="Times New Roman" w:hAnsi="Times New Roman" w:cs="Times New Roman"/>
                <w:color w:val="767171" w:themeColor="background2" w:themeShade="80"/>
                <w:sz w:val="20"/>
                <w:szCs w:val="20"/>
              </w:rPr>
              <w:t>Načelnik, JUO</w:t>
            </w:r>
          </w:p>
        </w:tc>
        <w:tc>
          <w:tcPr>
            <w:tcW w:w="2778" w:type="dxa"/>
          </w:tcPr>
          <w:p w:rsidR="00A66748" w:rsidRPr="00D7069E" w:rsidRDefault="00A66748" w:rsidP="00F57898">
            <w:pPr>
              <w:widowControl w:val="0"/>
              <w:autoSpaceDE w:val="0"/>
              <w:autoSpaceDN w:val="0"/>
              <w:spacing w:line="360" w:lineRule="auto"/>
              <w:cnfStyle w:val="000000100000"/>
              <w:rPr>
                <w:rFonts w:ascii="Times New Roman" w:eastAsia="Times New Roman" w:hAnsi="Times New Roman" w:cs="Times New Roman"/>
                <w:bCs/>
                <w:color w:val="767171" w:themeColor="background2" w:themeShade="80"/>
                <w:sz w:val="20"/>
                <w:szCs w:val="20"/>
              </w:rPr>
            </w:pPr>
            <w:bookmarkStart w:id="183" w:name="_Hlk214610417"/>
            <w:r w:rsidRPr="00D7069E">
              <w:rPr>
                <w:rFonts w:ascii="Times New Roman" w:eastAsia="Times New Roman" w:hAnsi="Times New Roman" w:cs="Times New Roman"/>
                <w:bCs/>
                <w:color w:val="767171" w:themeColor="background2" w:themeShade="80"/>
                <w:sz w:val="20"/>
                <w:szCs w:val="20"/>
              </w:rPr>
              <w:t>A100901 Djelatnost kulturno-umjetničkih društava, udruga i RP Bljesak; A100902 Vjerske zajednice; A100903 Utvrda Bedem; A101601 Narodna knjižnica i čitaonica</w:t>
            </w:r>
            <w:bookmarkEnd w:id="183"/>
          </w:p>
        </w:tc>
      </w:tr>
    </w:tbl>
    <w:p w:rsidR="00A66748" w:rsidRPr="00C74D56" w:rsidRDefault="00A66748" w:rsidP="00A66748">
      <w:pPr>
        <w:rPr>
          <w:rFonts w:ascii="Times New Roman" w:hAnsi="Times New Roman" w:cs="Times New Roman"/>
          <w:b/>
          <w:bCs/>
          <w:sz w:val="24"/>
          <w:szCs w:val="24"/>
        </w:rPr>
      </w:pPr>
    </w:p>
    <w:p w:rsidR="005C1E80" w:rsidRDefault="005C1E80" w:rsidP="005C1E80">
      <w:pPr>
        <w:rPr>
          <w:rFonts w:ascii="Aptos" w:hAnsi="Aptos"/>
          <w:sz w:val="24"/>
          <w:szCs w:val="24"/>
          <w:lang w:eastAsia="zh-CN"/>
        </w:rPr>
      </w:pPr>
    </w:p>
    <w:p w:rsidR="00A66748" w:rsidRPr="00A66748" w:rsidRDefault="00A66748" w:rsidP="00A66748">
      <w:pPr>
        <w:pStyle w:val="Bezproreda"/>
        <w:rPr>
          <w:rFonts w:ascii="Times New Roman" w:hAnsi="Times New Roman" w:cs="Times New Roman"/>
          <w:b/>
          <w:bCs/>
          <w:sz w:val="24"/>
          <w:szCs w:val="24"/>
        </w:rPr>
      </w:pPr>
      <w:r w:rsidRPr="00A66748">
        <w:rPr>
          <w:rFonts w:ascii="Times New Roman" w:hAnsi="Times New Roman" w:cs="Times New Roman"/>
          <w:b/>
          <w:bCs/>
          <w:sz w:val="24"/>
          <w:szCs w:val="24"/>
        </w:rPr>
        <w:t>53. Odluka o izmjenama odluke o načinu pružanja javne usluge sakupljanja komunalnog otpada na području Općine Gornji Bogićevci</w:t>
      </w:r>
    </w:p>
    <w:p w:rsidR="00A66748" w:rsidRDefault="00A66748" w:rsidP="00A66748">
      <w:pPr>
        <w:suppressAutoHyphens/>
        <w:spacing w:after="0" w:line="240" w:lineRule="auto"/>
        <w:ind w:left="720"/>
        <w:jc w:val="both"/>
        <w:rPr>
          <w:rFonts w:ascii="Times New Roman" w:eastAsia="Times New Roman" w:hAnsi="Times New Roman" w:cs="Times New Roman"/>
          <w:b/>
          <w:i/>
          <w:sz w:val="32"/>
          <w:szCs w:val="32"/>
          <w:u w:val="single"/>
          <w:lang w:eastAsia="hr-HR"/>
        </w:rPr>
      </w:pPr>
    </w:p>
    <w:p w:rsidR="00A66748" w:rsidRDefault="00A66748" w:rsidP="00A66748">
      <w:pPr>
        <w:spacing w:line="240" w:lineRule="exact"/>
        <w:ind w:right="72"/>
        <w:jc w:val="both"/>
        <w:rPr>
          <w:rFonts w:cstheme="minorHAnsi"/>
          <w:color w:val="000000"/>
          <w:kern w:val="30"/>
          <w:lang w:eastAsia="hr-HR"/>
        </w:rPr>
      </w:pPr>
      <w:r>
        <w:rPr>
          <w:rFonts w:cstheme="minorHAnsi"/>
        </w:rPr>
        <w:t>Na temelju članka 66. Zakona o gospodarenju otpadom („Narodne novine“ broj 84/2021 i 142/2023)</w:t>
      </w:r>
      <w:r>
        <w:rPr>
          <w:rFonts w:cstheme="minorHAnsi"/>
          <w:color w:val="000000"/>
          <w:kern w:val="30"/>
          <w:lang w:eastAsia="hr-HR"/>
        </w:rPr>
        <w:t xml:space="preserve"> te </w:t>
      </w:r>
      <w:r>
        <w:rPr>
          <w:rFonts w:cstheme="minorHAnsi"/>
        </w:rPr>
        <w:t>članka 39.  Statuta Općine Gornji Bogićevci  („Službeni glasnik Općine Gornji Bogićevci“ broj  2/21)</w:t>
      </w:r>
      <w:r>
        <w:rPr>
          <w:rFonts w:cstheme="minorHAnsi"/>
          <w:color w:val="000000"/>
          <w:kern w:val="30"/>
          <w:lang w:eastAsia="hr-HR"/>
        </w:rPr>
        <w:t xml:space="preserve"> OPĆINSKO VIJEĆE OPĆINE GORNJI BOGIĆEVCI  na 5. sjednici održanoj </w:t>
      </w:r>
      <w:r>
        <w:rPr>
          <w:rFonts w:cstheme="minorHAnsi"/>
          <w:color w:val="000000"/>
          <w:kern w:val="30"/>
          <w:lang w:val="en-US" w:eastAsia="hr-HR"/>
        </w:rPr>
        <w:t>22</w:t>
      </w:r>
      <w:r>
        <w:rPr>
          <w:rFonts w:cstheme="minorHAnsi"/>
          <w:color w:val="000000"/>
          <w:kern w:val="30"/>
          <w:lang w:eastAsia="hr-HR"/>
        </w:rPr>
        <w:t>.12.2025. godine, donijelo je</w:t>
      </w:r>
    </w:p>
    <w:p w:rsidR="00A66748" w:rsidRDefault="00A66748" w:rsidP="00A66748">
      <w:pPr>
        <w:jc w:val="center"/>
        <w:rPr>
          <w:rFonts w:ascii="Times New Roman" w:hAnsi="Times New Roman" w:cs="Times New Roman"/>
          <w:b/>
          <w:sz w:val="24"/>
          <w:szCs w:val="24"/>
        </w:rPr>
      </w:pPr>
      <w:r>
        <w:rPr>
          <w:rFonts w:ascii="Times New Roman" w:hAnsi="Times New Roman" w:cs="Times New Roman"/>
          <w:b/>
          <w:sz w:val="24"/>
          <w:szCs w:val="24"/>
        </w:rPr>
        <w:t xml:space="preserve">ODLUKU </w:t>
      </w:r>
    </w:p>
    <w:p w:rsidR="00A66748" w:rsidRDefault="00A66748" w:rsidP="00A66748">
      <w:pPr>
        <w:jc w:val="center"/>
        <w:rPr>
          <w:rFonts w:ascii="Times New Roman" w:hAnsi="Times New Roman" w:cs="Times New Roman"/>
          <w:b/>
          <w:sz w:val="24"/>
          <w:szCs w:val="24"/>
        </w:rPr>
      </w:pPr>
      <w:r>
        <w:rPr>
          <w:rFonts w:ascii="Times New Roman" w:hAnsi="Times New Roman" w:cs="Times New Roman"/>
          <w:b/>
          <w:sz w:val="24"/>
          <w:szCs w:val="24"/>
        </w:rPr>
        <w:t xml:space="preserve">o izmjenama Odluke o načinu pružanja javne usluge sakupljanja komunalnog otpada </w:t>
      </w:r>
    </w:p>
    <w:p w:rsidR="00A66748" w:rsidRDefault="00A66748" w:rsidP="00A66748">
      <w:pPr>
        <w:pStyle w:val="Naslov1"/>
        <w:spacing w:before="160"/>
        <w:ind w:left="105" w:right="102"/>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na području Općine Gornji Bogićevci</w:t>
      </w:r>
    </w:p>
    <w:p w:rsidR="00A66748" w:rsidRDefault="00A66748" w:rsidP="00A66748">
      <w:pPr>
        <w:pStyle w:val="Tijeloteksta"/>
        <w:rPr>
          <w:rFonts w:ascii="Times New Roman" w:hAnsi="Times New Roman" w:cs="Times New Roman"/>
          <w:b/>
          <w:sz w:val="24"/>
        </w:rPr>
      </w:pPr>
    </w:p>
    <w:p w:rsidR="00A66748" w:rsidRDefault="00A66748" w:rsidP="00A66748">
      <w:pPr>
        <w:pStyle w:val="Tijeloteksta"/>
        <w:spacing w:before="6"/>
        <w:jc w:val="center"/>
        <w:rPr>
          <w:rFonts w:ascii="Times New Roman" w:hAnsi="Times New Roman" w:cs="Times New Roman"/>
          <w:b/>
        </w:rPr>
      </w:pPr>
      <w:r>
        <w:rPr>
          <w:rFonts w:ascii="Times New Roman" w:hAnsi="Times New Roman" w:cs="Times New Roman"/>
          <w:b/>
        </w:rPr>
        <w:t>Članak 1.</w:t>
      </w:r>
    </w:p>
    <w:p w:rsidR="00A66748" w:rsidRDefault="00A66748" w:rsidP="00A66748">
      <w:pPr>
        <w:pStyle w:val="Tijeloteksta"/>
        <w:spacing w:before="10"/>
        <w:rPr>
          <w:rFonts w:asciiTheme="minorHAnsi" w:hAnsiTheme="minorHAnsi" w:cstheme="minorHAnsi"/>
          <w:b/>
        </w:rPr>
      </w:pPr>
    </w:p>
    <w:p w:rsidR="00A66748" w:rsidRDefault="00A66748" w:rsidP="00A66748">
      <w:pPr>
        <w:pStyle w:val="Odlomakpopisa"/>
        <w:numPr>
          <w:ilvl w:val="0"/>
          <w:numId w:val="97"/>
        </w:numPr>
        <w:suppressAutoHyphens/>
        <w:spacing w:after="0" w:line="240" w:lineRule="auto"/>
        <w:jc w:val="both"/>
        <w:rPr>
          <w:rFonts w:ascii="Calibri" w:hAnsi="Calibri" w:cs="Calibri"/>
          <w:bCs/>
        </w:rPr>
      </w:pPr>
      <w:r>
        <w:rPr>
          <w:rFonts w:ascii="Calibri" w:hAnsi="Calibri" w:cs="Calibri"/>
          <w:bCs/>
        </w:rPr>
        <w:lastRenderedPageBreak/>
        <w:t xml:space="preserve">  U Odluci o načinu pružanja javne usluge sakupljanja komunalnog otpada na području Općine Gornji Bogićevci („Službeni glasnik Općine Gornji Bogićevci" br. 1/22) članak 7. stavak 2.</w:t>
      </w:r>
      <w:r>
        <w:t xml:space="preserve"> </w:t>
      </w:r>
      <w:r>
        <w:rPr>
          <w:rFonts w:ascii="Calibri" w:hAnsi="Calibri" w:cs="Calibri"/>
          <w:bCs/>
        </w:rPr>
        <w:t xml:space="preserve">mijenja se i glasi: </w:t>
      </w:r>
    </w:p>
    <w:p w:rsidR="00A66748" w:rsidRDefault="00A66748" w:rsidP="00A66748">
      <w:pPr>
        <w:pStyle w:val="Odlomakpopisa"/>
        <w:widowControl w:val="0"/>
        <w:numPr>
          <w:ilvl w:val="0"/>
          <w:numId w:val="97"/>
        </w:numPr>
        <w:tabs>
          <w:tab w:val="left" w:pos="431"/>
        </w:tabs>
        <w:autoSpaceDE w:val="0"/>
        <w:autoSpaceDN w:val="0"/>
        <w:spacing w:before="121" w:after="0" w:line="240" w:lineRule="auto"/>
        <w:ind w:right="111"/>
        <w:contextualSpacing w:val="0"/>
        <w:jc w:val="both"/>
        <w:rPr>
          <w:color w:val="221F1F"/>
        </w:rPr>
      </w:pPr>
      <w:r>
        <w:t>Standardne veličine spremnika za sakupljanje miješanog komunalnog otpada i ostalih</w:t>
      </w:r>
      <w:r>
        <w:rPr>
          <w:spacing w:val="1"/>
        </w:rPr>
        <w:t xml:space="preserve"> </w:t>
      </w:r>
      <w:r>
        <w:t xml:space="preserve">vrsta otpada u okviru javne usluge na obračunskom mjestu korisnika javne usluge, na području Općine Gornji Bogićevci, jesu: 80 L, 120 L, 240 L, 1.100 i drugi. Navedeni </w:t>
      </w:r>
      <w:r>
        <w:rPr>
          <w:spacing w:val="-47"/>
        </w:rPr>
        <w:t xml:space="preserve"> </w:t>
      </w:r>
      <w:r>
        <w:t>standardni</w:t>
      </w:r>
      <w:r>
        <w:rPr>
          <w:spacing w:val="-1"/>
        </w:rPr>
        <w:t xml:space="preserve"> </w:t>
      </w:r>
      <w:r>
        <w:t>spremnici</w:t>
      </w:r>
      <w:r>
        <w:rPr>
          <w:spacing w:val="-3"/>
        </w:rPr>
        <w:t xml:space="preserve"> </w:t>
      </w:r>
      <w:r>
        <w:t>koriste</w:t>
      </w:r>
      <w:r>
        <w:rPr>
          <w:spacing w:val="1"/>
        </w:rPr>
        <w:t xml:space="preserve"> </w:t>
      </w:r>
      <w:r>
        <w:t>se</w:t>
      </w:r>
      <w:r>
        <w:rPr>
          <w:spacing w:val="1"/>
        </w:rPr>
        <w:t xml:space="preserve"> </w:t>
      </w:r>
      <w:r>
        <w:t>na</w:t>
      </w:r>
      <w:r>
        <w:rPr>
          <w:spacing w:val="-3"/>
        </w:rPr>
        <w:t xml:space="preserve"> </w:t>
      </w:r>
      <w:r>
        <w:t>sljedeći način:</w:t>
      </w:r>
    </w:p>
    <w:p w:rsidR="00A66748" w:rsidRDefault="00A66748" w:rsidP="00A66748">
      <w:pPr>
        <w:pStyle w:val="Odlomakpopisa"/>
        <w:widowControl w:val="0"/>
        <w:numPr>
          <w:ilvl w:val="1"/>
          <w:numId w:val="97"/>
        </w:numPr>
        <w:tabs>
          <w:tab w:val="left" w:pos="839"/>
        </w:tabs>
        <w:autoSpaceDE w:val="0"/>
        <w:autoSpaceDN w:val="0"/>
        <w:spacing w:after="0" w:line="240" w:lineRule="auto"/>
        <w:ind w:right="111"/>
        <w:contextualSpacing w:val="0"/>
        <w:jc w:val="both"/>
      </w:pPr>
      <w:r>
        <w:t>spremnici zapremine 80 L, 120 L i 240 L koriste se za sakupljanje komunalnog otpada kod svih kategorija</w:t>
      </w:r>
      <w:r>
        <w:rPr>
          <w:spacing w:val="-3"/>
        </w:rPr>
        <w:t xml:space="preserve"> </w:t>
      </w:r>
      <w:r>
        <w:t>korisnika;</w:t>
      </w:r>
    </w:p>
    <w:p w:rsidR="00A66748" w:rsidRDefault="00A66748" w:rsidP="00A66748">
      <w:pPr>
        <w:pStyle w:val="Odlomakpopisa"/>
        <w:widowControl w:val="0"/>
        <w:numPr>
          <w:ilvl w:val="1"/>
          <w:numId w:val="97"/>
        </w:numPr>
        <w:tabs>
          <w:tab w:val="left" w:pos="839"/>
        </w:tabs>
        <w:autoSpaceDE w:val="0"/>
        <w:autoSpaceDN w:val="0"/>
        <w:spacing w:before="3" w:after="0" w:line="235" w:lineRule="auto"/>
        <w:ind w:right="115"/>
        <w:contextualSpacing w:val="0"/>
        <w:jc w:val="both"/>
      </w:pPr>
      <w:r>
        <w:t>vrećica zapremine 120 L koristi se za sakupljanje komunalnog otpada od korisnika kategorije</w:t>
      </w:r>
      <w:r>
        <w:rPr>
          <w:spacing w:val="1"/>
        </w:rPr>
        <w:t xml:space="preserve"> </w:t>
      </w:r>
      <w:r>
        <w:t>kućanstvo,</w:t>
      </w:r>
      <w:r>
        <w:rPr>
          <w:spacing w:val="-1"/>
        </w:rPr>
        <w:t xml:space="preserve"> </w:t>
      </w:r>
      <w:r>
        <w:t>potkategorija</w:t>
      </w:r>
      <w:r>
        <w:rPr>
          <w:spacing w:val="-1"/>
        </w:rPr>
        <w:t xml:space="preserve"> </w:t>
      </w:r>
      <w:r>
        <w:t>a.</w:t>
      </w:r>
      <w:r>
        <w:rPr>
          <w:spacing w:val="-3"/>
        </w:rPr>
        <w:t xml:space="preserve"> </w:t>
      </w:r>
      <w:r>
        <w:t>obiteljske</w:t>
      </w:r>
      <w:r>
        <w:rPr>
          <w:spacing w:val="-2"/>
        </w:rPr>
        <w:t xml:space="preserve"> </w:t>
      </w:r>
      <w:r>
        <w:t>kuće i za korisnike kategorije koji nije kućanstvo;</w:t>
      </w:r>
    </w:p>
    <w:p w:rsidR="00A66748" w:rsidRDefault="00A66748" w:rsidP="00A66748">
      <w:pPr>
        <w:pStyle w:val="Odlomakpopisa"/>
        <w:widowControl w:val="0"/>
        <w:numPr>
          <w:ilvl w:val="1"/>
          <w:numId w:val="97"/>
        </w:numPr>
        <w:tabs>
          <w:tab w:val="left" w:pos="839"/>
        </w:tabs>
        <w:autoSpaceDE w:val="0"/>
        <w:autoSpaceDN w:val="0"/>
        <w:spacing w:before="3" w:after="0" w:line="235" w:lineRule="auto"/>
        <w:ind w:right="115"/>
        <w:contextualSpacing w:val="0"/>
        <w:jc w:val="both"/>
      </w:pPr>
      <w:r>
        <w:t>spremnici zapremine 1.100 L koriste se sakupljanje komunalnog otpada kod korisnika</w:t>
      </w:r>
      <w:r>
        <w:rPr>
          <w:spacing w:val="-1"/>
        </w:rPr>
        <w:t xml:space="preserve"> </w:t>
      </w:r>
      <w:r>
        <w:t>kategorije</w:t>
      </w:r>
      <w:r>
        <w:rPr>
          <w:spacing w:val="1"/>
        </w:rPr>
        <w:t xml:space="preserve"> </w:t>
      </w:r>
      <w:r>
        <w:t>kućanstvo, potkategorija</w:t>
      </w:r>
      <w:r>
        <w:rPr>
          <w:spacing w:val="-1"/>
        </w:rPr>
        <w:t xml:space="preserve"> </w:t>
      </w:r>
      <w:r>
        <w:t>b.</w:t>
      </w:r>
      <w:r>
        <w:rPr>
          <w:spacing w:val="1"/>
        </w:rPr>
        <w:t xml:space="preserve"> </w:t>
      </w:r>
      <w:r>
        <w:t>stambene</w:t>
      </w:r>
      <w:r>
        <w:rPr>
          <w:spacing w:val="1"/>
        </w:rPr>
        <w:t xml:space="preserve"> </w:t>
      </w:r>
      <w:r>
        <w:t>zgrade i za korisnike kategorije koji nije kućanstvo;</w:t>
      </w:r>
    </w:p>
    <w:p w:rsidR="00A66748" w:rsidRDefault="00A66748" w:rsidP="00A66748">
      <w:pPr>
        <w:pStyle w:val="Odlomakpopisa"/>
        <w:widowControl w:val="0"/>
        <w:numPr>
          <w:ilvl w:val="1"/>
          <w:numId w:val="97"/>
        </w:numPr>
        <w:tabs>
          <w:tab w:val="left" w:pos="839"/>
        </w:tabs>
        <w:autoSpaceDE w:val="0"/>
        <w:autoSpaceDN w:val="0"/>
        <w:spacing w:before="3" w:after="0" w:line="235" w:lineRule="auto"/>
        <w:ind w:right="115"/>
        <w:contextualSpacing w:val="0"/>
        <w:jc w:val="both"/>
      </w:pPr>
      <w:r>
        <w:rPr>
          <w:rFonts w:ascii="Calibri" w:hAnsi="Calibri" w:cs="Calibri"/>
          <w:bCs/>
        </w:rPr>
        <w:t>drugi spremnici koje davatelj javne usluge može ponuditi korisniku javne usluge koriste se za sakupljanje komunalnog otpada kod korisnika koji nije kućanstvo, a kod korisnika kategorije kućanstvo samo u slučaju iznimne potrebe, u dogovoru između korisnika javne usluge i davatelja javne usluge i naplatu prema Cjeniku davatelja javne usluge;</w:t>
      </w:r>
    </w:p>
    <w:p w:rsidR="00A66748" w:rsidRDefault="00A66748" w:rsidP="00A66748">
      <w:pPr>
        <w:pStyle w:val="Odlomakpopisa"/>
        <w:widowControl w:val="0"/>
        <w:numPr>
          <w:ilvl w:val="1"/>
          <w:numId w:val="97"/>
        </w:numPr>
        <w:tabs>
          <w:tab w:val="left" w:pos="839"/>
        </w:tabs>
        <w:autoSpaceDE w:val="0"/>
        <w:autoSpaceDN w:val="0"/>
        <w:spacing w:before="3" w:after="0" w:line="235" w:lineRule="auto"/>
        <w:ind w:right="115"/>
        <w:contextualSpacing w:val="0"/>
        <w:jc w:val="both"/>
      </w:pPr>
      <w:r>
        <w:rPr>
          <w:rFonts w:ascii="Calibri" w:hAnsi="Calibri" w:cs="Calibri"/>
          <w:bCs/>
        </w:rPr>
        <w:t>u okviru javne usluge korisnik može imati najviše jedan spremnik odgovarajuće zapremine za svaku pojedinu vrstu otpada, osim kod korisnika kategorije kućanstvo, potkategorija b. stambene zgrade ili korisnike kategorije koji nije kućanstvo, ili ako je ugovorom drukčije određeno.“</w:t>
      </w:r>
    </w:p>
    <w:p w:rsidR="00A66748" w:rsidRDefault="00A66748" w:rsidP="00A66748">
      <w:pPr>
        <w:widowControl w:val="0"/>
        <w:tabs>
          <w:tab w:val="left" w:pos="839"/>
        </w:tabs>
        <w:autoSpaceDE w:val="0"/>
        <w:autoSpaceDN w:val="0"/>
        <w:spacing w:before="3" w:line="235" w:lineRule="auto"/>
        <w:ind w:left="478" w:right="115"/>
        <w:jc w:val="both"/>
      </w:pPr>
    </w:p>
    <w:p w:rsidR="00A66748" w:rsidRDefault="00A66748" w:rsidP="00A66748">
      <w:pPr>
        <w:widowControl w:val="0"/>
        <w:tabs>
          <w:tab w:val="left" w:pos="839"/>
        </w:tabs>
        <w:autoSpaceDE w:val="0"/>
        <w:autoSpaceDN w:val="0"/>
        <w:spacing w:before="3" w:line="235" w:lineRule="auto"/>
        <w:ind w:left="478" w:right="115"/>
        <w:jc w:val="center"/>
        <w:rPr>
          <w:rFonts w:ascii="Times New Roman" w:hAnsi="Times New Roman" w:cs="Times New Roman"/>
          <w:b/>
        </w:rPr>
      </w:pPr>
      <w:r>
        <w:rPr>
          <w:rFonts w:ascii="Times New Roman" w:hAnsi="Times New Roman" w:cs="Times New Roman"/>
          <w:b/>
        </w:rPr>
        <w:t>Članak 2.</w:t>
      </w:r>
    </w:p>
    <w:p w:rsidR="00A66748" w:rsidRDefault="00A66748" w:rsidP="00A66748">
      <w:pPr>
        <w:ind w:firstLine="708"/>
        <w:rPr>
          <w:rFonts w:ascii="Times New Roman" w:hAnsi="Times New Roman" w:cs="Times New Roman"/>
          <w:bCs/>
          <w:sz w:val="24"/>
          <w:szCs w:val="24"/>
        </w:rPr>
      </w:pPr>
      <w:r>
        <w:rPr>
          <w:rFonts w:ascii="Times New Roman" w:hAnsi="Times New Roman" w:cs="Times New Roman"/>
          <w:bCs/>
          <w:sz w:val="24"/>
          <w:szCs w:val="24"/>
        </w:rPr>
        <w:t>Članak 22. mijenja se i glasi:</w:t>
      </w:r>
    </w:p>
    <w:p w:rsidR="00A66748" w:rsidRDefault="00A66748" w:rsidP="00A66748">
      <w:pPr>
        <w:pStyle w:val="Odlomakpopisa"/>
        <w:numPr>
          <w:ilvl w:val="0"/>
          <w:numId w:val="98"/>
        </w:numPr>
        <w:tabs>
          <w:tab w:val="left" w:pos="445"/>
        </w:tabs>
        <w:spacing w:before="39" w:after="0" w:line="240" w:lineRule="auto"/>
        <w:ind w:right="112" w:firstLine="0"/>
        <w:contextualSpacing w:val="0"/>
        <w:jc w:val="both"/>
        <w:rPr>
          <w:color w:val="221F1F"/>
        </w:rPr>
      </w:pPr>
      <w:r>
        <w:rPr>
          <w:color w:val="221F1F"/>
        </w:rPr>
        <w:t xml:space="preserve">Strukturu cijene javne usluge čini: cijena obvezne minimalne javne usluge </w:t>
      </w:r>
      <w:r>
        <w:rPr>
          <w:b/>
          <w:color w:val="221F1F"/>
        </w:rPr>
        <w:t xml:space="preserve">(MJU) </w:t>
      </w:r>
      <w:r>
        <w:rPr>
          <w:color w:val="221F1F"/>
        </w:rPr>
        <w:t>i cijena javne</w:t>
      </w:r>
      <w:r>
        <w:rPr>
          <w:color w:val="221F1F"/>
          <w:spacing w:val="1"/>
        </w:rPr>
        <w:t xml:space="preserve"> </w:t>
      </w:r>
      <w:r>
        <w:rPr>
          <w:color w:val="221F1F"/>
        </w:rPr>
        <w:t>usluge za</w:t>
      </w:r>
      <w:r>
        <w:rPr>
          <w:color w:val="221F1F"/>
          <w:spacing w:val="-1"/>
        </w:rPr>
        <w:t xml:space="preserve"> </w:t>
      </w:r>
      <w:r>
        <w:rPr>
          <w:color w:val="221F1F"/>
        </w:rPr>
        <w:t>količinu</w:t>
      </w:r>
      <w:r>
        <w:rPr>
          <w:color w:val="221F1F"/>
          <w:spacing w:val="-1"/>
        </w:rPr>
        <w:t xml:space="preserve"> </w:t>
      </w:r>
      <w:r>
        <w:rPr>
          <w:color w:val="221F1F"/>
        </w:rPr>
        <w:t>predanog miješanog</w:t>
      </w:r>
      <w:r>
        <w:rPr>
          <w:color w:val="221F1F"/>
          <w:spacing w:val="-1"/>
        </w:rPr>
        <w:t xml:space="preserve"> </w:t>
      </w:r>
      <w:r>
        <w:rPr>
          <w:color w:val="221F1F"/>
        </w:rPr>
        <w:t>komunalnog</w:t>
      </w:r>
      <w:r>
        <w:rPr>
          <w:color w:val="221F1F"/>
          <w:spacing w:val="-3"/>
        </w:rPr>
        <w:t xml:space="preserve"> </w:t>
      </w:r>
      <w:r>
        <w:rPr>
          <w:color w:val="221F1F"/>
        </w:rPr>
        <w:t xml:space="preserve">otpada </w:t>
      </w:r>
      <w:r>
        <w:rPr>
          <w:b/>
          <w:color w:val="221F1F"/>
        </w:rPr>
        <w:t>(C)</w:t>
      </w:r>
      <w:r>
        <w:rPr>
          <w:color w:val="221F1F"/>
        </w:rPr>
        <w:t>,</w:t>
      </w:r>
      <w:r>
        <w:rPr>
          <w:color w:val="221F1F"/>
          <w:spacing w:val="-1"/>
        </w:rPr>
        <w:t xml:space="preserve"> </w:t>
      </w:r>
      <w:r>
        <w:rPr>
          <w:color w:val="221F1F"/>
        </w:rPr>
        <w:t>a</w:t>
      </w:r>
      <w:r>
        <w:rPr>
          <w:color w:val="221F1F"/>
          <w:spacing w:val="-3"/>
        </w:rPr>
        <w:t xml:space="preserve"> </w:t>
      </w:r>
      <w:r>
        <w:rPr>
          <w:color w:val="221F1F"/>
        </w:rPr>
        <w:t>određuje</w:t>
      </w:r>
      <w:r>
        <w:rPr>
          <w:color w:val="221F1F"/>
          <w:spacing w:val="-2"/>
        </w:rPr>
        <w:t xml:space="preserve"> </w:t>
      </w:r>
      <w:r>
        <w:rPr>
          <w:color w:val="221F1F"/>
        </w:rPr>
        <w:t>se prema</w:t>
      </w:r>
      <w:r>
        <w:rPr>
          <w:color w:val="221F1F"/>
          <w:spacing w:val="-2"/>
        </w:rPr>
        <w:t xml:space="preserve"> </w:t>
      </w:r>
      <w:r>
        <w:rPr>
          <w:color w:val="221F1F"/>
        </w:rPr>
        <w:t>izrazu:</w:t>
      </w:r>
    </w:p>
    <w:p w:rsidR="00A66748" w:rsidRDefault="00A66748" w:rsidP="00A66748">
      <w:pPr>
        <w:spacing w:before="120"/>
        <w:ind w:left="105" w:right="105"/>
        <w:jc w:val="center"/>
        <w:rPr>
          <w:rFonts w:ascii="Times New Roman" w:hAnsi="Times New Roman" w:cs="Times New Roman"/>
          <w:b/>
          <w:sz w:val="24"/>
          <w:szCs w:val="24"/>
        </w:rPr>
      </w:pPr>
      <w:r>
        <w:rPr>
          <w:rFonts w:ascii="Times New Roman" w:hAnsi="Times New Roman" w:cs="Times New Roman"/>
          <w:b/>
          <w:color w:val="221F1F"/>
          <w:sz w:val="24"/>
          <w:szCs w:val="24"/>
        </w:rPr>
        <w:t>CJU</w:t>
      </w:r>
      <w:r>
        <w:rPr>
          <w:rFonts w:ascii="Times New Roman" w:hAnsi="Times New Roman" w:cs="Times New Roman"/>
          <w:b/>
          <w:color w:val="221F1F"/>
          <w:spacing w:val="-1"/>
          <w:sz w:val="24"/>
          <w:szCs w:val="24"/>
        </w:rPr>
        <w:t xml:space="preserve"> </w:t>
      </w:r>
      <w:r>
        <w:rPr>
          <w:rFonts w:ascii="Times New Roman" w:hAnsi="Times New Roman" w:cs="Times New Roman"/>
          <w:b/>
          <w:color w:val="221F1F"/>
          <w:sz w:val="24"/>
          <w:szCs w:val="24"/>
        </w:rPr>
        <w:t>= MJU +</w:t>
      </w:r>
      <w:r>
        <w:rPr>
          <w:rFonts w:ascii="Times New Roman" w:hAnsi="Times New Roman" w:cs="Times New Roman"/>
          <w:b/>
          <w:color w:val="221F1F"/>
          <w:spacing w:val="-2"/>
          <w:sz w:val="24"/>
          <w:szCs w:val="24"/>
        </w:rPr>
        <w:t xml:space="preserve"> </w:t>
      </w:r>
      <w:r>
        <w:rPr>
          <w:rFonts w:ascii="Times New Roman" w:hAnsi="Times New Roman" w:cs="Times New Roman"/>
          <w:b/>
          <w:color w:val="221F1F"/>
          <w:sz w:val="24"/>
          <w:szCs w:val="24"/>
        </w:rPr>
        <w:t>C</w:t>
      </w:r>
    </w:p>
    <w:p w:rsidR="00A66748" w:rsidRDefault="00A66748" w:rsidP="00A66748">
      <w:pPr>
        <w:pStyle w:val="Tijeloteksta"/>
        <w:spacing w:before="121"/>
        <w:ind w:right="116"/>
        <w:rPr>
          <w:rFonts w:ascii="Times New Roman" w:hAnsi="Times New Roman" w:cs="Times New Roman"/>
          <w:sz w:val="24"/>
        </w:rPr>
      </w:pPr>
      <w:r>
        <w:rPr>
          <w:rFonts w:ascii="Times New Roman" w:hAnsi="Times New Roman" w:cs="Times New Roman"/>
          <w:color w:val="221F1F"/>
          <w:sz w:val="24"/>
        </w:rPr>
        <w:t>Korisnik javne usluge dužan je platiti davatelju usluge iznos cijene za obračunsko mjesto i obračunsko</w:t>
      </w:r>
      <w:r>
        <w:rPr>
          <w:rFonts w:ascii="Times New Roman" w:hAnsi="Times New Roman" w:cs="Times New Roman"/>
          <w:color w:val="221F1F"/>
          <w:spacing w:val="1"/>
          <w:sz w:val="24"/>
        </w:rPr>
        <w:t xml:space="preserve"> </w:t>
      </w:r>
      <w:r>
        <w:rPr>
          <w:rFonts w:ascii="Times New Roman" w:hAnsi="Times New Roman" w:cs="Times New Roman"/>
          <w:color w:val="221F1F"/>
          <w:sz w:val="24"/>
        </w:rPr>
        <w:t>razdoblje, osim ako je riječ o obračunskom mjestu na kojem se nekretnina trajno ne koristi u smislu</w:t>
      </w:r>
      <w:r>
        <w:rPr>
          <w:rFonts w:ascii="Times New Roman" w:hAnsi="Times New Roman" w:cs="Times New Roman"/>
          <w:color w:val="221F1F"/>
          <w:spacing w:val="1"/>
          <w:sz w:val="24"/>
        </w:rPr>
        <w:t xml:space="preserve"> </w:t>
      </w:r>
      <w:r>
        <w:rPr>
          <w:rFonts w:ascii="Times New Roman" w:hAnsi="Times New Roman" w:cs="Times New Roman"/>
          <w:color w:val="221F1F"/>
          <w:sz w:val="24"/>
        </w:rPr>
        <w:t>članka</w:t>
      </w:r>
      <w:r>
        <w:rPr>
          <w:rFonts w:ascii="Times New Roman" w:hAnsi="Times New Roman" w:cs="Times New Roman"/>
          <w:color w:val="221F1F"/>
          <w:spacing w:val="-1"/>
          <w:sz w:val="24"/>
        </w:rPr>
        <w:t xml:space="preserve"> </w:t>
      </w:r>
      <w:r>
        <w:rPr>
          <w:rFonts w:ascii="Times New Roman" w:hAnsi="Times New Roman" w:cs="Times New Roman"/>
          <w:color w:val="221F1F"/>
          <w:sz w:val="24"/>
        </w:rPr>
        <w:t>71.</w:t>
      </w:r>
      <w:r>
        <w:rPr>
          <w:rFonts w:ascii="Times New Roman" w:hAnsi="Times New Roman" w:cs="Times New Roman"/>
          <w:color w:val="221F1F"/>
          <w:spacing w:val="-1"/>
          <w:sz w:val="24"/>
        </w:rPr>
        <w:t xml:space="preserve"> </w:t>
      </w:r>
      <w:r>
        <w:rPr>
          <w:rFonts w:ascii="Times New Roman" w:hAnsi="Times New Roman" w:cs="Times New Roman"/>
          <w:color w:val="221F1F"/>
          <w:sz w:val="24"/>
        </w:rPr>
        <w:t>Zakona.</w:t>
      </w:r>
    </w:p>
    <w:p w:rsidR="00A66748" w:rsidRDefault="00A66748" w:rsidP="00A66748">
      <w:pPr>
        <w:pStyle w:val="Odlomakpopisa"/>
        <w:numPr>
          <w:ilvl w:val="0"/>
          <w:numId w:val="98"/>
        </w:numPr>
        <w:tabs>
          <w:tab w:val="left" w:pos="431"/>
        </w:tabs>
        <w:spacing w:before="120" w:after="0" w:line="240" w:lineRule="auto"/>
        <w:ind w:right="112" w:firstLine="0"/>
        <w:contextualSpacing w:val="0"/>
        <w:jc w:val="both"/>
        <w:rPr>
          <w:color w:val="221F1F"/>
        </w:rPr>
      </w:pPr>
      <w:r>
        <w:rPr>
          <w:color w:val="221F1F"/>
        </w:rPr>
        <w:t>Cijena obvezne minimalne javne usluge pokriva troškove javne usluge koju je potrebno osigurati</w:t>
      </w:r>
      <w:r>
        <w:rPr>
          <w:color w:val="221F1F"/>
          <w:spacing w:val="1"/>
        </w:rPr>
        <w:t xml:space="preserve"> </w:t>
      </w:r>
      <w:r>
        <w:rPr>
          <w:color w:val="221F1F"/>
        </w:rPr>
        <w:t>kako bi sustav sakupljanja komunalnog otpada mogao ispuniti svoju svrhu poštujući pritom obvezu o</w:t>
      </w:r>
      <w:r>
        <w:rPr>
          <w:color w:val="221F1F"/>
          <w:spacing w:val="1"/>
        </w:rPr>
        <w:t xml:space="preserve"> </w:t>
      </w:r>
      <w:r>
        <w:rPr>
          <w:color w:val="221F1F"/>
        </w:rPr>
        <w:t>osiguranju primjene načela »onečišćivač plaća«, načela ekonomski održivog poslovanja te sigurnosti,</w:t>
      </w:r>
      <w:r>
        <w:rPr>
          <w:color w:val="221F1F"/>
          <w:spacing w:val="1"/>
        </w:rPr>
        <w:t xml:space="preserve"> </w:t>
      </w:r>
      <w:r>
        <w:rPr>
          <w:color w:val="221F1F"/>
        </w:rPr>
        <w:t>redovitosti</w:t>
      </w:r>
      <w:r>
        <w:rPr>
          <w:color w:val="221F1F"/>
          <w:spacing w:val="-1"/>
        </w:rPr>
        <w:t xml:space="preserve"> </w:t>
      </w:r>
      <w:r>
        <w:rPr>
          <w:color w:val="221F1F"/>
        </w:rPr>
        <w:t>i</w:t>
      </w:r>
      <w:r>
        <w:rPr>
          <w:color w:val="221F1F"/>
          <w:spacing w:val="-3"/>
        </w:rPr>
        <w:t xml:space="preserve"> </w:t>
      </w:r>
      <w:r>
        <w:rPr>
          <w:color w:val="221F1F"/>
        </w:rPr>
        <w:t>kvalitete</w:t>
      </w:r>
      <w:r>
        <w:rPr>
          <w:color w:val="221F1F"/>
          <w:spacing w:val="1"/>
        </w:rPr>
        <w:t xml:space="preserve"> </w:t>
      </w:r>
      <w:r>
        <w:rPr>
          <w:color w:val="221F1F"/>
        </w:rPr>
        <w:t>pružanja</w:t>
      </w:r>
      <w:r>
        <w:rPr>
          <w:color w:val="221F1F"/>
          <w:spacing w:val="-1"/>
        </w:rPr>
        <w:t xml:space="preserve"> </w:t>
      </w:r>
      <w:r>
        <w:rPr>
          <w:color w:val="221F1F"/>
        </w:rPr>
        <w:t>javne</w:t>
      </w:r>
      <w:r>
        <w:rPr>
          <w:color w:val="221F1F"/>
          <w:spacing w:val="-3"/>
        </w:rPr>
        <w:t xml:space="preserve"> </w:t>
      </w:r>
      <w:r>
        <w:rPr>
          <w:color w:val="221F1F"/>
        </w:rPr>
        <w:t>usluge</w:t>
      </w:r>
      <w:r>
        <w:rPr>
          <w:color w:val="221F1F"/>
          <w:spacing w:val="2"/>
        </w:rPr>
        <w:t xml:space="preserve"> </w:t>
      </w:r>
      <w:r>
        <w:rPr>
          <w:color w:val="221F1F"/>
        </w:rPr>
        <w:t>sukladno</w:t>
      </w:r>
      <w:r>
        <w:rPr>
          <w:color w:val="221F1F"/>
          <w:spacing w:val="-3"/>
        </w:rPr>
        <w:t xml:space="preserve"> </w:t>
      </w:r>
      <w:r>
        <w:rPr>
          <w:color w:val="221F1F"/>
        </w:rPr>
        <w:t>Zakonu,</w:t>
      </w:r>
      <w:r>
        <w:rPr>
          <w:color w:val="221F1F"/>
          <w:spacing w:val="-3"/>
        </w:rPr>
        <w:t xml:space="preserve"> </w:t>
      </w:r>
      <w:r>
        <w:rPr>
          <w:color w:val="221F1F"/>
        </w:rPr>
        <w:t>ovoj</w:t>
      </w:r>
      <w:r>
        <w:rPr>
          <w:color w:val="221F1F"/>
          <w:spacing w:val="-2"/>
        </w:rPr>
        <w:t xml:space="preserve"> </w:t>
      </w:r>
      <w:r>
        <w:rPr>
          <w:color w:val="221F1F"/>
        </w:rPr>
        <w:t>Odluci</w:t>
      </w:r>
      <w:r>
        <w:rPr>
          <w:color w:val="221F1F"/>
          <w:spacing w:val="-1"/>
        </w:rPr>
        <w:t xml:space="preserve"> </w:t>
      </w:r>
      <w:r>
        <w:rPr>
          <w:color w:val="221F1F"/>
        </w:rPr>
        <w:t>i</w:t>
      </w:r>
      <w:r>
        <w:rPr>
          <w:color w:val="221F1F"/>
          <w:spacing w:val="-1"/>
        </w:rPr>
        <w:t xml:space="preserve"> </w:t>
      </w:r>
      <w:r>
        <w:rPr>
          <w:color w:val="221F1F"/>
        </w:rPr>
        <w:t>drugim</w:t>
      </w:r>
      <w:r>
        <w:rPr>
          <w:color w:val="221F1F"/>
          <w:spacing w:val="-2"/>
        </w:rPr>
        <w:t xml:space="preserve"> </w:t>
      </w:r>
      <w:r>
        <w:rPr>
          <w:color w:val="221F1F"/>
        </w:rPr>
        <w:t>propisima.</w:t>
      </w:r>
    </w:p>
    <w:p w:rsidR="00A66748" w:rsidRDefault="00A66748" w:rsidP="00A66748">
      <w:pPr>
        <w:pStyle w:val="Odlomakpopisa"/>
        <w:numPr>
          <w:ilvl w:val="0"/>
          <w:numId w:val="98"/>
        </w:numPr>
        <w:tabs>
          <w:tab w:val="left" w:pos="436"/>
        </w:tabs>
        <w:spacing w:before="120" w:after="0" w:line="240" w:lineRule="auto"/>
        <w:ind w:right="114" w:firstLine="0"/>
        <w:contextualSpacing w:val="0"/>
        <w:jc w:val="both"/>
      </w:pPr>
      <w:r>
        <w:t>Cijena obvezne minimalne javne usluge za korisnika kategorije kućanstvo jedinstvena je na čitavom području primjene</w:t>
      </w:r>
      <w:r>
        <w:rPr>
          <w:spacing w:val="-2"/>
        </w:rPr>
        <w:t xml:space="preserve"> </w:t>
      </w:r>
      <w:r>
        <w:t>ove</w:t>
      </w:r>
      <w:r>
        <w:rPr>
          <w:spacing w:val="1"/>
        </w:rPr>
        <w:t xml:space="preserve"> </w:t>
      </w:r>
      <w:r>
        <w:t>Odluke,</w:t>
      </w:r>
      <w:r>
        <w:rPr>
          <w:spacing w:val="-3"/>
        </w:rPr>
        <w:t xml:space="preserve"> </w:t>
      </w:r>
      <w:r>
        <w:t>a iznosi:</w:t>
      </w:r>
    </w:p>
    <w:p w:rsidR="00A66748" w:rsidRDefault="00A66748" w:rsidP="00A66748">
      <w:pPr>
        <w:pStyle w:val="Naslov1"/>
        <w:spacing w:before="120"/>
        <w:ind w:left="1853"/>
        <w:rPr>
          <w:rFonts w:ascii="Times New Roman" w:hAnsi="Times New Roman" w:cs="Times New Roman"/>
          <w:sz w:val="24"/>
          <w:szCs w:val="24"/>
        </w:rPr>
      </w:pPr>
      <w:r>
        <w:rPr>
          <w:rFonts w:ascii="Times New Roman" w:hAnsi="Times New Roman" w:cs="Times New Roman"/>
          <w:sz w:val="24"/>
          <w:szCs w:val="24"/>
        </w:rPr>
        <w:t>13,70 € (slovima: trinaest eura i sedamdeset centi) mjesečno,</w:t>
      </w:r>
      <w:r>
        <w:rPr>
          <w:rFonts w:ascii="Times New Roman" w:hAnsi="Times New Roman" w:cs="Times New Roman"/>
          <w:spacing w:val="-4"/>
          <w:sz w:val="24"/>
          <w:szCs w:val="24"/>
        </w:rPr>
        <w:t xml:space="preserve"> </w:t>
      </w:r>
      <w:r>
        <w:rPr>
          <w:rFonts w:ascii="Times New Roman" w:hAnsi="Times New Roman" w:cs="Times New Roman"/>
          <w:sz w:val="24"/>
          <w:szCs w:val="24"/>
        </w:rPr>
        <w:t>bez</w:t>
      </w:r>
      <w:r>
        <w:rPr>
          <w:rFonts w:ascii="Times New Roman" w:hAnsi="Times New Roman" w:cs="Times New Roman"/>
          <w:spacing w:val="-2"/>
          <w:sz w:val="24"/>
          <w:szCs w:val="24"/>
        </w:rPr>
        <w:t xml:space="preserve"> </w:t>
      </w:r>
      <w:r>
        <w:rPr>
          <w:rFonts w:ascii="Times New Roman" w:hAnsi="Times New Roman" w:cs="Times New Roman"/>
          <w:sz w:val="24"/>
          <w:szCs w:val="24"/>
        </w:rPr>
        <w:t>PDV-a.</w:t>
      </w:r>
    </w:p>
    <w:p w:rsidR="00A66748" w:rsidRDefault="00A66748" w:rsidP="00A66748">
      <w:pPr>
        <w:pStyle w:val="Tijeloteksta"/>
        <w:spacing w:before="120"/>
        <w:ind w:right="113"/>
        <w:rPr>
          <w:rFonts w:ascii="Times New Roman" w:hAnsi="Times New Roman" w:cs="Times New Roman"/>
          <w:sz w:val="24"/>
        </w:rPr>
      </w:pPr>
      <w:r>
        <w:rPr>
          <w:rFonts w:ascii="Times New Roman" w:hAnsi="Times New Roman" w:cs="Times New Roman"/>
          <w:color w:val="221F1F"/>
          <w:sz w:val="24"/>
        </w:rPr>
        <w:t xml:space="preserve">Cijena obvezne minimalne javne usluge za korisnika koji nije kućanstvo jedinstvena </w:t>
      </w:r>
      <w:r>
        <w:rPr>
          <w:rFonts w:ascii="Times New Roman" w:hAnsi="Times New Roman" w:cs="Times New Roman"/>
          <w:sz w:val="24"/>
        </w:rPr>
        <w:t>je na čitavom</w:t>
      </w:r>
      <w:r>
        <w:rPr>
          <w:rFonts w:ascii="Times New Roman" w:hAnsi="Times New Roman" w:cs="Times New Roman"/>
          <w:spacing w:val="1"/>
          <w:sz w:val="24"/>
        </w:rPr>
        <w:t xml:space="preserve"> </w:t>
      </w:r>
      <w:r>
        <w:rPr>
          <w:rFonts w:ascii="Times New Roman" w:hAnsi="Times New Roman" w:cs="Times New Roman"/>
          <w:sz w:val="24"/>
        </w:rPr>
        <w:t>području</w:t>
      </w:r>
      <w:r>
        <w:rPr>
          <w:rFonts w:ascii="Times New Roman" w:hAnsi="Times New Roman" w:cs="Times New Roman"/>
          <w:spacing w:val="-1"/>
          <w:sz w:val="24"/>
        </w:rPr>
        <w:t xml:space="preserve"> </w:t>
      </w:r>
      <w:r>
        <w:rPr>
          <w:rFonts w:ascii="Times New Roman" w:hAnsi="Times New Roman" w:cs="Times New Roman"/>
          <w:sz w:val="24"/>
        </w:rPr>
        <w:t>primjene</w:t>
      </w:r>
      <w:r>
        <w:rPr>
          <w:rFonts w:ascii="Times New Roman" w:hAnsi="Times New Roman" w:cs="Times New Roman"/>
          <w:spacing w:val="-2"/>
          <w:sz w:val="24"/>
        </w:rPr>
        <w:t xml:space="preserve"> </w:t>
      </w:r>
      <w:r>
        <w:rPr>
          <w:rFonts w:ascii="Times New Roman" w:hAnsi="Times New Roman" w:cs="Times New Roman"/>
          <w:sz w:val="24"/>
        </w:rPr>
        <w:t>ove</w:t>
      </w:r>
      <w:r>
        <w:rPr>
          <w:rFonts w:ascii="Times New Roman" w:hAnsi="Times New Roman" w:cs="Times New Roman"/>
          <w:spacing w:val="1"/>
          <w:sz w:val="24"/>
        </w:rPr>
        <w:t xml:space="preserve"> </w:t>
      </w:r>
      <w:r>
        <w:rPr>
          <w:rFonts w:ascii="Times New Roman" w:hAnsi="Times New Roman" w:cs="Times New Roman"/>
          <w:sz w:val="24"/>
        </w:rPr>
        <w:t>Odluke, a iznosi:</w:t>
      </w:r>
    </w:p>
    <w:p w:rsidR="00A66748" w:rsidRDefault="00A66748" w:rsidP="00A66748">
      <w:pPr>
        <w:spacing w:before="121"/>
        <w:ind w:left="1873"/>
        <w:rPr>
          <w:rFonts w:ascii="Times New Roman" w:hAnsi="Times New Roman" w:cs="Times New Roman"/>
          <w:b/>
          <w:sz w:val="24"/>
          <w:szCs w:val="24"/>
        </w:rPr>
      </w:pPr>
      <w:r>
        <w:rPr>
          <w:rFonts w:ascii="Times New Roman" w:hAnsi="Times New Roman" w:cs="Times New Roman"/>
          <w:b/>
          <w:sz w:val="24"/>
          <w:szCs w:val="24"/>
        </w:rPr>
        <w:t>22,00 € (slovima: dvadeset i dva eura) mjesečno,</w:t>
      </w:r>
      <w:r>
        <w:rPr>
          <w:rFonts w:ascii="Times New Roman" w:hAnsi="Times New Roman" w:cs="Times New Roman"/>
          <w:b/>
          <w:spacing w:val="-2"/>
          <w:sz w:val="24"/>
          <w:szCs w:val="24"/>
        </w:rPr>
        <w:t xml:space="preserve"> </w:t>
      </w:r>
      <w:r>
        <w:rPr>
          <w:rFonts w:ascii="Times New Roman" w:hAnsi="Times New Roman" w:cs="Times New Roman"/>
          <w:b/>
          <w:sz w:val="24"/>
          <w:szCs w:val="24"/>
        </w:rPr>
        <w:t>bez</w:t>
      </w:r>
      <w:r>
        <w:rPr>
          <w:rFonts w:ascii="Times New Roman" w:hAnsi="Times New Roman" w:cs="Times New Roman"/>
          <w:b/>
          <w:spacing w:val="-3"/>
          <w:sz w:val="24"/>
          <w:szCs w:val="24"/>
        </w:rPr>
        <w:t xml:space="preserve"> </w:t>
      </w:r>
      <w:r>
        <w:rPr>
          <w:rFonts w:ascii="Times New Roman" w:hAnsi="Times New Roman" w:cs="Times New Roman"/>
          <w:b/>
          <w:sz w:val="24"/>
          <w:szCs w:val="24"/>
        </w:rPr>
        <w:t>PDV-a.</w:t>
      </w:r>
    </w:p>
    <w:p w:rsidR="00A66748" w:rsidRDefault="00A66748" w:rsidP="00A66748">
      <w:pPr>
        <w:pStyle w:val="Odlomakpopisa"/>
        <w:numPr>
          <w:ilvl w:val="0"/>
          <w:numId w:val="98"/>
        </w:numPr>
        <w:tabs>
          <w:tab w:val="left" w:pos="445"/>
        </w:tabs>
        <w:spacing w:before="120" w:after="0" w:line="240" w:lineRule="auto"/>
        <w:ind w:right="114" w:firstLine="0"/>
        <w:contextualSpacing w:val="0"/>
        <w:jc w:val="both"/>
        <w:rPr>
          <w:color w:val="221F1F"/>
        </w:rPr>
      </w:pPr>
      <w:r>
        <w:rPr>
          <w:color w:val="221F1F"/>
        </w:rPr>
        <w:lastRenderedPageBreak/>
        <w:t>Cijena javne usluge za predanu količinu miješanog komunalnog otpada naplaćuje se razmjerno</w:t>
      </w:r>
      <w:r>
        <w:rPr>
          <w:color w:val="221F1F"/>
          <w:spacing w:val="1"/>
        </w:rPr>
        <w:t xml:space="preserve"> </w:t>
      </w:r>
      <w:r>
        <w:rPr>
          <w:color w:val="221F1F"/>
        </w:rPr>
        <w:t>količini predanog otpada, sukladno kriteriju iz članka 5. ove Odluke, odnosno podatcima iz evidencije</w:t>
      </w:r>
      <w:r>
        <w:rPr>
          <w:color w:val="221F1F"/>
          <w:spacing w:val="1"/>
        </w:rPr>
        <w:t xml:space="preserve"> </w:t>
      </w:r>
      <w:r>
        <w:rPr>
          <w:color w:val="221F1F"/>
        </w:rPr>
        <w:t>o predanom</w:t>
      </w:r>
      <w:r>
        <w:rPr>
          <w:color w:val="221F1F"/>
          <w:spacing w:val="-2"/>
        </w:rPr>
        <w:t xml:space="preserve"> </w:t>
      </w:r>
      <w:r>
        <w:rPr>
          <w:color w:val="221F1F"/>
        </w:rPr>
        <w:t>otpadu.</w:t>
      </w:r>
    </w:p>
    <w:p w:rsidR="00A66748" w:rsidRDefault="00A66748" w:rsidP="00A66748">
      <w:pPr>
        <w:pStyle w:val="Tijeloteksta"/>
        <w:spacing w:before="118"/>
        <w:rPr>
          <w:rFonts w:ascii="Times New Roman" w:hAnsi="Times New Roman" w:cs="Times New Roman"/>
          <w:sz w:val="24"/>
        </w:rPr>
      </w:pPr>
      <w:r>
        <w:rPr>
          <w:rFonts w:ascii="Times New Roman" w:hAnsi="Times New Roman" w:cs="Times New Roman"/>
          <w:color w:val="221F1F"/>
          <w:sz w:val="24"/>
        </w:rPr>
        <w:t>Cijena</w:t>
      </w:r>
      <w:r>
        <w:rPr>
          <w:rFonts w:ascii="Times New Roman" w:hAnsi="Times New Roman" w:cs="Times New Roman"/>
          <w:color w:val="221F1F"/>
          <w:spacing w:val="-2"/>
          <w:sz w:val="24"/>
        </w:rPr>
        <w:t xml:space="preserve"> </w:t>
      </w:r>
      <w:r>
        <w:rPr>
          <w:rFonts w:ascii="Times New Roman" w:hAnsi="Times New Roman" w:cs="Times New Roman"/>
          <w:color w:val="221F1F"/>
          <w:sz w:val="24"/>
        </w:rPr>
        <w:t>javne usluge</w:t>
      </w:r>
      <w:r>
        <w:rPr>
          <w:rFonts w:ascii="Times New Roman" w:hAnsi="Times New Roman" w:cs="Times New Roman"/>
          <w:color w:val="221F1F"/>
          <w:spacing w:val="-1"/>
          <w:sz w:val="24"/>
        </w:rPr>
        <w:t xml:space="preserve"> </w:t>
      </w:r>
      <w:r>
        <w:rPr>
          <w:rFonts w:ascii="Times New Roman" w:hAnsi="Times New Roman" w:cs="Times New Roman"/>
          <w:color w:val="221F1F"/>
          <w:sz w:val="24"/>
        </w:rPr>
        <w:t>za</w:t>
      </w:r>
      <w:r>
        <w:rPr>
          <w:rFonts w:ascii="Times New Roman" w:hAnsi="Times New Roman" w:cs="Times New Roman"/>
          <w:color w:val="221F1F"/>
          <w:spacing w:val="-1"/>
          <w:sz w:val="24"/>
        </w:rPr>
        <w:t xml:space="preserve"> </w:t>
      </w:r>
      <w:r>
        <w:rPr>
          <w:rFonts w:ascii="Times New Roman" w:hAnsi="Times New Roman" w:cs="Times New Roman"/>
          <w:color w:val="221F1F"/>
          <w:sz w:val="24"/>
        </w:rPr>
        <w:t>predanu</w:t>
      </w:r>
      <w:r>
        <w:rPr>
          <w:rFonts w:ascii="Times New Roman" w:hAnsi="Times New Roman" w:cs="Times New Roman"/>
          <w:color w:val="221F1F"/>
          <w:spacing w:val="-2"/>
          <w:sz w:val="24"/>
        </w:rPr>
        <w:t xml:space="preserve"> </w:t>
      </w:r>
      <w:r>
        <w:rPr>
          <w:rFonts w:ascii="Times New Roman" w:hAnsi="Times New Roman" w:cs="Times New Roman"/>
          <w:color w:val="221F1F"/>
          <w:sz w:val="24"/>
        </w:rPr>
        <w:t>količinu</w:t>
      </w:r>
      <w:r>
        <w:rPr>
          <w:rFonts w:ascii="Times New Roman" w:hAnsi="Times New Roman" w:cs="Times New Roman"/>
          <w:color w:val="221F1F"/>
          <w:spacing w:val="-5"/>
          <w:sz w:val="24"/>
        </w:rPr>
        <w:t xml:space="preserve"> </w:t>
      </w:r>
      <w:r>
        <w:rPr>
          <w:rFonts w:ascii="Times New Roman" w:hAnsi="Times New Roman" w:cs="Times New Roman"/>
          <w:color w:val="221F1F"/>
          <w:sz w:val="24"/>
        </w:rPr>
        <w:t>miješanog</w:t>
      </w:r>
      <w:r>
        <w:rPr>
          <w:rFonts w:ascii="Times New Roman" w:hAnsi="Times New Roman" w:cs="Times New Roman"/>
          <w:color w:val="221F1F"/>
          <w:spacing w:val="-2"/>
          <w:sz w:val="24"/>
        </w:rPr>
        <w:t xml:space="preserve"> </w:t>
      </w:r>
      <w:r>
        <w:rPr>
          <w:rFonts w:ascii="Times New Roman" w:hAnsi="Times New Roman" w:cs="Times New Roman"/>
          <w:color w:val="221F1F"/>
          <w:sz w:val="24"/>
        </w:rPr>
        <w:t>komunalnog</w:t>
      </w:r>
      <w:r>
        <w:rPr>
          <w:rFonts w:ascii="Times New Roman" w:hAnsi="Times New Roman" w:cs="Times New Roman"/>
          <w:color w:val="221F1F"/>
          <w:spacing w:val="-4"/>
          <w:sz w:val="24"/>
        </w:rPr>
        <w:t xml:space="preserve"> </w:t>
      </w:r>
      <w:r>
        <w:rPr>
          <w:rFonts w:ascii="Times New Roman" w:hAnsi="Times New Roman" w:cs="Times New Roman"/>
          <w:color w:val="221F1F"/>
          <w:sz w:val="24"/>
        </w:rPr>
        <w:t>otpada</w:t>
      </w:r>
      <w:r>
        <w:rPr>
          <w:rFonts w:ascii="Times New Roman" w:hAnsi="Times New Roman" w:cs="Times New Roman"/>
          <w:color w:val="221F1F"/>
          <w:spacing w:val="-4"/>
          <w:sz w:val="24"/>
        </w:rPr>
        <w:t xml:space="preserve"> </w:t>
      </w:r>
      <w:r>
        <w:rPr>
          <w:rFonts w:ascii="Times New Roman" w:hAnsi="Times New Roman" w:cs="Times New Roman"/>
          <w:color w:val="221F1F"/>
          <w:sz w:val="24"/>
        </w:rPr>
        <w:t>određuje</w:t>
      </w:r>
      <w:r>
        <w:rPr>
          <w:rFonts w:ascii="Times New Roman" w:hAnsi="Times New Roman" w:cs="Times New Roman"/>
          <w:color w:val="221F1F"/>
          <w:spacing w:val="-3"/>
          <w:sz w:val="24"/>
        </w:rPr>
        <w:t xml:space="preserve"> </w:t>
      </w:r>
      <w:r>
        <w:rPr>
          <w:rFonts w:ascii="Times New Roman" w:hAnsi="Times New Roman" w:cs="Times New Roman"/>
          <w:color w:val="221F1F"/>
          <w:sz w:val="24"/>
        </w:rPr>
        <w:t>se</w:t>
      </w:r>
      <w:r>
        <w:rPr>
          <w:rFonts w:ascii="Times New Roman" w:hAnsi="Times New Roman" w:cs="Times New Roman"/>
          <w:color w:val="221F1F"/>
          <w:spacing w:val="-1"/>
          <w:sz w:val="24"/>
        </w:rPr>
        <w:t xml:space="preserve"> </w:t>
      </w:r>
      <w:r>
        <w:rPr>
          <w:rFonts w:ascii="Times New Roman" w:hAnsi="Times New Roman" w:cs="Times New Roman"/>
          <w:color w:val="221F1F"/>
          <w:sz w:val="24"/>
        </w:rPr>
        <w:t>prema</w:t>
      </w:r>
      <w:r>
        <w:rPr>
          <w:rFonts w:ascii="Times New Roman" w:hAnsi="Times New Roman" w:cs="Times New Roman"/>
          <w:color w:val="221F1F"/>
          <w:spacing w:val="-1"/>
          <w:sz w:val="24"/>
        </w:rPr>
        <w:t xml:space="preserve"> </w:t>
      </w:r>
      <w:r>
        <w:rPr>
          <w:rFonts w:ascii="Times New Roman" w:hAnsi="Times New Roman" w:cs="Times New Roman"/>
          <w:color w:val="221F1F"/>
          <w:sz w:val="24"/>
        </w:rPr>
        <w:t>izrazu:</w:t>
      </w:r>
    </w:p>
    <w:p w:rsidR="00A66748" w:rsidRDefault="00A66748" w:rsidP="00A66748">
      <w:pPr>
        <w:spacing w:before="121"/>
        <w:ind w:left="105" w:right="104"/>
        <w:jc w:val="center"/>
        <w:rPr>
          <w:rFonts w:ascii="Times New Roman" w:hAnsi="Times New Roman" w:cs="Times New Roman"/>
          <w:b/>
          <w:sz w:val="24"/>
          <w:szCs w:val="24"/>
        </w:rPr>
      </w:pPr>
      <w:r>
        <w:rPr>
          <w:rFonts w:ascii="Times New Roman" w:hAnsi="Times New Roman" w:cs="Times New Roman"/>
          <w:b/>
          <w:color w:val="221F1F"/>
          <w:sz w:val="24"/>
          <w:szCs w:val="24"/>
        </w:rPr>
        <w:t>C =</w:t>
      </w:r>
      <w:r>
        <w:rPr>
          <w:rFonts w:ascii="Times New Roman" w:hAnsi="Times New Roman" w:cs="Times New Roman"/>
          <w:b/>
          <w:color w:val="221F1F"/>
          <w:spacing w:val="1"/>
          <w:sz w:val="24"/>
          <w:szCs w:val="24"/>
        </w:rPr>
        <w:t xml:space="preserve"> </w:t>
      </w:r>
      <w:r>
        <w:rPr>
          <w:rFonts w:ascii="Times New Roman" w:hAnsi="Times New Roman" w:cs="Times New Roman"/>
          <w:b/>
          <w:color w:val="221F1F"/>
          <w:sz w:val="24"/>
          <w:szCs w:val="24"/>
        </w:rPr>
        <w:t>JCV</w:t>
      </w:r>
      <w:r>
        <w:rPr>
          <w:rFonts w:ascii="Times New Roman" w:hAnsi="Times New Roman" w:cs="Times New Roman"/>
          <w:b/>
          <w:color w:val="221F1F"/>
          <w:spacing w:val="-4"/>
          <w:sz w:val="24"/>
          <w:szCs w:val="24"/>
        </w:rPr>
        <w:t xml:space="preserve"> </w:t>
      </w:r>
      <w:r>
        <w:rPr>
          <w:rFonts w:ascii="Times New Roman" w:hAnsi="Times New Roman" w:cs="Times New Roman"/>
          <w:b/>
          <w:color w:val="221F1F"/>
          <w:sz w:val="24"/>
          <w:szCs w:val="24"/>
        </w:rPr>
        <w:t>x</w:t>
      </w:r>
      <w:r>
        <w:rPr>
          <w:rFonts w:ascii="Times New Roman" w:hAnsi="Times New Roman" w:cs="Times New Roman"/>
          <w:b/>
          <w:color w:val="221F1F"/>
          <w:spacing w:val="-1"/>
          <w:sz w:val="24"/>
          <w:szCs w:val="24"/>
        </w:rPr>
        <w:t xml:space="preserve"> </w:t>
      </w:r>
      <w:r>
        <w:rPr>
          <w:rFonts w:ascii="Times New Roman" w:hAnsi="Times New Roman" w:cs="Times New Roman"/>
          <w:b/>
          <w:color w:val="221F1F"/>
          <w:sz w:val="24"/>
          <w:szCs w:val="24"/>
        </w:rPr>
        <w:t>BP x</w:t>
      </w:r>
      <w:r>
        <w:rPr>
          <w:rFonts w:ascii="Times New Roman" w:hAnsi="Times New Roman" w:cs="Times New Roman"/>
          <w:b/>
          <w:color w:val="221F1F"/>
          <w:spacing w:val="-1"/>
          <w:sz w:val="24"/>
          <w:szCs w:val="24"/>
        </w:rPr>
        <w:t xml:space="preserve"> </w:t>
      </w:r>
      <w:r>
        <w:rPr>
          <w:rFonts w:ascii="Times New Roman" w:hAnsi="Times New Roman" w:cs="Times New Roman"/>
          <w:b/>
          <w:color w:val="221F1F"/>
          <w:sz w:val="24"/>
          <w:szCs w:val="24"/>
        </w:rPr>
        <w:t>U</w:t>
      </w:r>
    </w:p>
    <w:p w:rsidR="00A66748" w:rsidRDefault="00A66748" w:rsidP="00A66748">
      <w:pPr>
        <w:pStyle w:val="Tijeloteksta"/>
        <w:spacing w:before="37"/>
        <w:rPr>
          <w:rFonts w:ascii="Times New Roman" w:hAnsi="Times New Roman" w:cs="Times New Roman"/>
          <w:color w:val="221F1F"/>
          <w:sz w:val="24"/>
        </w:rPr>
      </w:pPr>
    </w:p>
    <w:p w:rsidR="00A66748" w:rsidRDefault="00A66748" w:rsidP="00A66748">
      <w:pPr>
        <w:pStyle w:val="Tijeloteksta"/>
        <w:spacing w:before="37"/>
        <w:rPr>
          <w:rFonts w:ascii="Times New Roman" w:hAnsi="Times New Roman" w:cs="Times New Roman"/>
          <w:sz w:val="24"/>
        </w:rPr>
      </w:pPr>
      <w:r>
        <w:rPr>
          <w:rFonts w:ascii="Times New Roman" w:hAnsi="Times New Roman" w:cs="Times New Roman"/>
          <w:color w:val="221F1F"/>
          <w:sz w:val="24"/>
        </w:rPr>
        <w:t>gdje</w:t>
      </w:r>
      <w:r>
        <w:rPr>
          <w:rFonts w:ascii="Times New Roman" w:hAnsi="Times New Roman" w:cs="Times New Roman"/>
          <w:color w:val="221F1F"/>
          <w:spacing w:val="-2"/>
          <w:sz w:val="24"/>
        </w:rPr>
        <w:t xml:space="preserve"> </w:t>
      </w:r>
      <w:r>
        <w:rPr>
          <w:rFonts w:ascii="Times New Roman" w:hAnsi="Times New Roman" w:cs="Times New Roman"/>
          <w:color w:val="221F1F"/>
          <w:sz w:val="24"/>
        </w:rPr>
        <w:t>je:</w:t>
      </w:r>
    </w:p>
    <w:p w:rsidR="00A66748" w:rsidRDefault="00A66748" w:rsidP="00A66748">
      <w:pPr>
        <w:pStyle w:val="Tijeloteksta"/>
        <w:spacing w:before="120"/>
        <w:rPr>
          <w:rFonts w:ascii="Times New Roman" w:hAnsi="Times New Roman" w:cs="Times New Roman"/>
          <w:sz w:val="24"/>
        </w:rPr>
      </w:pPr>
      <w:r>
        <w:rPr>
          <w:rFonts w:ascii="Times New Roman" w:hAnsi="Times New Roman" w:cs="Times New Roman"/>
          <w:b/>
          <w:color w:val="221F1F"/>
          <w:sz w:val="24"/>
        </w:rPr>
        <w:t xml:space="preserve">C </w:t>
      </w:r>
      <w:r>
        <w:rPr>
          <w:rFonts w:ascii="Times New Roman" w:hAnsi="Times New Roman" w:cs="Times New Roman"/>
          <w:color w:val="221F1F"/>
          <w:sz w:val="24"/>
        </w:rPr>
        <w:t>–</w:t>
      </w:r>
      <w:r>
        <w:rPr>
          <w:rFonts w:ascii="Times New Roman" w:hAnsi="Times New Roman" w:cs="Times New Roman"/>
          <w:color w:val="221F1F"/>
          <w:spacing w:val="-3"/>
          <w:sz w:val="24"/>
        </w:rPr>
        <w:t xml:space="preserve"> </w:t>
      </w:r>
      <w:r>
        <w:rPr>
          <w:rFonts w:ascii="Times New Roman" w:hAnsi="Times New Roman" w:cs="Times New Roman"/>
          <w:color w:val="221F1F"/>
          <w:sz w:val="24"/>
        </w:rPr>
        <w:t>cijena javne usluge</w:t>
      </w:r>
      <w:r>
        <w:rPr>
          <w:rFonts w:ascii="Times New Roman" w:hAnsi="Times New Roman" w:cs="Times New Roman"/>
          <w:color w:val="221F1F"/>
          <w:spacing w:val="-3"/>
          <w:sz w:val="24"/>
        </w:rPr>
        <w:t xml:space="preserve"> </w:t>
      </w:r>
      <w:r>
        <w:rPr>
          <w:rFonts w:ascii="Times New Roman" w:hAnsi="Times New Roman" w:cs="Times New Roman"/>
          <w:color w:val="221F1F"/>
          <w:sz w:val="24"/>
        </w:rPr>
        <w:t>za količinu</w:t>
      </w:r>
      <w:r>
        <w:rPr>
          <w:rFonts w:ascii="Times New Roman" w:hAnsi="Times New Roman" w:cs="Times New Roman"/>
          <w:color w:val="221F1F"/>
          <w:spacing w:val="-2"/>
          <w:sz w:val="24"/>
        </w:rPr>
        <w:t xml:space="preserve"> </w:t>
      </w:r>
      <w:r>
        <w:rPr>
          <w:rFonts w:ascii="Times New Roman" w:hAnsi="Times New Roman" w:cs="Times New Roman"/>
          <w:color w:val="221F1F"/>
          <w:sz w:val="24"/>
        </w:rPr>
        <w:t>predanog</w:t>
      </w:r>
      <w:r>
        <w:rPr>
          <w:rFonts w:ascii="Times New Roman" w:hAnsi="Times New Roman" w:cs="Times New Roman"/>
          <w:color w:val="221F1F"/>
          <w:spacing w:val="-4"/>
          <w:sz w:val="24"/>
        </w:rPr>
        <w:t xml:space="preserve"> </w:t>
      </w:r>
      <w:r>
        <w:rPr>
          <w:rFonts w:ascii="Times New Roman" w:hAnsi="Times New Roman" w:cs="Times New Roman"/>
          <w:color w:val="221F1F"/>
          <w:sz w:val="24"/>
        </w:rPr>
        <w:t>miješanog</w:t>
      </w:r>
      <w:r>
        <w:rPr>
          <w:rFonts w:ascii="Times New Roman" w:hAnsi="Times New Roman" w:cs="Times New Roman"/>
          <w:color w:val="221F1F"/>
          <w:spacing w:val="-1"/>
          <w:sz w:val="24"/>
        </w:rPr>
        <w:t xml:space="preserve"> </w:t>
      </w:r>
      <w:r>
        <w:rPr>
          <w:rFonts w:ascii="Times New Roman" w:hAnsi="Times New Roman" w:cs="Times New Roman"/>
          <w:color w:val="221F1F"/>
          <w:sz w:val="24"/>
        </w:rPr>
        <w:t>komunalnog</w:t>
      </w:r>
      <w:r>
        <w:rPr>
          <w:rFonts w:ascii="Times New Roman" w:hAnsi="Times New Roman" w:cs="Times New Roman"/>
          <w:color w:val="221F1F"/>
          <w:spacing w:val="-4"/>
          <w:sz w:val="24"/>
        </w:rPr>
        <w:t xml:space="preserve"> </w:t>
      </w:r>
      <w:r>
        <w:rPr>
          <w:rFonts w:ascii="Times New Roman" w:hAnsi="Times New Roman" w:cs="Times New Roman"/>
          <w:color w:val="221F1F"/>
          <w:sz w:val="24"/>
        </w:rPr>
        <w:t>otpada</w:t>
      </w:r>
      <w:r>
        <w:rPr>
          <w:rFonts w:ascii="Times New Roman" w:hAnsi="Times New Roman" w:cs="Times New Roman"/>
          <w:color w:val="221F1F"/>
          <w:spacing w:val="-1"/>
          <w:sz w:val="24"/>
        </w:rPr>
        <w:t xml:space="preserve"> </w:t>
      </w:r>
      <w:r>
        <w:rPr>
          <w:rFonts w:ascii="Times New Roman" w:hAnsi="Times New Roman" w:cs="Times New Roman"/>
          <w:color w:val="221F1F"/>
          <w:sz w:val="24"/>
        </w:rPr>
        <w:t>izražena u</w:t>
      </w:r>
      <w:r>
        <w:rPr>
          <w:rFonts w:ascii="Times New Roman" w:hAnsi="Times New Roman" w:cs="Times New Roman"/>
          <w:color w:val="221F1F"/>
          <w:spacing w:val="-1"/>
          <w:sz w:val="24"/>
        </w:rPr>
        <w:t xml:space="preserve"> </w:t>
      </w:r>
      <w:r>
        <w:rPr>
          <w:rFonts w:ascii="Times New Roman" w:hAnsi="Times New Roman" w:cs="Times New Roman"/>
          <w:color w:val="221F1F"/>
          <w:sz w:val="24"/>
        </w:rPr>
        <w:t>kunama;</w:t>
      </w:r>
    </w:p>
    <w:p w:rsidR="00A66748" w:rsidRDefault="00A66748" w:rsidP="00A66748">
      <w:pPr>
        <w:pStyle w:val="Tijeloteksta"/>
        <w:spacing w:before="121"/>
        <w:rPr>
          <w:rFonts w:ascii="Times New Roman" w:hAnsi="Times New Roman" w:cs="Times New Roman"/>
          <w:sz w:val="24"/>
        </w:rPr>
      </w:pPr>
      <w:r>
        <w:rPr>
          <w:rFonts w:ascii="Times New Roman" w:hAnsi="Times New Roman" w:cs="Times New Roman"/>
          <w:b/>
          <w:sz w:val="24"/>
        </w:rPr>
        <w:t>JCV</w:t>
      </w:r>
      <w:r>
        <w:rPr>
          <w:rFonts w:ascii="Times New Roman" w:hAnsi="Times New Roman" w:cs="Times New Roman"/>
          <w:b/>
          <w:spacing w:val="10"/>
          <w:sz w:val="24"/>
        </w:rPr>
        <w:t xml:space="preserve"> </w:t>
      </w:r>
      <w:r>
        <w:rPr>
          <w:rFonts w:ascii="Times New Roman" w:hAnsi="Times New Roman" w:cs="Times New Roman"/>
          <w:sz w:val="24"/>
        </w:rPr>
        <w:t>–</w:t>
      </w:r>
      <w:r>
        <w:rPr>
          <w:rFonts w:ascii="Times New Roman" w:hAnsi="Times New Roman" w:cs="Times New Roman"/>
          <w:spacing w:val="9"/>
          <w:sz w:val="24"/>
        </w:rPr>
        <w:t xml:space="preserve"> </w:t>
      </w:r>
      <w:r>
        <w:rPr>
          <w:rFonts w:ascii="Times New Roman" w:hAnsi="Times New Roman" w:cs="Times New Roman"/>
          <w:sz w:val="24"/>
        </w:rPr>
        <w:t>jedinična</w:t>
      </w:r>
      <w:r>
        <w:rPr>
          <w:rFonts w:ascii="Times New Roman" w:hAnsi="Times New Roman" w:cs="Times New Roman"/>
          <w:spacing w:val="6"/>
          <w:sz w:val="24"/>
        </w:rPr>
        <w:t xml:space="preserve"> </w:t>
      </w:r>
      <w:r>
        <w:rPr>
          <w:rFonts w:ascii="Times New Roman" w:hAnsi="Times New Roman" w:cs="Times New Roman"/>
          <w:sz w:val="24"/>
        </w:rPr>
        <w:t>cijena</w:t>
      </w:r>
      <w:r>
        <w:rPr>
          <w:rFonts w:ascii="Times New Roman" w:hAnsi="Times New Roman" w:cs="Times New Roman"/>
          <w:spacing w:val="8"/>
          <w:sz w:val="24"/>
        </w:rPr>
        <w:t xml:space="preserve"> </w:t>
      </w:r>
      <w:r>
        <w:rPr>
          <w:rFonts w:ascii="Times New Roman" w:hAnsi="Times New Roman" w:cs="Times New Roman"/>
          <w:sz w:val="24"/>
        </w:rPr>
        <w:t>za</w:t>
      </w:r>
      <w:r>
        <w:rPr>
          <w:rFonts w:ascii="Times New Roman" w:hAnsi="Times New Roman" w:cs="Times New Roman"/>
          <w:spacing w:val="6"/>
          <w:sz w:val="24"/>
        </w:rPr>
        <w:t xml:space="preserve"> </w:t>
      </w:r>
      <w:r>
        <w:rPr>
          <w:rFonts w:ascii="Times New Roman" w:hAnsi="Times New Roman" w:cs="Times New Roman"/>
          <w:sz w:val="24"/>
        </w:rPr>
        <w:t>pražnjenje</w:t>
      </w:r>
      <w:r>
        <w:rPr>
          <w:rFonts w:ascii="Times New Roman" w:hAnsi="Times New Roman" w:cs="Times New Roman"/>
          <w:spacing w:val="9"/>
          <w:sz w:val="24"/>
        </w:rPr>
        <w:t xml:space="preserve"> </w:t>
      </w:r>
      <w:r>
        <w:rPr>
          <w:rFonts w:ascii="Times New Roman" w:hAnsi="Times New Roman" w:cs="Times New Roman"/>
          <w:sz w:val="24"/>
        </w:rPr>
        <w:t>određenog</w:t>
      </w:r>
      <w:r>
        <w:rPr>
          <w:rFonts w:ascii="Times New Roman" w:hAnsi="Times New Roman" w:cs="Times New Roman"/>
          <w:spacing w:val="6"/>
          <w:sz w:val="24"/>
        </w:rPr>
        <w:t xml:space="preserve"> </w:t>
      </w:r>
      <w:r>
        <w:rPr>
          <w:rFonts w:ascii="Times New Roman" w:hAnsi="Times New Roman" w:cs="Times New Roman"/>
          <w:sz w:val="24"/>
        </w:rPr>
        <w:t>volumena</w:t>
      </w:r>
      <w:r>
        <w:rPr>
          <w:rFonts w:ascii="Times New Roman" w:hAnsi="Times New Roman" w:cs="Times New Roman"/>
          <w:spacing w:val="8"/>
          <w:sz w:val="24"/>
        </w:rPr>
        <w:t xml:space="preserve"> </w:t>
      </w:r>
      <w:r>
        <w:rPr>
          <w:rFonts w:ascii="Times New Roman" w:hAnsi="Times New Roman" w:cs="Times New Roman"/>
          <w:sz w:val="24"/>
        </w:rPr>
        <w:t>spremnika</w:t>
      </w:r>
      <w:r>
        <w:rPr>
          <w:rFonts w:ascii="Times New Roman" w:hAnsi="Times New Roman" w:cs="Times New Roman"/>
          <w:spacing w:val="6"/>
          <w:sz w:val="24"/>
        </w:rPr>
        <w:t xml:space="preserve"> </w:t>
      </w:r>
      <w:r>
        <w:rPr>
          <w:rFonts w:ascii="Times New Roman" w:hAnsi="Times New Roman" w:cs="Times New Roman"/>
          <w:sz w:val="24"/>
        </w:rPr>
        <w:t>miješanog</w:t>
      </w:r>
      <w:r>
        <w:rPr>
          <w:rFonts w:ascii="Times New Roman" w:hAnsi="Times New Roman" w:cs="Times New Roman"/>
          <w:spacing w:val="3"/>
          <w:sz w:val="24"/>
        </w:rPr>
        <w:t xml:space="preserve"> </w:t>
      </w:r>
      <w:r>
        <w:rPr>
          <w:rFonts w:ascii="Times New Roman" w:hAnsi="Times New Roman" w:cs="Times New Roman"/>
          <w:sz w:val="24"/>
        </w:rPr>
        <w:t>komunalnog</w:t>
      </w:r>
      <w:r>
        <w:rPr>
          <w:rFonts w:ascii="Times New Roman" w:hAnsi="Times New Roman" w:cs="Times New Roman"/>
          <w:spacing w:val="6"/>
          <w:sz w:val="24"/>
        </w:rPr>
        <w:t xml:space="preserve"> </w:t>
      </w:r>
      <w:r>
        <w:rPr>
          <w:rFonts w:ascii="Times New Roman" w:hAnsi="Times New Roman" w:cs="Times New Roman"/>
          <w:sz w:val="24"/>
        </w:rPr>
        <w:t>otpada,</w:t>
      </w:r>
      <w:r>
        <w:rPr>
          <w:rFonts w:ascii="Times New Roman" w:hAnsi="Times New Roman" w:cs="Times New Roman"/>
          <w:spacing w:val="-47"/>
          <w:sz w:val="24"/>
        </w:rPr>
        <w:t xml:space="preserve"> </w:t>
      </w:r>
      <w:r>
        <w:rPr>
          <w:rFonts w:ascii="Times New Roman" w:hAnsi="Times New Roman" w:cs="Times New Roman"/>
          <w:sz w:val="24"/>
        </w:rPr>
        <w:t>izražena</w:t>
      </w:r>
      <w:r>
        <w:rPr>
          <w:rFonts w:ascii="Times New Roman" w:hAnsi="Times New Roman" w:cs="Times New Roman"/>
          <w:spacing w:val="-1"/>
          <w:sz w:val="24"/>
        </w:rPr>
        <w:t xml:space="preserve"> </w:t>
      </w:r>
      <w:r>
        <w:rPr>
          <w:rFonts w:ascii="Times New Roman" w:hAnsi="Times New Roman" w:cs="Times New Roman"/>
          <w:sz w:val="24"/>
        </w:rPr>
        <w:t>u kunama</w:t>
      </w:r>
      <w:r>
        <w:rPr>
          <w:rFonts w:ascii="Times New Roman" w:hAnsi="Times New Roman" w:cs="Times New Roman"/>
          <w:spacing w:val="-3"/>
          <w:sz w:val="24"/>
        </w:rPr>
        <w:t xml:space="preserve"> </w:t>
      </w:r>
      <w:r>
        <w:rPr>
          <w:rFonts w:ascii="Times New Roman" w:hAnsi="Times New Roman" w:cs="Times New Roman"/>
          <w:sz w:val="24"/>
        </w:rPr>
        <w:t>sukladno</w:t>
      </w:r>
      <w:r>
        <w:rPr>
          <w:rFonts w:ascii="Times New Roman" w:hAnsi="Times New Roman" w:cs="Times New Roman"/>
          <w:spacing w:val="1"/>
          <w:sz w:val="24"/>
        </w:rPr>
        <w:t xml:space="preserve"> </w:t>
      </w:r>
      <w:r>
        <w:rPr>
          <w:rFonts w:ascii="Times New Roman" w:hAnsi="Times New Roman" w:cs="Times New Roman"/>
          <w:sz w:val="24"/>
        </w:rPr>
        <w:t>Cjeniku;</w:t>
      </w:r>
    </w:p>
    <w:p w:rsidR="00A66748" w:rsidRDefault="00A66748" w:rsidP="00A66748">
      <w:pPr>
        <w:pStyle w:val="Tijeloteksta"/>
        <w:spacing w:before="118"/>
        <w:rPr>
          <w:rFonts w:ascii="Times New Roman" w:hAnsi="Times New Roman" w:cs="Times New Roman"/>
          <w:sz w:val="24"/>
        </w:rPr>
      </w:pPr>
      <w:r>
        <w:rPr>
          <w:rFonts w:ascii="Times New Roman" w:hAnsi="Times New Roman" w:cs="Times New Roman"/>
          <w:b/>
          <w:sz w:val="24"/>
        </w:rPr>
        <w:t>BP</w:t>
      </w:r>
      <w:r>
        <w:rPr>
          <w:rFonts w:ascii="Times New Roman" w:hAnsi="Times New Roman" w:cs="Times New Roman"/>
          <w:b/>
          <w:spacing w:val="24"/>
          <w:sz w:val="24"/>
        </w:rPr>
        <w:t xml:space="preserve"> </w:t>
      </w:r>
      <w:r>
        <w:rPr>
          <w:rFonts w:ascii="Times New Roman" w:hAnsi="Times New Roman" w:cs="Times New Roman"/>
          <w:sz w:val="24"/>
        </w:rPr>
        <w:t>–</w:t>
      </w:r>
      <w:r>
        <w:rPr>
          <w:rFonts w:ascii="Times New Roman" w:hAnsi="Times New Roman" w:cs="Times New Roman"/>
          <w:spacing w:val="28"/>
          <w:sz w:val="24"/>
        </w:rPr>
        <w:t xml:space="preserve"> </w:t>
      </w:r>
      <w:r>
        <w:rPr>
          <w:rFonts w:ascii="Times New Roman" w:hAnsi="Times New Roman" w:cs="Times New Roman"/>
          <w:sz w:val="24"/>
        </w:rPr>
        <w:t>broj</w:t>
      </w:r>
      <w:r>
        <w:rPr>
          <w:rFonts w:ascii="Times New Roman" w:hAnsi="Times New Roman" w:cs="Times New Roman"/>
          <w:spacing w:val="27"/>
          <w:sz w:val="24"/>
        </w:rPr>
        <w:t xml:space="preserve"> </w:t>
      </w:r>
      <w:r>
        <w:rPr>
          <w:rFonts w:ascii="Times New Roman" w:hAnsi="Times New Roman" w:cs="Times New Roman"/>
          <w:sz w:val="24"/>
        </w:rPr>
        <w:t>pražnjenja</w:t>
      </w:r>
      <w:r>
        <w:rPr>
          <w:rFonts w:ascii="Times New Roman" w:hAnsi="Times New Roman" w:cs="Times New Roman"/>
          <w:spacing w:val="24"/>
          <w:sz w:val="24"/>
        </w:rPr>
        <w:t xml:space="preserve"> </w:t>
      </w:r>
      <w:r>
        <w:rPr>
          <w:rFonts w:ascii="Times New Roman" w:hAnsi="Times New Roman" w:cs="Times New Roman"/>
          <w:sz w:val="24"/>
        </w:rPr>
        <w:t>spremnika</w:t>
      </w:r>
      <w:r>
        <w:rPr>
          <w:rFonts w:ascii="Times New Roman" w:hAnsi="Times New Roman" w:cs="Times New Roman"/>
          <w:spacing w:val="25"/>
          <w:sz w:val="24"/>
        </w:rPr>
        <w:t xml:space="preserve"> </w:t>
      </w:r>
      <w:r>
        <w:rPr>
          <w:rFonts w:ascii="Times New Roman" w:hAnsi="Times New Roman" w:cs="Times New Roman"/>
          <w:sz w:val="24"/>
        </w:rPr>
        <w:t>miješanog</w:t>
      </w:r>
      <w:r>
        <w:rPr>
          <w:rFonts w:ascii="Times New Roman" w:hAnsi="Times New Roman" w:cs="Times New Roman"/>
          <w:spacing w:val="24"/>
          <w:sz w:val="24"/>
        </w:rPr>
        <w:t xml:space="preserve"> </w:t>
      </w:r>
      <w:r>
        <w:rPr>
          <w:rFonts w:ascii="Times New Roman" w:hAnsi="Times New Roman" w:cs="Times New Roman"/>
          <w:sz w:val="24"/>
        </w:rPr>
        <w:t>komunalnog</w:t>
      </w:r>
      <w:r>
        <w:rPr>
          <w:rFonts w:ascii="Times New Roman" w:hAnsi="Times New Roman" w:cs="Times New Roman"/>
          <w:spacing w:val="24"/>
          <w:sz w:val="24"/>
        </w:rPr>
        <w:t xml:space="preserve"> </w:t>
      </w:r>
      <w:r>
        <w:rPr>
          <w:rFonts w:ascii="Times New Roman" w:hAnsi="Times New Roman" w:cs="Times New Roman"/>
          <w:sz w:val="24"/>
        </w:rPr>
        <w:t>otpada</w:t>
      </w:r>
      <w:r>
        <w:rPr>
          <w:rFonts w:ascii="Times New Roman" w:hAnsi="Times New Roman" w:cs="Times New Roman"/>
          <w:spacing w:val="27"/>
          <w:sz w:val="24"/>
        </w:rPr>
        <w:t xml:space="preserve"> </w:t>
      </w:r>
      <w:r>
        <w:rPr>
          <w:rFonts w:ascii="Times New Roman" w:hAnsi="Times New Roman" w:cs="Times New Roman"/>
          <w:sz w:val="24"/>
        </w:rPr>
        <w:t>u</w:t>
      </w:r>
      <w:r>
        <w:rPr>
          <w:rFonts w:ascii="Times New Roman" w:hAnsi="Times New Roman" w:cs="Times New Roman"/>
          <w:spacing w:val="24"/>
          <w:sz w:val="24"/>
        </w:rPr>
        <w:t xml:space="preserve"> </w:t>
      </w:r>
      <w:r>
        <w:rPr>
          <w:rFonts w:ascii="Times New Roman" w:hAnsi="Times New Roman" w:cs="Times New Roman"/>
          <w:sz w:val="24"/>
        </w:rPr>
        <w:t>obračunskom</w:t>
      </w:r>
      <w:r>
        <w:rPr>
          <w:rFonts w:ascii="Times New Roman" w:hAnsi="Times New Roman" w:cs="Times New Roman"/>
          <w:spacing w:val="27"/>
          <w:sz w:val="24"/>
        </w:rPr>
        <w:t xml:space="preserve"> </w:t>
      </w:r>
      <w:r>
        <w:rPr>
          <w:rFonts w:ascii="Times New Roman" w:hAnsi="Times New Roman" w:cs="Times New Roman"/>
          <w:sz w:val="24"/>
        </w:rPr>
        <w:t>razdoblju</w:t>
      </w:r>
      <w:r>
        <w:rPr>
          <w:rFonts w:ascii="Times New Roman" w:hAnsi="Times New Roman" w:cs="Times New Roman"/>
          <w:spacing w:val="26"/>
          <w:sz w:val="24"/>
        </w:rPr>
        <w:t xml:space="preserve"> </w:t>
      </w:r>
      <w:r>
        <w:rPr>
          <w:rFonts w:ascii="Times New Roman" w:hAnsi="Times New Roman" w:cs="Times New Roman"/>
          <w:sz w:val="24"/>
        </w:rPr>
        <w:t>sukladno</w:t>
      </w:r>
      <w:r>
        <w:rPr>
          <w:rFonts w:ascii="Times New Roman" w:hAnsi="Times New Roman" w:cs="Times New Roman"/>
          <w:spacing w:val="-46"/>
          <w:sz w:val="24"/>
        </w:rPr>
        <w:t xml:space="preserve"> </w:t>
      </w:r>
      <w:r>
        <w:rPr>
          <w:rFonts w:ascii="Times New Roman" w:hAnsi="Times New Roman" w:cs="Times New Roman"/>
          <w:sz w:val="24"/>
        </w:rPr>
        <w:t>podacima</w:t>
      </w:r>
      <w:r>
        <w:rPr>
          <w:rFonts w:ascii="Times New Roman" w:hAnsi="Times New Roman" w:cs="Times New Roman"/>
          <w:spacing w:val="-4"/>
          <w:sz w:val="24"/>
        </w:rPr>
        <w:t xml:space="preserve"> </w:t>
      </w:r>
      <w:r>
        <w:rPr>
          <w:rFonts w:ascii="Times New Roman" w:hAnsi="Times New Roman" w:cs="Times New Roman"/>
          <w:sz w:val="24"/>
        </w:rPr>
        <w:t>u evidenciji</w:t>
      </w:r>
      <w:r>
        <w:rPr>
          <w:rFonts w:ascii="Times New Roman" w:hAnsi="Times New Roman" w:cs="Times New Roman"/>
          <w:spacing w:val="-3"/>
          <w:sz w:val="24"/>
        </w:rPr>
        <w:t xml:space="preserve"> </w:t>
      </w:r>
      <w:r>
        <w:rPr>
          <w:rFonts w:ascii="Times New Roman" w:hAnsi="Times New Roman" w:cs="Times New Roman"/>
          <w:sz w:val="24"/>
        </w:rPr>
        <w:t>o</w:t>
      </w:r>
      <w:r>
        <w:rPr>
          <w:rFonts w:ascii="Times New Roman" w:hAnsi="Times New Roman" w:cs="Times New Roman"/>
          <w:spacing w:val="1"/>
          <w:sz w:val="24"/>
        </w:rPr>
        <w:t xml:space="preserve"> </w:t>
      </w:r>
      <w:r>
        <w:rPr>
          <w:rFonts w:ascii="Times New Roman" w:hAnsi="Times New Roman" w:cs="Times New Roman"/>
          <w:sz w:val="24"/>
        </w:rPr>
        <w:t>pražnjenju</w:t>
      </w:r>
      <w:r>
        <w:rPr>
          <w:rFonts w:ascii="Times New Roman" w:hAnsi="Times New Roman" w:cs="Times New Roman"/>
          <w:spacing w:val="-1"/>
          <w:sz w:val="24"/>
        </w:rPr>
        <w:t xml:space="preserve"> </w:t>
      </w:r>
      <w:r>
        <w:rPr>
          <w:rFonts w:ascii="Times New Roman" w:hAnsi="Times New Roman" w:cs="Times New Roman"/>
          <w:sz w:val="24"/>
        </w:rPr>
        <w:t>spremnika;</w:t>
      </w:r>
    </w:p>
    <w:p w:rsidR="00A66748" w:rsidRDefault="00A66748" w:rsidP="00A66748">
      <w:pPr>
        <w:pStyle w:val="Tijeloteksta"/>
        <w:spacing w:before="120"/>
        <w:rPr>
          <w:rFonts w:ascii="Times New Roman" w:hAnsi="Times New Roman" w:cs="Times New Roman"/>
          <w:sz w:val="24"/>
        </w:rPr>
      </w:pPr>
      <w:r>
        <w:rPr>
          <w:rFonts w:ascii="Times New Roman" w:hAnsi="Times New Roman" w:cs="Times New Roman"/>
          <w:b/>
          <w:sz w:val="24"/>
        </w:rPr>
        <w:t>U</w:t>
      </w:r>
      <w:r>
        <w:rPr>
          <w:rFonts w:ascii="Times New Roman" w:hAnsi="Times New Roman" w:cs="Times New Roman"/>
          <w:b/>
          <w:spacing w:val="-2"/>
          <w:sz w:val="24"/>
        </w:rPr>
        <w:t xml:space="preserve"> </w:t>
      </w:r>
      <w:r>
        <w:rPr>
          <w:rFonts w:ascii="Times New Roman" w:hAnsi="Times New Roman" w:cs="Times New Roman"/>
          <w:sz w:val="24"/>
        </w:rPr>
        <w:t>–</w:t>
      </w:r>
      <w:r>
        <w:rPr>
          <w:rFonts w:ascii="Times New Roman" w:hAnsi="Times New Roman" w:cs="Times New Roman"/>
          <w:spacing w:val="-1"/>
          <w:sz w:val="24"/>
        </w:rPr>
        <w:t xml:space="preserve"> </w:t>
      </w:r>
      <w:r>
        <w:rPr>
          <w:rFonts w:ascii="Times New Roman" w:hAnsi="Times New Roman" w:cs="Times New Roman"/>
          <w:sz w:val="24"/>
        </w:rPr>
        <w:t>udio</w:t>
      </w:r>
      <w:r>
        <w:rPr>
          <w:rFonts w:ascii="Times New Roman" w:hAnsi="Times New Roman" w:cs="Times New Roman"/>
          <w:spacing w:val="-4"/>
          <w:sz w:val="24"/>
        </w:rPr>
        <w:t xml:space="preserve"> </w:t>
      </w:r>
      <w:r>
        <w:rPr>
          <w:rFonts w:ascii="Times New Roman" w:hAnsi="Times New Roman" w:cs="Times New Roman"/>
          <w:sz w:val="24"/>
        </w:rPr>
        <w:t>korisnika</w:t>
      </w:r>
      <w:r>
        <w:rPr>
          <w:rFonts w:ascii="Times New Roman" w:hAnsi="Times New Roman" w:cs="Times New Roman"/>
          <w:spacing w:val="-1"/>
          <w:sz w:val="24"/>
        </w:rPr>
        <w:t xml:space="preserve"> </w:t>
      </w:r>
      <w:r>
        <w:rPr>
          <w:rFonts w:ascii="Times New Roman" w:hAnsi="Times New Roman" w:cs="Times New Roman"/>
          <w:sz w:val="24"/>
        </w:rPr>
        <w:t>javne</w:t>
      </w:r>
      <w:r>
        <w:rPr>
          <w:rFonts w:ascii="Times New Roman" w:hAnsi="Times New Roman" w:cs="Times New Roman"/>
          <w:spacing w:val="-1"/>
          <w:sz w:val="24"/>
        </w:rPr>
        <w:t xml:space="preserve"> </w:t>
      </w:r>
      <w:r>
        <w:rPr>
          <w:rFonts w:ascii="Times New Roman" w:hAnsi="Times New Roman" w:cs="Times New Roman"/>
          <w:sz w:val="24"/>
        </w:rPr>
        <w:t>usluge</w:t>
      </w:r>
      <w:r>
        <w:rPr>
          <w:rFonts w:ascii="Times New Roman" w:hAnsi="Times New Roman" w:cs="Times New Roman"/>
          <w:spacing w:val="-1"/>
          <w:sz w:val="24"/>
        </w:rPr>
        <w:t xml:space="preserve"> </w:t>
      </w:r>
      <w:r>
        <w:rPr>
          <w:rFonts w:ascii="Times New Roman" w:hAnsi="Times New Roman" w:cs="Times New Roman"/>
          <w:sz w:val="24"/>
        </w:rPr>
        <w:t>u</w:t>
      </w:r>
      <w:r>
        <w:rPr>
          <w:rFonts w:ascii="Times New Roman" w:hAnsi="Times New Roman" w:cs="Times New Roman"/>
          <w:spacing w:val="-3"/>
          <w:sz w:val="24"/>
        </w:rPr>
        <w:t xml:space="preserve"> </w:t>
      </w:r>
      <w:r>
        <w:rPr>
          <w:rFonts w:ascii="Times New Roman" w:hAnsi="Times New Roman" w:cs="Times New Roman"/>
          <w:sz w:val="24"/>
        </w:rPr>
        <w:t>korištenju</w:t>
      </w:r>
      <w:r>
        <w:rPr>
          <w:rFonts w:ascii="Times New Roman" w:hAnsi="Times New Roman" w:cs="Times New Roman"/>
          <w:spacing w:val="-2"/>
          <w:sz w:val="24"/>
        </w:rPr>
        <w:t xml:space="preserve"> </w:t>
      </w:r>
      <w:r>
        <w:rPr>
          <w:rFonts w:ascii="Times New Roman" w:hAnsi="Times New Roman" w:cs="Times New Roman"/>
          <w:sz w:val="24"/>
        </w:rPr>
        <w:t>spremnika.</w:t>
      </w:r>
    </w:p>
    <w:p w:rsidR="00A66748" w:rsidRDefault="00A66748" w:rsidP="00A66748">
      <w:pPr>
        <w:pStyle w:val="Odlomakpopisa"/>
        <w:numPr>
          <w:ilvl w:val="0"/>
          <w:numId w:val="98"/>
        </w:numPr>
        <w:tabs>
          <w:tab w:val="left" w:pos="429"/>
        </w:tabs>
        <w:spacing w:before="120" w:after="0" w:line="240" w:lineRule="auto"/>
        <w:ind w:right="111" w:firstLine="0"/>
        <w:contextualSpacing w:val="0"/>
        <w:jc w:val="both"/>
      </w:pPr>
      <w:r>
        <w:t>Kad jedan korisnik javne usluge samostalno koristi spremnik, udio korisnika javne usluge u korištenju spremnika iznosi 1. Kad više korisnika javne usluge zajednički koriste spremnik, zbroj udjela svih</w:t>
      </w:r>
      <w:r>
        <w:rPr>
          <w:spacing w:val="1"/>
        </w:rPr>
        <w:t xml:space="preserve"> </w:t>
      </w:r>
      <w:r>
        <w:rPr>
          <w:spacing w:val="-2"/>
        </w:rPr>
        <w:t>korisnika,</w:t>
      </w:r>
      <w:r>
        <w:rPr>
          <w:spacing w:val="-11"/>
        </w:rPr>
        <w:t xml:space="preserve"> </w:t>
      </w:r>
      <w:r>
        <w:rPr>
          <w:spacing w:val="-2"/>
        </w:rPr>
        <w:t>određenih</w:t>
      </w:r>
      <w:r>
        <w:rPr>
          <w:spacing w:val="-10"/>
        </w:rPr>
        <w:t xml:space="preserve"> </w:t>
      </w:r>
      <w:r>
        <w:rPr>
          <w:spacing w:val="-1"/>
        </w:rPr>
        <w:t>međusobnim</w:t>
      </w:r>
      <w:r>
        <w:rPr>
          <w:spacing w:val="-10"/>
        </w:rPr>
        <w:t xml:space="preserve"> </w:t>
      </w:r>
      <w:r>
        <w:rPr>
          <w:spacing w:val="-1"/>
        </w:rPr>
        <w:t>sporazumom</w:t>
      </w:r>
      <w:r>
        <w:rPr>
          <w:spacing w:val="-9"/>
        </w:rPr>
        <w:t xml:space="preserve"> </w:t>
      </w:r>
      <w:r>
        <w:rPr>
          <w:spacing w:val="-1"/>
        </w:rPr>
        <w:t>ili</w:t>
      </w:r>
      <w:r>
        <w:rPr>
          <w:spacing w:val="-11"/>
        </w:rPr>
        <w:t xml:space="preserve"> </w:t>
      </w:r>
      <w:r>
        <w:rPr>
          <w:spacing w:val="-1"/>
        </w:rPr>
        <w:t>prijedlogom</w:t>
      </w:r>
      <w:r>
        <w:rPr>
          <w:spacing w:val="-9"/>
        </w:rPr>
        <w:t xml:space="preserve"> </w:t>
      </w:r>
      <w:r>
        <w:rPr>
          <w:spacing w:val="-1"/>
        </w:rPr>
        <w:t>davatelja</w:t>
      </w:r>
      <w:r>
        <w:rPr>
          <w:spacing w:val="-11"/>
        </w:rPr>
        <w:t xml:space="preserve"> </w:t>
      </w:r>
      <w:r>
        <w:rPr>
          <w:spacing w:val="-1"/>
        </w:rPr>
        <w:t>javne</w:t>
      </w:r>
      <w:r>
        <w:rPr>
          <w:spacing w:val="-9"/>
        </w:rPr>
        <w:t xml:space="preserve"> </w:t>
      </w:r>
      <w:r>
        <w:rPr>
          <w:spacing w:val="-1"/>
        </w:rPr>
        <w:t>usluge,</w:t>
      </w:r>
      <w:r>
        <w:rPr>
          <w:spacing w:val="-11"/>
        </w:rPr>
        <w:t xml:space="preserve"> </w:t>
      </w:r>
      <w:r>
        <w:rPr>
          <w:spacing w:val="-1"/>
        </w:rPr>
        <w:t>mora</w:t>
      </w:r>
      <w:r>
        <w:rPr>
          <w:spacing w:val="-10"/>
        </w:rPr>
        <w:t xml:space="preserve"> </w:t>
      </w:r>
      <w:r>
        <w:rPr>
          <w:spacing w:val="-1"/>
        </w:rPr>
        <w:t>iznositi</w:t>
      </w:r>
      <w:r>
        <w:rPr>
          <w:spacing w:val="-10"/>
        </w:rPr>
        <w:t xml:space="preserve"> </w:t>
      </w:r>
      <w:r>
        <w:rPr>
          <w:spacing w:val="-1"/>
        </w:rPr>
        <w:t>1.</w:t>
      </w:r>
    </w:p>
    <w:p w:rsidR="00A66748" w:rsidRDefault="00A66748" w:rsidP="00A66748">
      <w:pPr>
        <w:tabs>
          <w:tab w:val="left" w:pos="429"/>
        </w:tabs>
        <w:spacing w:before="120" w:line="240" w:lineRule="auto"/>
        <w:ind w:right="111"/>
        <w:jc w:val="both"/>
        <w:rPr>
          <w:rFonts w:ascii="Times New Roman" w:hAnsi="Times New Roman" w:cs="Times New Roman"/>
          <w:spacing w:val="-1"/>
        </w:rPr>
      </w:pPr>
    </w:p>
    <w:p w:rsidR="00A66748" w:rsidRDefault="00A66748" w:rsidP="00A66748">
      <w:pPr>
        <w:jc w:val="center"/>
        <w:rPr>
          <w:rFonts w:ascii="Times New Roman" w:hAnsi="Times New Roman" w:cs="Times New Roman"/>
          <w:b/>
        </w:rPr>
      </w:pPr>
      <w:r>
        <w:rPr>
          <w:rFonts w:ascii="Times New Roman" w:hAnsi="Times New Roman" w:cs="Times New Roman"/>
          <w:b/>
        </w:rPr>
        <w:t>Članak 3.</w:t>
      </w:r>
    </w:p>
    <w:p w:rsidR="00A66748" w:rsidRDefault="00A66748" w:rsidP="00A66748">
      <w:pPr>
        <w:ind w:firstLine="708"/>
        <w:rPr>
          <w:rFonts w:ascii="Calibri" w:hAnsi="Calibri" w:cs="Calibri"/>
          <w:bCs/>
        </w:rPr>
      </w:pPr>
      <w:r>
        <w:rPr>
          <w:rFonts w:ascii="Calibri" w:hAnsi="Calibri" w:cs="Calibri"/>
          <w:bCs/>
        </w:rPr>
        <w:t>Članak 23. mijenja se i glasi:</w:t>
      </w:r>
    </w:p>
    <w:p w:rsidR="00A66748" w:rsidRDefault="00A66748" w:rsidP="00A66748">
      <w:pPr>
        <w:ind w:firstLine="708"/>
        <w:rPr>
          <w:rFonts w:ascii="Calibri" w:hAnsi="Calibri" w:cs="Calibri"/>
          <w:bCs/>
        </w:rPr>
      </w:pPr>
    </w:p>
    <w:p w:rsidR="00A66748" w:rsidRDefault="00A66748" w:rsidP="00A66748">
      <w:pPr>
        <w:pStyle w:val="Odlomakpopisa"/>
        <w:tabs>
          <w:tab w:val="left" w:pos="419"/>
        </w:tabs>
        <w:spacing w:before="121"/>
        <w:ind w:left="0" w:right="108"/>
      </w:pPr>
      <w:r>
        <w:t>„(1)</w:t>
      </w:r>
      <w:r>
        <w:tab/>
      </w:r>
      <w:r>
        <w:tab/>
        <w:t xml:space="preserve">Korisniku kategorije kućanstvo, potkategorija a. obiteljske kuće, koji kompostira biootpad u vlastitom komposteru cijena minimalne javne usluge umanjit će se na mjesečnom računu za </w:t>
      </w:r>
      <w:r>
        <w:rPr>
          <w:b/>
          <w:bCs/>
        </w:rPr>
        <w:t>3,00 €</w:t>
      </w:r>
      <w:r>
        <w:t xml:space="preserve"> </w:t>
      </w:r>
      <w:r>
        <w:rPr>
          <w:b/>
          <w:bCs/>
        </w:rPr>
        <w:t>(slovima: tri eura)</w:t>
      </w:r>
      <w:r>
        <w:t xml:space="preserve"> i iznosit će 10,70 € </w:t>
      </w:r>
      <w:r>
        <w:rPr>
          <w:b/>
          <w:bCs/>
        </w:rPr>
        <w:t>(slovima: deset eura i sedamdeset centi)</w:t>
      </w:r>
      <w:r>
        <w:t xml:space="preserve"> sve dok uredno provodi kompostiranje biootpada. Smatrat će se da korisnik uredno provodi kompostiranje biootpada ako je u Izjavi naveo  da želi kompostirati biootpad. Ako se tijekom nadzora utvrdi da korisnik ne kompostira biootpad ili da je bacio biootpad koji se može kompostirati u spremnik za drugu vrstu komunalnog otpada, korisnik nema pravo na umanjenje cijene minimalne javne usluge za taj mjesec.</w:t>
      </w:r>
    </w:p>
    <w:p w:rsidR="00A66748" w:rsidRDefault="00A66748" w:rsidP="00A66748">
      <w:pPr>
        <w:pStyle w:val="Odlomakpopisa"/>
        <w:tabs>
          <w:tab w:val="left" w:pos="446"/>
        </w:tabs>
        <w:spacing w:before="119"/>
        <w:ind w:left="0" w:right="110"/>
      </w:pPr>
      <w:r>
        <w:t>(2)</w:t>
      </w:r>
      <w:r>
        <w:tab/>
      </w:r>
      <w:r>
        <w:tab/>
        <w:t xml:space="preserve">Korisniku kategorije koji nije kućanstvo, a za miješani komunalni otpad je zadužio spremnik volumena 80 lit, 120 lit, 240 lit i 1100 lit, a koji odvojeno predaje reciklabilni komunalni otpad od miješanog komunalnog otpada cijena minimalne javne usluge umanjit će se na mjesečnom računu za </w:t>
      </w:r>
      <w:r>
        <w:rPr>
          <w:b/>
          <w:bCs/>
        </w:rPr>
        <w:t>6,00 € (slovima: šest eura)</w:t>
      </w:r>
      <w:r>
        <w:t xml:space="preserve"> (iznos bez PDV-a) i iznosit će </w:t>
      </w:r>
      <w:r>
        <w:rPr>
          <w:b/>
          <w:bCs/>
        </w:rPr>
        <w:t>16,00 € (slovima: šesnaest eura)</w:t>
      </w:r>
      <w:r>
        <w:t>(iznos bez PDV-a).</w:t>
      </w:r>
    </w:p>
    <w:p w:rsidR="00A66748" w:rsidRDefault="00A66748" w:rsidP="00A66748">
      <w:pPr>
        <w:jc w:val="both"/>
        <w:rPr>
          <w:rFonts w:ascii="Calibri" w:hAnsi="Calibri" w:cs="Calibri"/>
          <w:bCs/>
        </w:rPr>
      </w:pPr>
    </w:p>
    <w:p w:rsidR="00A66748" w:rsidRDefault="00A66748" w:rsidP="00A66748">
      <w:pPr>
        <w:widowControl w:val="0"/>
        <w:tabs>
          <w:tab w:val="left" w:pos="839"/>
        </w:tabs>
        <w:autoSpaceDE w:val="0"/>
        <w:autoSpaceDN w:val="0"/>
        <w:spacing w:before="3" w:line="235" w:lineRule="auto"/>
        <w:ind w:left="478" w:right="115"/>
        <w:jc w:val="center"/>
        <w:rPr>
          <w:rFonts w:ascii="Times New Roman" w:hAnsi="Times New Roman" w:cs="Times New Roman"/>
          <w:b/>
        </w:rPr>
      </w:pPr>
      <w:r>
        <w:rPr>
          <w:rFonts w:ascii="Times New Roman" w:hAnsi="Times New Roman" w:cs="Times New Roman"/>
          <w:b/>
        </w:rPr>
        <w:t>Članak 4.</w:t>
      </w:r>
    </w:p>
    <w:p w:rsidR="00A66748" w:rsidRDefault="00A66748" w:rsidP="00A66748">
      <w:pPr>
        <w:widowControl w:val="0"/>
        <w:tabs>
          <w:tab w:val="left" w:pos="839"/>
        </w:tabs>
        <w:autoSpaceDE w:val="0"/>
        <w:autoSpaceDN w:val="0"/>
        <w:spacing w:before="3" w:line="235" w:lineRule="auto"/>
        <w:ind w:left="478" w:right="115"/>
        <w:jc w:val="center"/>
        <w:rPr>
          <w:b/>
        </w:rPr>
      </w:pPr>
    </w:p>
    <w:p w:rsidR="00A66748" w:rsidRDefault="00A66748" w:rsidP="00A66748">
      <w:pPr>
        <w:pStyle w:val="Tijeloteksta"/>
        <w:spacing w:before="41"/>
        <w:rPr>
          <w:rFonts w:ascii="Times New Roman" w:hAnsi="Times New Roman" w:cs="Times New Roman"/>
          <w:sz w:val="24"/>
        </w:rPr>
      </w:pPr>
      <w:r>
        <w:rPr>
          <w:rFonts w:ascii="Times New Roman" w:hAnsi="Times New Roman" w:cs="Times New Roman"/>
          <w:sz w:val="24"/>
        </w:rPr>
        <w:t>Ova Odluka stupa na snagu 8 dana od dana objave u  Službenom glasniku Općine Gornji Bogićevci glasniku.</w:t>
      </w:r>
    </w:p>
    <w:p w:rsidR="00A66748" w:rsidRDefault="00A66748" w:rsidP="00A66748">
      <w:pPr>
        <w:pStyle w:val="Tijeloteksta"/>
        <w:spacing w:before="41"/>
        <w:rPr>
          <w:rFonts w:ascii="Times New Roman" w:hAnsi="Times New Roman" w:cs="Times New Roman"/>
          <w:sz w:val="24"/>
        </w:rPr>
      </w:pPr>
    </w:p>
    <w:p w:rsidR="00A66748" w:rsidRDefault="00A66748" w:rsidP="00A66748">
      <w:pPr>
        <w:pStyle w:val="Tijeloteksta"/>
        <w:spacing w:before="41"/>
        <w:rPr>
          <w:rFonts w:ascii="Times New Roman" w:hAnsi="Times New Roman" w:cs="Times New Roman"/>
          <w:sz w:val="24"/>
        </w:rPr>
      </w:pPr>
    </w:p>
    <w:p w:rsidR="00A66748" w:rsidRDefault="00A66748" w:rsidP="00A66748">
      <w:pPr>
        <w:pStyle w:val="Tijeloteksta"/>
        <w:spacing w:before="41"/>
        <w:rPr>
          <w:rFonts w:ascii="Times New Roman" w:hAnsi="Times New Roman" w:cs="Times New Roman"/>
          <w:sz w:val="24"/>
        </w:rPr>
      </w:pPr>
    </w:p>
    <w:p w:rsidR="00A66748" w:rsidRDefault="00A66748" w:rsidP="00A66748">
      <w:pPr>
        <w:pStyle w:val="Tijeloteksta"/>
        <w:jc w:val="center"/>
        <w:rPr>
          <w:rFonts w:ascii="Times New Roman" w:hAnsi="Times New Roman" w:cs="Times New Roman"/>
        </w:rPr>
      </w:pPr>
      <w:r>
        <w:rPr>
          <w:rFonts w:ascii="Times New Roman" w:hAnsi="Times New Roman" w:cs="Times New Roman"/>
        </w:rPr>
        <w:t>REPUBLIKA HRVATSKA</w:t>
      </w:r>
    </w:p>
    <w:p w:rsidR="00A66748" w:rsidRDefault="00A66748" w:rsidP="00A66748">
      <w:pPr>
        <w:pStyle w:val="Tijeloteksta"/>
        <w:jc w:val="center"/>
        <w:rPr>
          <w:rFonts w:ascii="Times New Roman" w:hAnsi="Times New Roman" w:cs="Times New Roman"/>
        </w:rPr>
      </w:pPr>
      <w:r>
        <w:rPr>
          <w:rFonts w:ascii="Times New Roman" w:hAnsi="Times New Roman" w:cs="Times New Roman"/>
        </w:rPr>
        <w:t>BRODSKO-POSAVSKA ŽUPANIJA</w:t>
      </w:r>
    </w:p>
    <w:p w:rsidR="00A66748" w:rsidRDefault="00A66748" w:rsidP="00A66748">
      <w:pPr>
        <w:pStyle w:val="Tijeloteksta"/>
        <w:jc w:val="center"/>
        <w:rPr>
          <w:rFonts w:ascii="Times New Roman" w:hAnsi="Times New Roman" w:cs="Times New Roman"/>
        </w:rPr>
      </w:pPr>
      <w:r>
        <w:rPr>
          <w:rFonts w:ascii="Times New Roman" w:hAnsi="Times New Roman" w:cs="Times New Roman"/>
        </w:rPr>
        <w:t xml:space="preserve">OPĆINA GORNJI BOGIĆEVCI </w:t>
      </w:r>
    </w:p>
    <w:p w:rsidR="00A66748" w:rsidRDefault="00A66748" w:rsidP="00A66748">
      <w:pPr>
        <w:pStyle w:val="Tijeloteksta"/>
        <w:jc w:val="center"/>
        <w:rPr>
          <w:rFonts w:ascii="Times New Roman" w:hAnsi="Times New Roman" w:cs="Times New Roman"/>
        </w:rPr>
      </w:pPr>
      <w:r>
        <w:rPr>
          <w:rFonts w:ascii="Times New Roman" w:hAnsi="Times New Roman" w:cs="Times New Roman"/>
        </w:rPr>
        <w:t>OPĆINSKO VIJEĆE</w:t>
      </w:r>
    </w:p>
    <w:p w:rsidR="00A66748" w:rsidRDefault="00A66748" w:rsidP="00A66748">
      <w:pPr>
        <w:pStyle w:val="Tijeloteksta"/>
        <w:spacing w:before="57"/>
      </w:pPr>
      <w:r>
        <w:t>KLASA: 363-02/25-01/1</w:t>
      </w:r>
    </w:p>
    <w:p w:rsidR="00A66748" w:rsidRDefault="00A66748" w:rsidP="00A66748">
      <w:pPr>
        <w:pStyle w:val="Tijeloteksta"/>
        <w:spacing w:before="57"/>
      </w:pPr>
      <w:r>
        <w:t>URBROJ: 2178-22-03-25-01</w:t>
      </w:r>
    </w:p>
    <w:p w:rsidR="00A66748" w:rsidRDefault="00A66748" w:rsidP="00A66748">
      <w:pPr>
        <w:pStyle w:val="Tijeloteksta"/>
        <w:spacing w:before="57"/>
      </w:pPr>
      <w:r>
        <w:t>Gornji Bogićevci, 22.12.2025.</w:t>
      </w:r>
    </w:p>
    <w:p w:rsidR="00A66748" w:rsidRDefault="00A66748" w:rsidP="00A66748">
      <w:pPr>
        <w:adjustRightInd w:val="0"/>
        <w:spacing w:after="0"/>
        <w:ind w:left="5448" w:right="-46" w:firstLine="312"/>
        <w:jc w:val="right"/>
      </w:pPr>
      <w:r>
        <w:t xml:space="preserve">PREDSJEDNIK </w:t>
      </w:r>
    </w:p>
    <w:p w:rsidR="00A66748" w:rsidRDefault="00A66748" w:rsidP="00A66748">
      <w:pPr>
        <w:pStyle w:val="StandardWeb"/>
        <w:ind w:left="4740" w:firstLine="708"/>
        <w:jc w:val="right"/>
        <w:rPr>
          <w:rFonts w:ascii="Calibri" w:eastAsia="Calibri" w:hAnsi="Calibri" w:cs="Calibri"/>
          <w:sz w:val="22"/>
          <w:szCs w:val="22"/>
          <w:lang w:eastAsia="en-US"/>
        </w:rPr>
      </w:pPr>
      <w:r>
        <w:rPr>
          <w:rFonts w:ascii="Calibri" w:eastAsia="Calibri" w:hAnsi="Calibri" w:cs="Calibri"/>
          <w:sz w:val="22"/>
          <w:szCs w:val="22"/>
          <w:lang w:eastAsia="en-US"/>
        </w:rPr>
        <w:t xml:space="preserve">OPĆINSKOG  VIJEĆA         </w:t>
      </w:r>
    </w:p>
    <w:p w:rsidR="00A66748" w:rsidRDefault="00A66748" w:rsidP="00A66748">
      <w:pPr>
        <w:pStyle w:val="Tijeloteksta"/>
        <w:spacing w:before="37"/>
        <w:jc w:val="right"/>
      </w:pPr>
      <w:r>
        <w:t xml:space="preserve">         </w:t>
      </w:r>
      <w:r>
        <w:tab/>
      </w:r>
      <w:r>
        <w:tab/>
      </w:r>
      <w:r>
        <w:tab/>
      </w:r>
      <w:r>
        <w:tab/>
      </w:r>
      <w:r>
        <w:tab/>
      </w:r>
      <w:r>
        <w:tab/>
      </w:r>
      <w:r>
        <w:tab/>
        <w:t xml:space="preserve">                 Željko Klarić</w:t>
      </w:r>
    </w:p>
    <w:p w:rsidR="00A66748" w:rsidRDefault="00A66748" w:rsidP="00A66748">
      <w:pPr>
        <w:pStyle w:val="Tijeloteksta"/>
        <w:spacing w:before="37"/>
        <w:jc w:val="right"/>
      </w:pPr>
    </w:p>
    <w:p w:rsidR="00A66748" w:rsidRDefault="00A66748" w:rsidP="00A66748">
      <w:pPr>
        <w:pStyle w:val="Tijeloteksta"/>
        <w:spacing w:before="37"/>
        <w:jc w:val="right"/>
        <w:rPr>
          <w:rFonts w:ascii="Calibri" w:eastAsia="Calibri" w:hAnsi="Calibri" w:cs="Calibri"/>
          <w:szCs w:val="22"/>
          <w:lang w:eastAsia="en-US"/>
        </w:rPr>
      </w:pPr>
    </w:p>
    <w:p w:rsidR="00A66748" w:rsidRDefault="00A66748" w:rsidP="00A66748">
      <w:pPr>
        <w:spacing w:after="0"/>
        <w:jc w:val="right"/>
      </w:pPr>
    </w:p>
    <w:p w:rsidR="00A66748" w:rsidRDefault="00A66748" w:rsidP="00A66748">
      <w:pPr>
        <w:spacing w:after="0"/>
        <w:jc w:val="center"/>
      </w:pPr>
      <w:r>
        <w:t>O b r a z l o ž e nj e</w:t>
      </w:r>
    </w:p>
    <w:p w:rsidR="00A66748" w:rsidRDefault="00A66748" w:rsidP="00A66748">
      <w:pPr>
        <w:spacing w:after="0"/>
      </w:pPr>
    </w:p>
    <w:p w:rsidR="00A66748" w:rsidRDefault="00A66748" w:rsidP="00A66748">
      <w:pPr>
        <w:spacing w:after="0"/>
      </w:pPr>
      <w:r>
        <w:t>Tijekom primjene Odluke o načinu pružanja javne usluge sakupljanja komunalnog otpada iz 2022.</w:t>
      </w:r>
    </w:p>
    <w:p w:rsidR="00A66748" w:rsidRDefault="00A66748" w:rsidP="00A66748">
      <w:pPr>
        <w:spacing w:after="0"/>
      </w:pPr>
      <w:r>
        <w:t>godine do donošenja ovog prijedloga na terenu su uočene okolnosti koje treba regulirati odlukom na</w:t>
      </w:r>
    </w:p>
    <w:p w:rsidR="00A66748" w:rsidRDefault="00A66748" w:rsidP="00A66748">
      <w:pPr>
        <w:spacing w:after="0"/>
      </w:pPr>
      <w:r>
        <w:t>drugačiji način, zbog čega je predložena izmjena i dopuna odredbi navedenih članaka.</w:t>
      </w:r>
    </w:p>
    <w:p w:rsidR="00A66748" w:rsidRDefault="00A66748" w:rsidP="00A66748">
      <w:pPr>
        <w:spacing w:after="0"/>
      </w:pPr>
      <w:r>
        <w:t>Jedan od razloga povećanja cijene obvezne minimalne javne usluge je primjenjivanje članka 100.</w:t>
      </w:r>
    </w:p>
    <w:p w:rsidR="00A66748" w:rsidRDefault="00A66748" w:rsidP="00A66748">
      <w:pPr>
        <w:spacing w:after="0"/>
      </w:pPr>
      <w:r>
        <w:t>stavak 1. Zakona o gospodarenju otpadom, koji obvezuje davatelja javne usluge na plaćanje naknade</w:t>
      </w:r>
    </w:p>
    <w:p w:rsidR="00A66748" w:rsidRDefault="00A66748" w:rsidP="00A66748">
      <w:pPr>
        <w:spacing w:after="0"/>
      </w:pPr>
      <w:r>
        <w:t>za odlaganje otpada. Isto tako temeljem UREDBE Vlade Republike Hrvatske o jediničnoj naknadi za</w:t>
      </w:r>
    </w:p>
    <w:p w:rsidR="00A66748" w:rsidRDefault="00A66748" w:rsidP="00A66748">
      <w:pPr>
        <w:spacing w:after="0"/>
      </w:pPr>
      <w:r>
        <w:t>odlaganje otpada (NN 137/2024) koja je stupila na snagu 01. siječnja 2025. godine, također je</w:t>
      </w:r>
    </w:p>
    <w:p w:rsidR="00A66748" w:rsidRDefault="00A66748" w:rsidP="00A66748">
      <w:pPr>
        <w:spacing w:after="0"/>
      </w:pPr>
      <w:r>
        <w:t>propisana naknada za odlaganje otpada. Kroz navedenu naknadu davatelj javne usluge je dužan plaćati Fondu za zaštitu okoliša i energetsku učinkovitost za svaku tonu otpada od 30 do 50 eura. Novonastalitroškovi za davatelja javne usluge su cca 400.000,00 eura godišnje.</w:t>
      </w:r>
    </w:p>
    <w:p w:rsidR="00A66748" w:rsidRDefault="00A66748" w:rsidP="00A66748">
      <w:pPr>
        <w:spacing w:after="0"/>
      </w:pPr>
      <w:r>
        <w:t>Također unazad nekoliko godina primjetan je utjecaj inflacije koji je utjecao na povećanje materijalnih troškova, održavanja vozila i ostalih troškova povezanih uz gospodarenje otpadom, troškovi rada reciklažnog dvorišta. Povećanje navedenih troškove je 25,8 % u odnosu na 2023. godinu. Zbog povećanja iznosa minimalne plaće propisane Uredbom Vlade Republike Hrvatske došlo je do dodatnih troškova od 18 %, povećanje minimalne plaće te povećanje broja zaposlenih.</w:t>
      </w:r>
    </w:p>
    <w:p w:rsidR="00A66748" w:rsidRDefault="00A66748" w:rsidP="00A66748">
      <w:pPr>
        <w:spacing w:after="0"/>
      </w:pPr>
      <w:r>
        <w:t>Kako se ukupni iznos računa za usluge nije mjenjao od 2019. godine, a zbog povećanja troškova</w:t>
      </w:r>
    </w:p>
    <w:p w:rsidR="00A66748" w:rsidRDefault="00A66748" w:rsidP="00A66748">
      <w:pPr>
        <w:spacing w:after="0"/>
      </w:pPr>
      <w:r>
        <w:t>poslovanja društva predlaže se izmjena odluke na način kako je navedeno.</w:t>
      </w:r>
    </w:p>
    <w:p w:rsidR="00A66748" w:rsidRDefault="00A66748" w:rsidP="00A66748">
      <w:pPr>
        <w:spacing w:after="0"/>
      </w:pPr>
      <w:r>
        <w:t>Predlažemo postupanje sukladno st.4 čl.66. Zakona o gospodarenju otpadom (NN 84/21, 142/23)</w:t>
      </w:r>
    </w:p>
    <w:p w:rsidR="005C1E80" w:rsidRDefault="005C1E80" w:rsidP="005C1E80">
      <w:pPr>
        <w:rPr>
          <w:rFonts w:ascii="Aptos" w:hAnsi="Aptos"/>
          <w:sz w:val="24"/>
          <w:szCs w:val="24"/>
          <w:lang w:eastAsia="zh-CN"/>
        </w:rPr>
      </w:pPr>
    </w:p>
    <w:p w:rsidR="005C1E80" w:rsidRDefault="00A66748" w:rsidP="00A66748">
      <w:pPr>
        <w:rPr>
          <w:rFonts w:ascii="Aptos" w:hAnsi="Aptos"/>
          <w:sz w:val="24"/>
          <w:szCs w:val="24"/>
          <w:lang w:eastAsia="zh-CN"/>
        </w:rPr>
      </w:pPr>
      <w:r w:rsidRPr="00A66748">
        <w:rPr>
          <w:noProof/>
          <w:lang w:eastAsia="hr-HR"/>
        </w:rPr>
        <w:lastRenderedPageBreak/>
        <w:drawing>
          <wp:inline distT="0" distB="0" distL="0" distR="0">
            <wp:extent cx="5659120" cy="8892540"/>
            <wp:effectExtent l="0" t="0" r="0" b="0"/>
            <wp:docPr id="115003273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59120" cy="8892540"/>
                    </a:xfrm>
                    <a:prstGeom prst="rect">
                      <a:avLst/>
                    </a:prstGeom>
                    <a:noFill/>
                    <a:ln>
                      <a:noFill/>
                    </a:ln>
                  </pic:spPr>
                </pic:pic>
              </a:graphicData>
            </a:graphic>
          </wp:inline>
        </w:drawing>
      </w:r>
      <w:bookmarkEnd w:id="93"/>
      <w:bookmarkEnd w:id="104"/>
      <w:bookmarkEnd w:id="105"/>
    </w:p>
    <w:p w:rsidR="00A44BDC" w:rsidRDefault="00A44BDC" w:rsidP="00A66748">
      <w:pPr>
        <w:rPr>
          <w:rFonts w:ascii="Aptos" w:hAnsi="Aptos"/>
          <w:sz w:val="24"/>
          <w:szCs w:val="24"/>
          <w:lang w:eastAsia="zh-CN"/>
        </w:rPr>
      </w:pPr>
    </w:p>
    <w:p w:rsidR="00A44BDC" w:rsidRDefault="00A44BDC" w:rsidP="00A66748">
      <w:pPr>
        <w:rPr>
          <w:rFonts w:ascii="Aptos" w:hAnsi="Aptos"/>
          <w:sz w:val="24"/>
          <w:szCs w:val="24"/>
          <w:lang w:eastAsia="zh-CN"/>
        </w:rPr>
      </w:pPr>
      <w:r>
        <w:rPr>
          <w:rFonts w:ascii="Aptos" w:hAnsi="Aptos"/>
          <w:sz w:val="24"/>
          <w:szCs w:val="24"/>
          <w:lang w:eastAsia="zh-CN"/>
        </w:rPr>
        <w:t>54. Odluka o davanju prethodne suglasnosti na Statut NKČ Grigor Vitez Gornji Bogićevci</w:t>
      </w:r>
    </w:p>
    <w:p w:rsidR="00A44BDC" w:rsidRDefault="00A44BDC" w:rsidP="00A66748">
      <w:pPr>
        <w:rPr>
          <w:rFonts w:ascii="Aptos" w:hAnsi="Aptos"/>
          <w:sz w:val="24"/>
          <w:szCs w:val="24"/>
          <w:lang w:eastAsia="zh-CN"/>
        </w:rPr>
      </w:pPr>
    </w:p>
    <w:p w:rsidR="00A44BDC" w:rsidRDefault="00A44BDC" w:rsidP="00A44BDC">
      <w:pPr>
        <w:shd w:val="clear" w:color="auto" w:fill="FFFFFF"/>
        <w:spacing w:after="0" w:line="240" w:lineRule="auto"/>
        <w:rPr>
          <w:rFonts w:ascii="Segoe UI" w:eastAsia="Times New Roman" w:hAnsi="Segoe UI" w:cs="Segoe UI"/>
          <w:color w:val="000000"/>
          <w:sz w:val="21"/>
          <w:szCs w:val="21"/>
          <w:lang w:eastAsia="hr-HR"/>
        </w:rPr>
      </w:pPr>
      <w:r>
        <w:rPr>
          <w:rFonts w:ascii="Segoe UI" w:eastAsia="Times New Roman" w:hAnsi="Segoe UI" w:cs="Segoe UI"/>
          <w:noProof/>
          <w:color w:val="000000"/>
          <w:sz w:val="21"/>
          <w:szCs w:val="21"/>
          <w:lang w:eastAsia="hr-HR"/>
        </w:rPr>
        <w:drawing>
          <wp:inline distT="0" distB="0" distL="0" distR="0">
            <wp:extent cx="533400" cy="400050"/>
            <wp:effectExtent l="19050" t="0" r="0" b="0"/>
            <wp:docPr id="2" name="Slika 0" descr="HR-grb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R-grb_1.jpg"/>
                    <pic:cNvPicPr/>
                  </pic:nvPicPr>
                  <pic:blipFill>
                    <a:blip r:embed="rId85" cstate="print"/>
                    <a:stretch>
                      <a:fillRect/>
                    </a:stretch>
                  </pic:blipFill>
                  <pic:spPr>
                    <a:xfrm>
                      <a:off x="0" y="0"/>
                      <a:ext cx="533400" cy="400050"/>
                    </a:xfrm>
                    <a:prstGeom prst="rect">
                      <a:avLst/>
                    </a:prstGeom>
                  </pic:spPr>
                </pic:pic>
              </a:graphicData>
            </a:graphic>
          </wp:inline>
        </w:drawing>
      </w: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REPUBLIKA HRVATSKA</w:t>
      </w: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r>
        <w:rPr>
          <w:rFonts w:ascii="Segoe UI" w:eastAsia="Times New Roman" w:hAnsi="Segoe UI" w:cs="Segoe UI"/>
          <w:color w:val="000000"/>
          <w:sz w:val="21"/>
          <w:szCs w:val="21"/>
          <w:lang w:eastAsia="hr-HR"/>
        </w:rPr>
        <w:t>BRODSKO-POSAVSKA ŽUPANIJA</w:t>
      </w: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r>
        <w:rPr>
          <w:rFonts w:ascii="Segoe UI" w:eastAsia="Times New Roman" w:hAnsi="Segoe UI" w:cs="Segoe UI"/>
          <w:color w:val="000000"/>
          <w:sz w:val="21"/>
          <w:szCs w:val="21"/>
          <w:lang w:eastAsia="hr-HR"/>
        </w:rPr>
        <w:t>OPĆINA GORNJI BOGIĆEVCI</w:t>
      </w: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OPĆINSKO VIJEĆE</w:t>
      </w:r>
    </w:p>
    <w:p w:rsidR="00A44BDC"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Na temelju članka 35. Zakona o lokalnoj i područnoj (regionalnoj) samoupravi („Narodne novine“ br. 33/01, 60/01, 129/05, 109/07, 125/08, 36/09, 150/11, 144/12, 19/13, 137/15, 12</w:t>
      </w:r>
      <w:r>
        <w:rPr>
          <w:rFonts w:ascii="Segoe UI" w:eastAsia="Times New Roman" w:hAnsi="Segoe UI" w:cs="Segoe UI"/>
          <w:color w:val="000000"/>
          <w:sz w:val="21"/>
          <w:szCs w:val="21"/>
          <w:lang w:eastAsia="hr-HR"/>
        </w:rPr>
        <w:t>3/17, 98/19 i 144/20), članka 33. i 91. Statuta Općine Gornji Bogićevci (službeni glasnik općine Gornji Bogićevi 2/21)</w:t>
      </w:r>
      <w:r w:rsidRPr="00F766D7">
        <w:rPr>
          <w:rFonts w:ascii="Segoe UI" w:eastAsia="Times New Roman" w:hAnsi="Segoe UI" w:cs="Segoe UI"/>
          <w:color w:val="000000"/>
          <w:sz w:val="21"/>
          <w:szCs w:val="21"/>
          <w:lang w:eastAsia="hr-HR"/>
        </w:rPr>
        <w:t>, a sukladno odredbama Zakona o ustanovama („Narodne novine“ br. 76/93, 29/97, 47/99, 35/08, 127/19 i 151/22) te Zakona o knjižnicama i knjižničnoj djelatnosti („Narodne novine“ br. 17/19, 98/19, 114/22 i 36/24), Općinsko vijeće Općine</w:t>
      </w:r>
      <w:r>
        <w:rPr>
          <w:rFonts w:ascii="Segoe UI" w:eastAsia="Times New Roman" w:hAnsi="Segoe UI" w:cs="Segoe UI"/>
          <w:color w:val="000000"/>
          <w:sz w:val="21"/>
          <w:szCs w:val="21"/>
          <w:lang w:eastAsia="hr-HR"/>
        </w:rPr>
        <w:t xml:space="preserve"> Gornji Bogićevci na 5. sjednici održanoj dana 22. prosinca 2025</w:t>
      </w:r>
      <w:r w:rsidRPr="00F766D7">
        <w:rPr>
          <w:rFonts w:ascii="Segoe UI" w:eastAsia="Times New Roman" w:hAnsi="Segoe UI" w:cs="Segoe UI"/>
          <w:color w:val="000000"/>
          <w:sz w:val="21"/>
          <w:szCs w:val="21"/>
          <w:lang w:eastAsia="hr-HR"/>
        </w:rPr>
        <w:t>. godine donijelo je</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ODLUKU</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o davanju prethodne suglasnosti na prijedlog</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Pr>
          <w:rFonts w:ascii="Segoe UI" w:eastAsia="Times New Roman" w:hAnsi="Segoe UI" w:cs="Segoe UI"/>
          <w:color w:val="000000"/>
          <w:sz w:val="21"/>
          <w:szCs w:val="21"/>
          <w:lang w:eastAsia="hr-HR"/>
        </w:rPr>
        <w:t>Statuta Narodne knjižnice i čitaonice Grigor Vitez Gornji Bogićevci</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I.</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 xml:space="preserve">Općinsko vijeće Općine </w:t>
      </w:r>
      <w:r>
        <w:rPr>
          <w:rFonts w:ascii="Segoe UI" w:eastAsia="Times New Roman" w:hAnsi="Segoe UI" w:cs="Segoe UI"/>
          <w:color w:val="000000"/>
          <w:sz w:val="21"/>
          <w:szCs w:val="21"/>
          <w:lang w:eastAsia="hr-HR"/>
        </w:rPr>
        <w:t xml:space="preserve">Gornji Bogićevci </w:t>
      </w:r>
      <w:r w:rsidRPr="00F766D7">
        <w:rPr>
          <w:rFonts w:ascii="Segoe UI" w:eastAsia="Times New Roman" w:hAnsi="Segoe UI" w:cs="Segoe UI"/>
          <w:color w:val="000000"/>
          <w:sz w:val="21"/>
          <w:szCs w:val="21"/>
          <w:lang w:eastAsia="hr-HR"/>
        </w:rPr>
        <w:t xml:space="preserve">daje prethodnu suglasnost na prijedlog Statuta </w:t>
      </w:r>
      <w:r>
        <w:rPr>
          <w:rFonts w:ascii="Segoe UI" w:eastAsia="Times New Roman" w:hAnsi="Segoe UI" w:cs="Segoe UI"/>
          <w:color w:val="000000"/>
          <w:sz w:val="21"/>
          <w:szCs w:val="21"/>
          <w:lang w:eastAsia="hr-HR"/>
        </w:rPr>
        <w:t>Narodne knjižnice i čitaonice Grigor Vitez Gornji Bogićevci</w:t>
      </w:r>
      <w:r w:rsidRPr="00F766D7">
        <w:rPr>
          <w:rFonts w:ascii="Segoe UI" w:eastAsia="Times New Roman" w:hAnsi="Segoe UI" w:cs="Segoe UI"/>
          <w:color w:val="000000"/>
          <w:sz w:val="21"/>
          <w:szCs w:val="21"/>
          <w:lang w:eastAsia="hr-HR"/>
        </w:rPr>
        <w:t>, koji je sastavni dio ove Odluke.</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II.</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 xml:space="preserve">Ova Odluka stupa na snagu danom donošenja i objaviti će se na internetskoj stranici Općine </w:t>
      </w:r>
      <w:r>
        <w:rPr>
          <w:rFonts w:ascii="Segoe UI" w:eastAsia="Times New Roman" w:hAnsi="Segoe UI" w:cs="Segoe UI"/>
          <w:color w:val="000000"/>
          <w:sz w:val="21"/>
          <w:szCs w:val="21"/>
          <w:lang w:eastAsia="hr-HR"/>
        </w:rPr>
        <w:t>Gornji Bogićevci</w:t>
      </w:r>
      <w:r w:rsidRPr="00F766D7">
        <w:rPr>
          <w:rFonts w:ascii="Segoe UI" w:eastAsia="Times New Roman" w:hAnsi="Segoe UI" w:cs="Segoe UI"/>
          <w:color w:val="000000"/>
          <w:sz w:val="21"/>
          <w:szCs w:val="21"/>
          <w:lang w:eastAsia="hr-HR"/>
        </w:rPr>
        <w:t>.</w:t>
      </w: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116B6E" w:rsidRDefault="00A44BDC" w:rsidP="00A44BDC">
      <w:pPr>
        <w:shd w:val="clear" w:color="auto" w:fill="FFFFFF"/>
        <w:spacing w:after="0" w:line="240" w:lineRule="auto"/>
        <w:rPr>
          <w:rFonts w:ascii="Segoe UI" w:eastAsia="Times New Roman" w:hAnsi="Segoe UI" w:cs="Segoe UI"/>
          <w:color w:val="000000" w:themeColor="text1"/>
          <w:sz w:val="21"/>
          <w:szCs w:val="21"/>
          <w:lang w:eastAsia="hr-HR"/>
        </w:rPr>
      </w:pPr>
      <w:r>
        <w:rPr>
          <w:rFonts w:ascii="Segoe UI" w:eastAsia="Times New Roman" w:hAnsi="Segoe UI" w:cs="Segoe UI"/>
          <w:color w:val="000000" w:themeColor="text1"/>
          <w:sz w:val="21"/>
          <w:szCs w:val="21"/>
          <w:lang w:eastAsia="hr-HR"/>
        </w:rPr>
        <w:t>KLASA: 610-01/25</w:t>
      </w:r>
      <w:r w:rsidRPr="00116B6E">
        <w:rPr>
          <w:rFonts w:ascii="Segoe UI" w:eastAsia="Times New Roman" w:hAnsi="Segoe UI" w:cs="Segoe UI"/>
          <w:color w:val="000000" w:themeColor="text1"/>
          <w:sz w:val="21"/>
          <w:szCs w:val="21"/>
          <w:lang w:eastAsia="hr-HR"/>
        </w:rPr>
        <w:t>-01/01</w:t>
      </w:r>
    </w:p>
    <w:p w:rsidR="00A44BDC" w:rsidRPr="00116B6E" w:rsidRDefault="00A44BDC" w:rsidP="00A44BDC">
      <w:pPr>
        <w:shd w:val="clear" w:color="auto" w:fill="FFFFFF"/>
        <w:spacing w:after="0" w:line="240" w:lineRule="auto"/>
        <w:rPr>
          <w:rFonts w:ascii="Segoe UI" w:eastAsia="Times New Roman" w:hAnsi="Segoe UI" w:cs="Segoe UI"/>
          <w:color w:val="000000" w:themeColor="text1"/>
          <w:sz w:val="21"/>
          <w:szCs w:val="21"/>
          <w:lang w:eastAsia="hr-HR"/>
        </w:rPr>
      </w:pPr>
      <w:r>
        <w:rPr>
          <w:rFonts w:ascii="Segoe UI" w:eastAsia="Times New Roman" w:hAnsi="Segoe UI" w:cs="Segoe UI"/>
          <w:color w:val="000000" w:themeColor="text1"/>
          <w:sz w:val="21"/>
          <w:szCs w:val="21"/>
          <w:lang w:eastAsia="hr-HR"/>
        </w:rPr>
        <w:t xml:space="preserve"> URBROJ: 2178-22-03-25</w:t>
      </w:r>
      <w:r w:rsidRPr="00116B6E">
        <w:rPr>
          <w:rFonts w:ascii="Segoe UI" w:eastAsia="Times New Roman" w:hAnsi="Segoe UI" w:cs="Segoe UI"/>
          <w:color w:val="000000" w:themeColor="text1"/>
          <w:sz w:val="21"/>
          <w:szCs w:val="21"/>
          <w:lang w:eastAsia="hr-HR"/>
        </w:rPr>
        <w:t>-1</w:t>
      </w: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r>
        <w:rPr>
          <w:rFonts w:ascii="Segoe UI" w:eastAsia="Times New Roman" w:hAnsi="Segoe UI" w:cs="Segoe UI"/>
          <w:color w:val="000000"/>
          <w:sz w:val="21"/>
          <w:szCs w:val="21"/>
          <w:lang w:eastAsia="hr-HR"/>
        </w:rPr>
        <w:t>Gornji Bogićevci, 22. prosinca 2025</w:t>
      </w:r>
      <w:r w:rsidRPr="00F766D7">
        <w:rPr>
          <w:rFonts w:ascii="Segoe UI" w:eastAsia="Times New Roman" w:hAnsi="Segoe UI" w:cs="Segoe UI"/>
          <w:color w:val="000000"/>
          <w:sz w:val="21"/>
          <w:szCs w:val="21"/>
          <w:lang w:eastAsia="hr-HR"/>
        </w:rPr>
        <w:t>.</w:t>
      </w:r>
    </w:p>
    <w:p w:rsidR="00A44BDC" w:rsidRPr="00F766D7" w:rsidRDefault="00A44BDC" w:rsidP="00A44BDC">
      <w:pPr>
        <w:shd w:val="clear" w:color="auto" w:fill="FFFFFF"/>
        <w:spacing w:after="0" w:line="240" w:lineRule="auto"/>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center"/>
        <w:rPr>
          <w:rFonts w:ascii="Segoe UI" w:eastAsia="Times New Roman" w:hAnsi="Segoe UI" w:cs="Segoe UI"/>
          <w:color w:val="000000"/>
          <w:sz w:val="21"/>
          <w:szCs w:val="21"/>
          <w:lang w:eastAsia="hr-HR"/>
        </w:rPr>
      </w:pPr>
    </w:p>
    <w:p w:rsidR="00A44BDC" w:rsidRPr="00F766D7" w:rsidRDefault="00A44BDC" w:rsidP="00A44BDC">
      <w:pPr>
        <w:shd w:val="clear" w:color="auto" w:fill="FFFFFF"/>
        <w:spacing w:after="0" w:line="240" w:lineRule="auto"/>
        <w:jc w:val="right"/>
        <w:rPr>
          <w:rFonts w:ascii="Segoe UI" w:eastAsia="Times New Roman" w:hAnsi="Segoe UI" w:cs="Segoe UI"/>
          <w:color w:val="000000"/>
          <w:sz w:val="21"/>
          <w:szCs w:val="21"/>
          <w:lang w:eastAsia="hr-HR"/>
        </w:rPr>
      </w:pPr>
      <w:r w:rsidRPr="00F766D7">
        <w:rPr>
          <w:rFonts w:ascii="Segoe UI" w:eastAsia="Times New Roman" w:hAnsi="Segoe UI" w:cs="Segoe UI"/>
          <w:color w:val="000000"/>
          <w:sz w:val="21"/>
          <w:szCs w:val="21"/>
          <w:lang w:eastAsia="hr-HR"/>
        </w:rPr>
        <w:t>PREDSJEDNIK</w:t>
      </w:r>
    </w:p>
    <w:p w:rsidR="00A44BDC" w:rsidRPr="00F766D7" w:rsidRDefault="00A44BDC" w:rsidP="00A44BDC">
      <w:pPr>
        <w:shd w:val="clear" w:color="auto" w:fill="FFFFFF"/>
        <w:spacing w:after="0" w:line="240" w:lineRule="auto"/>
        <w:jc w:val="right"/>
        <w:rPr>
          <w:rFonts w:ascii="Segoe UI" w:eastAsia="Times New Roman" w:hAnsi="Segoe UI" w:cs="Segoe UI"/>
          <w:color w:val="000000"/>
          <w:sz w:val="21"/>
          <w:szCs w:val="21"/>
          <w:lang w:eastAsia="hr-HR"/>
        </w:rPr>
      </w:pPr>
      <w:r>
        <w:rPr>
          <w:rFonts w:ascii="Segoe UI" w:eastAsia="Times New Roman" w:hAnsi="Segoe UI" w:cs="Segoe UI"/>
          <w:color w:val="000000"/>
          <w:sz w:val="21"/>
          <w:szCs w:val="21"/>
          <w:lang w:eastAsia="hr-HR"/>
        </w:rPr>
        <w:t>OPĆINSKOG VIJEĆA:</w:t>
      </w:r>
    </w:p>
    <w:p w:rsidR="00A44BDC" w:rsidRPr="00F766D7" w:rsidRDefault="00A44BDC" w:rsidP="00A44BDC">
      <w:pPr>
        <w:shd w:val="clear" w:color="auto" w:fill="FFFFFF"/>
        <w:spacing w:after="0" w:line="240" w:lineRule="auto"/>
        <w:jc w:val="right"/>
        <w:rPr>
          <w:rFonts w:ascii="Segoe UI" w:eastAsia="Times New Roman" w:hAnsi="Segoe UI" w:cs="Segoe UI"/>
          <w:color w:val="000000"/>
          <w:sz w:val="21"/>
          <w:szCs w:val="21"/>
          <w:lang w:eastAsia="hr-HR"/>
        </w:rPr>
      </w:pPr>
      <w:r>
        <w:rPr>
          <w:rFonts w:ascii="Segoe UI" w:eastAsia="Times New Roman" w:hAnsi="Segoe UI" w:cs="Segoe UI"/>
          <w:color w:val="000000"/>
          <w:sz w:val="21"/>
          <w:szCs w:val="21"/>
          <w:lang w:eastAsia="hr-HR"/>
        </w:rPr>
        <w:t>Željko Klarić</w:t>
      </w:r>
    </w:p>
    <w:p w:rsidR="00A44BDC" w:rsidRPr="00A66748" w:rsidRDefault="00A44BDC" w:rsidP="00A66748">
      <w:pPr>
        <w:rPr>
          <w:rFonts w:ascii="Aptos" w:hAnsi="Aptos"/>
          <w:sz w:val="24"/>
          <w:szCs w:val="24"/>
          <w:lang w:eastAsia="zh-CN"/>
        </w:rPr>
        <w:sectPr w:rsidR="00A44BDC" w:rsidRPr="00A66748" w:rsidSect="00F57898">
          <w:footerReference w:type="default" r:id="rId86"/>
          <w:pgSz w:w="11906" w:h="16838"/>
          <w:pgMar w:top="1417" w:right="1417" w:bottom="1417" w:left="1417" w:header="708" w:footer="708" w:gutter="0"/>
          <w:pgNumType w:start="1"/>
          <w:cols w:space="708"/>
          <w:titlePg/>
          <w:docGrid w:linePitch="360"/>
        </w:sectPr>
      </w:pPr>
    </w:p>
    <w:p w:rsidR="00360577" w:rsidRPr="009B616B" w:rsidRDefault="00360577" w:rsidP="00360577">
      <w:pPr>
        <w:spacing w:line="360" w:lineRule="auto"/>
        <w:jc w:val="both"/>
        <w:rPr>
          <w:rFonts w:ascii="Times New Roman" w:hAnsi="Times New Roman" w:cs="Times New Roman"/>
          <w:sz w:val="24"/>
          <w:szCs w:val="24"/>
        </w:rPr>
      </w:pPr>
    </w:p>
    <w:p w:rsidR="00360577" w:rsidRPr="00360577" w:rsidRDefault="00360577" w:rsidP="00360577">
      <w:pPr>
        <w:pStyle w:val="Bezproreda"/>
        <w:ind w:left="360"/>
        <w:rPr>
          <w:rFonts w:ascii="Times New Roman" w:hAnsi="Times New Roman" w:cs="Times New Roman"/>
          <w:b/>
          <w:i/>
          <w:sz w:val="32"/>
          <w:szCs w:val="24"/>
          <w:u w:val="single"/>
        </w:rPr>
      </w:pPr>
    </w:p>
    <w:p w:rsidR="00B863A6" w:rsidRDefault="00B863A6" w:rsidP="00B863A6">
      <w:pPr>
        <w:widowControl w:val="0"/>
        <w:suppressAutoHyphens/>
        <w:autoSpaceDE w:val="0"/>
        <w:autoSpaceDN w:val="0"/>
        <w:adjustRightInd w:val="0"/>
        <w:spacing w:after="0" w:line="240" w:lineRule="auto"/>
        <w:rPr>
          <w:rFonts w:ascii="Arial" w:eastAsia="Times New Roman" w:hAnsi="Arial" w:cs="Arial"/>
          <w:b/>
          <w:sz w:val="36"/>
          <w:szCs w:val="36"/>
          <w:lang w:eastAsia="hr-HR"/>
        </w:rPr>
      </w:pPr>
      <w:r>
        <w:rPr>
          <w:rFonts w:ascii="Arial" w:eastAsia="Times New Roman" w:hAnsi="Arial" w:cs="Arial"/>
          <w:b/>
          <w:sz w:val="36"/>
          <w:szCs w:val="36"/>
          <w:lang w:eastAsia="hr-HR"/>
        </w:rPr>
        <w:t>Bilješke:</w:t>
      </w:r>
    </w:p>
    <w:p w:rsidR="00B863A6" w:rsidRDefault="00B863A6" w:rsidP="00B863A6">
      <w:pPr>
        <w:suppressAutoHyphens/>
        <w:spacing w:after="0" w:line="240" w:lineRule="auto"/>
        <w:rPr>
          <w:rFonts w:ascii="Arial" w:eastAsia="Times New Roman" w:hAnsi="Arial" w:cs="Arial"/>
          <w:sz w:val="36"/>
          <w:szCs w:val="36"/>
          <w:lang w:eastAsia="hr-HR"/>
        </w:rPr>
      </w:pPr>
      <w:r>
        <w:rPr>
          <w:rFonts w:ascii="Arial" w:eastAsia="Times New Roman" w:hAnsi="Arial" w:cs="Arial"/>
          <w:sz w:val="36"/>
          <w:szCs w:val="36"/>
          <w:lang w:eastAsia="hr-H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p>
    <w:p w:rsidR="00B863A6" w:rsidRDefault="00B863A6" w:rsidP="00B863A6">
      <w:pPr>
        <w:suppressAutoHyphens/>
        <w:spacing w:after="0" w:line="240" w:lineRule="auto"/>
        <w:rPr>
          <w:rFonts w:ascii="Arial" w:eastAsia="Times New Roman" w:hAnsi="Arial" w:cs="Arial"/>
          <w:sz w:val="36"/>
          <w:szCs w:val="36"/>
          <w:lang w:eastAsia="hr-HR"/>
        </w:rPr>
      </w:pPr>
      <w:r>
        <w:rPr>
          <w:rFonts w:ascii="Arial" w:eastAsia="Times New Roman" w:hAnsi="Arial" w:cs="Arial"/>
          <w:sz w:val="36"/>
          <w:szCs w:val="36"/>
          <w:lang w:eastAsia="hr-HR"/>
        </w:rPr>
        <w:t>_________________________________________________________________________________________________________________________________________________________________________________________________________________________________</w:t>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r>
        <w:rPr>
          <w:rFonts w:ascii="Arial" w:eastAsia="Times New Roman" w:hAnsi="Arial" w:cs="Arial"/>
          <w:sz w:val="36"/>
          <w:szCs w:val="36"/>
          <w:lang w:eastAsia="hr-HR"/>
        </w:rPr>
        <w:softHyphen/>
      </w:r>
    </w:p>
    <w:p w:rsidR="00B863A6" w:rsidRDefault="00B863A6" w:rsidP="00B863A6">
      <w:pPr>
        <w:suppressAutoHyphens/>
        <w:spacing w:after="0" w:line="240" w:lineRule="auto"/>
        <w:rPr>
          <w:rFonts w:ascii="Arial" w:eastAsia="Times New Roman" w:hAnsi="Arial" w:cs="Arial"/>
          <w:sz w:val="36"/>
          <w:szCs w:val="36"/>
          <w:lang w:eastAsia="hr-HR"/>
        </w:rPr>
      </w:pPr>
    </w:p>
    <w:tbl>
      <w:tblPr>
        <w:tblW w:w="7560" w:type="dxa"/>
        <w:tblInd w:w="648" w:type="dxa"/>
        <w:tblLayout w:type="fixed"/>
        <w:tblLook w:val="04A0"/>
      </w:tblPr>
      <w:tblGrid>
        <w:gridCol w:w="7560"/>
      </w:tblGrid>
      <w:tr w:rsidR="00B863A6" w:rsidTr="00026940">
        <w:trPr>
          <w:trHeight w:val="1620"/>
        </w:trPr>
        <w:tc>
          <w:tcPr>
            <w:tcW w:w="7560" w:type="dxa"/>
            <w:tcBorders>
              <w:top w:val="double" w:sz="4" w:space="0" w:color="000000"/>
              <w:left w:val="double" w:sz="4" w:space="0" w:color="000000"/>
              <w:bottom w:val="double" w:sz="4" w:space="0" w:color="000000"/>
              <w:right w:val="double" w:sz="4" w:space="0" w:color="000000"/>
            </w:tcBorders>
          </w:tcPr>
          <w:p w:rsidR="00B863A6" w:rsidRDefault="00B863A6" w:rsidP="00026940">
            <w:pPr>
              <w:widowControl w:val="0"/>
              <w:suppressAutoHyphens/>
              <w:spacing w:after="0" w:line="240" w:lineRule="auto"/>
              <w:ind w:left="168"/>
              <w:rPr>
                <w:rFonts w:ascii="Arial" w:eastAsia="Times New Roman" w:hAnsi="Arial" w:cs="Arial"/>
                <w:sz w:val="24"/>
                <w:szCs w:val="24"/>
                <w:lang w:eastAsia="hr-HR"/>
              </w:rPr>
            </w:pPr>
          </w:p>
          <w:p w:rsidR="00B863A6" w:rsidRDefault="00B863A6" w:rsidP="00026940">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Izdaje Jedinstveni upravni odjel općine Gornji Bogićevci</w:t>
            </w:r>
          </w:p>
          <w:p w:rsidR="00B863A6" w:rsidRDefault="00B863A6" w:rsidP="00026940">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 xml:space="preserve">Odgovorni urednik: </w:t>
            </w:r>
            <w:r w:rsidR="00D92DB5">
              <w:rPr>
                <w:rFonts w:ascii="Arial" w:eastAsia="Times New Roman" w:hAnsi="Arial" w:cs="Arial"/>
                <w:b/>
                <w:sz w:val="24"/>
                <w:szCs w:val="24"/>
                <w:lang w:eastAsia="hr-HR"/>
              </w:rPr>
              <w:t>Aleksandra Zdunić dipl.ing</w:t>
            </w:r>
            <w:r>
              <w:rPr>
                <w:rFonts w:ascii="Arial" w:eastAsia="Times New Roman" w:hAnsi="Arial" w:cs="Arial"/>
                <w:b/>
                <w:sz w:val="24"/>
                <w:szCs w:val="24"/>
                <w:lang w:eastAsia="hr-HR"/>
              </w:rPr>
              <w:t>.</w:t>
            </w:r>
            <w:r w:rsidR="00D92DB5">
              <w:rPr>
                <w:rFonts w:ascii="Arial" w:eastAsia="Times New Roman" w:hAnsi="Arial" w:cs="Arial"/>
                <w:b/>
                <w:sz w:val="24"/>
                <w:szCs w:val="24"/>
                <w:lang w:eastAsia="hr-HR"/>
              </w:rPr>
              <w:t>agr.</w:t>
            </w:r>
            <w:r>
              <w:rPr>
                <w:rFonts w:ascii="Arial" w:eastAsia="Times New Roman" w:hAnsi="Arial" w:cs="Arial"/>
                <w:b/>
                <w:sz w:val="24"/>
                <w:szCs w:val="24"/>
                <w:lang w:eastAsia="hr-HR"/>
              </w:rPr>
              <w:t>,</w:t>
            </w:r>
          </w:p>
          <w:p w:rsidR="00B863A6" w:rsidRDefault="00B863A6" w:rsidP="00026940">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Trg hrvatskih branitelja 1</w:t>
            </w:r>
          </w:p>
          <w:p w:rsidR="00B863A6" w:rsidRDefault="00B863A6" w:rsidP="00026940">
            <w:pPr>
              <w:widowControl w:val="0"/>
              <w:suppressAutoHyphens/>
              <w:spacing w:after="0" w:line="240" w:lineRule="auto"/>
              <w:ind w:left="168"/>
              <w:jc w:val="center"/>
              <w:rPr>
                <w:rFonts w:ascii="Arial" w:eastAsia="Times New Roman" w:hAnsi="Arial" w:cs="Arial"/>
                <w:b/>
                <w:sz w:val="24"/>
                <w:szCs w:val="24"/>
                <w:lang w:eastAsia="hr-HR"/>
              </w:rPr>
            </w:pPr>
            <w:r>
              <w:rPr>
                <w:rFonts w:ascii="Arial" w:eastAsia="Times New Roman" w:hAnsi="Arial" w:cs="Arial"/>
                <w:b/>
                <w:sz w:val="24"/>
                <w:szCs w:val="24"/>
                <w:lang w:eastAsia="hr-HR"/>
              </w:rPr>
              <w:t>Telefon: 035/375-056</w:t>
            </w:r>
          </w:p>
          <w:p w:rsidR="00B863A6" w:rsidRDefault="00B863A6" w:rsidP="00026940">
            <w:pPr>
              <w:widowControl w:val="0"/>
              <w:suppressAutoHyphens/>
              <w:spacing w:after="0" w:line="240" w:lineRule="auto"/>
              <w:ind w:left="168"/>
              <w:jc w:val="center"/>
              <w:rPr>
                <w:rFonts w:ascii="Arial" w:eastAsia="Times New Roman" w:hAnsi="Arial" w:cs="Arial"/>
                <w:sz w:val="24"/>
                <w:szCs w:val="24"/>
                <w:lang w:eastAsia="hr-HR"/>
              </w:rPr>
            </w:pPr>
            <w:r>
              <w:rPr>
                <w:rFonts w:ascii="Arial" w:eastAsia="Times New Roman" w:hAnsi="Arial" w:cs="Arial"/>
                <w:b/>
                <w:sz w:val="24"/>
                <w:szCs w:val="24"/>
                <w:lang w:eastAsia="hr-HR"/>
              </w:rPr>
              <w:t>Glasnik izlazi po potrebi općine Gornji Bogićevci</w:t>
            </w:r>
            <w:r>
              <w:rPr>
                <w:rFonts w:ascii="Arial" w:eastAsia="Times New Roman" w:hAnsi="Arial" w:cs="Arial"/>
                <w:sz w:val="24"/>
                <w:szCs w:val="24"/>
                <w:lang w:eastAsia="hr-HR"/>
              </w:rPr>
              <w:t>.</w:t>
            </w:r>
          </w:p>
          <w:p w:rsidR="00B863A6" w:rsidRDefault="00B863A6" w:rsidP="00026940">
            <w:pPr>
              <w:widowControl w:val="0"/>
              <w:suppressAutoHyphens/>
              <w:spacing w:after="0" w:line="240" w:lineRule="auto"/>
              <w:jc w:val="both"/>
              <w:rPr>
                <w:rFonts w:ascii="Arial" w:eastAsia="Times New Roman" w:hAnsi="Arial" w:cs="Arial"/>
                <w:sz w:val="24"/>
                <w:szCs w:val="24"/>
                <w:lang w:eastAsia="hr-HR"/>
              </w:rPr>
            </w:pPr>
          </w:p>
        </w:tc>
      </w:tr>
    </w:tbl>
    <w:p w:rsidR="00B863A6" w:rsidRDefault="00B863A6"/>
    <w:sectPr w:rsidR="00B863A6" w:rsidSect="00517104">
      <w:headerReference w:type="default" r:id="rId87"/>
      <w:footerReference w:type="default" r:id="rId8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00AF" w:rsidRDefault="00A500AF" w:rsidP="009A49E2">
      <w:pPr>
        <w:spacing w:after="0" w:line="240" w:lineRule="auto"/>
      </w:pPr>
      <w:r>
        <w:separator/>
      </w:r>
    </w:p>
  </w:endnote>
  <w:endnote w:type="continuationSeparator" w:id="0">
    <w:p w:rsidR="00A500AF" w:rsidRDefault="00A500AF" w:rsidP="009A49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Schoolbook">
    <w:panose1 w:val="02040604050505020304"/>
    <w:charset w:val="EE"/>
    <w:family w:val="roman"/>
    <w:pitch w:val="variable"/>
    <w:sig w:usb0="00000287" w:usb1="00000000" w:usb2="00000000" w:usb3="00000000" w:csb0="0000009F" w:csb1="00000000"/>
  </w:font>
  <w:font w:name="Aldine401 BT">
    <w:altName w:val="Times New Roman"/>
    <w:charset w:val="00"/>
    <w:family w:val="roman"/>
    <w:pitch w:val="default"/>
    <w:sig w:usb0="00000000" w:usb1="00000000" w:usb2="00000000" w:usb3="00000000" w:csb0="00000000" w:csb1="00000000"/>
  </w:font>
  <w:font w:name="Futura Md BT">
    <w:altName w:val="Arial"/>
    <w:charset w:val="00"/>
    <w:family w:val="swiss"/>
    <w:pitch w:val="variable"/>
    <w:sig w:usb0="00000000" w:usb1="00000000" w:usb2="00000000" w:usb3="00000000" w:csb0="00000000" w:csb1="00000000"/>
  </w:font>
  <w:font w:name="Arial Black">
    <w:panose1 w:val="020B0A04020102020204"/>
    <w:charset w:val="EE"/>
    <w:family w:val="swiss"/>
    <w:pitch w:val="variable"/>
    <w:sig w:usb0="A00002AF" w:usb1="400078FB" w:usb2="00000000" w:usb3="00000000" w:csb0="0000009F" w:csb1="00000000"/>
  </w:font>
  <w:font w:name="TimesNewRomanPSMT">
    <w:altName w:val="Times New Roman"/>
    <w:charset w:val="00"/>
    <w:family w:val="roman"/>
    <w:pitch w:val="default"/>
    <w:sig w:usb0="00000000" w:usb1="00000000" w:usb2="00000010" w:usb3="00000000" w:csb0="00040003"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CRO_Korinna">
    <w:altName w:val="Arial"/>
    <w:charset w:val="00"/>
    <w:family w:val="swiss"/>
    <w:pitch w:val="default"/>
    <w:sig w:usb0="00000000" w:usb1="00000000" w:usb2="00000000" w:usb3="00000000" w:csb0="00000001" w:csb1="00000000"/>
  </w:font>
  <w:font w:name="Charter_bold">
    <w:altName w:val="Times New Roman"/>
    <w:charset w:val="00"/>
    <w:family w:val="auto"/>
    <w:pitch w:val="default"/>
    <w:sig w:usb0="00000000" w:usb1="00000000" w:usb2="00000000" w:usb3="00000000" w:csb0="00000001" w:csb1="00000000"/>
  </w:font>
  <w:font w:name="@Kozuka Gothic Pro B">
    <w:altName w:val="Yu Gothic"/>
    <w:charset w:val="80"/>
    <w:family w:val="swiss"/>
    <w:pitch w:val="default"/>
    <w:sig w:usb0="00000000" w:usb1="00000000" w:usb2="00000012" w:usb3="00000000" w:csb0="00020005" w:csb1="00000000"/>
  </w:font>
  <w:font w:name="Times-NewRoman">
    <w:altName w:val="Times New Roman"/>
    <w:charset w:val="EE"/>
    <w:family w:val="roman"/>
    <w:pitch w:val="default"/>
    <w:sig w:usb0="00000000" w:usb1="00000000" w:usb2="00000000" w:usb3="00000000" w:csb0="00000002" w:csb1="00000000"/>
  </w:font>
  <w:font w:name="@Adobe Heiti Std R">
    <w:altName w:val="Arial Unicode MS"/>
    <w:charset w:val="80"/>
    <w:family w:val="swiss"/>
    <w:pitch w:val="default"/>
    <w:sig w:usb0="00000000" w:usb1="00000000" w:usb2="00000016" w:usb3="00000000" w:csb0="00060007" w:csb1="00000000"/>
  </w:font>
  <w:font w:name="Adobe Caslon Pro Bold">
    <w:altName w:val="Segoe Print"/>
    <w:charset w:val="00"/>
    <w:family w:val="roman"/>
    <w:pitch w:val="default"/>
    <w:sig w:usb0="00000000" w:usb1="00000000" w:usb2="00000000" w:usb3="00000000" w:csb0="00000093" w:csb1="00000000"/>
  </w:font>
  <w:font w:name="TimesNewRoman">
    <w:altName w:val="MS Mincho"/>
    <w:charset w:val="80"/>
    <w:family w:val="auto"/>
    <w:pitch w:val="default"/>
    <w:sig w:usb0="00000000" w:usb1="0000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TimesNewRoman,Bold">
    <w:altName w:val="Yu Gothic"/>
    <w:charset w:val="80"/>
    <w:family w:val="auto"/>
    <w:pitch w:val="default"/>
    <w:sig w:usb0="00000000" w:usb1="00000000" w:usb2="00000010" w:usb3="00000000" w:csb0="00020000" w:csb1="00000000"/>
  </w:font>
  <w:font w:name="Aptos">
    <w:altName w:val="Arial"/>
    <w:charset w:val="00"/>
    <w:family w:val="swiss"/>
    <w:pitch w:val="variable"/>
    <w:sig w:usb0="00000001"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98" w:rsidRDefault="00DD1C99">
    <w:pPr>
      <w:pStyle w:val="Podnoje"/>
      <w:pBdr>
        <w:top w:val="single" w:sz="8" w:space="1" w:color="A5A5A5" w:themeColor="accent3"/>
      </w:pBdr>
      <w:jc w:val="both"/>
    </w:pPr>
    <w:r w:rsidRPr="00DD1C99">
      <w:rPr>
        <w:noProof/>
        <w:lang w:val="en-US"/>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 o:spid="_x0000_s14341" type="#_x0000_t176" style="position:absolute;left:0;text-align:left;margin-left:352.8pt;margin-top:-14pt;width:117pt;height:45.75pt;z-index:251657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" filled="f" stroked="f">
          <v:textbox>
            <w:txbxContent>
              <w:p w:rsidR="00F57898" w:rsidRDefault="00F57898">
                <w:pPr>
                  <w:pStyle w:val="Podnoje"/>
                  <w:pBdr>
                    <w:top w:val="dotted" w:sz="4" w:space="1" w:color="A5A5A5" w:themeColor="accent3"/>
                    <w:bottom w:val="dotted" w:sz="4" w:space="1" w:color="A5A5A5" w:themeColor="accent3"/>
                  </w:pBdr>
                  <w:jc w:val="center"/>
                </w:pPr>
                <w:r>
                  <w:t xml:space="preserve">Stranica </w:t>
                </w:r>
                <w:fldSimple w:instr=" PAGE    \* MERGEFORMAT ">
                  <w:r w:rsidR="008140D1">
                    <w:rPr>
                      <w:noProof/>
                    </w:rPr>
                    <w:t>183</w:t>
                  </w:r>
                </w:fldSimple>
              </w:p>
            </w:txbxContent>
          </v:textbox>
        </v:shape>
      </w:pict>
    </w:r>
    <w:r w:rsidR="00F57898">
      <w:t>IN konzalting d.o.o. za poslovne usluge</w:t>
    </w:r>
    <w:r w:rsidR="00F57898">
      <w:tab/>
    </w:r>
    <w:r w:rsidR="00F57898">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98" w:rsidRPr="00AE2FD2" w:rsidRDefault="00DD1C99">
    <w:pPr>
      <w:pStyle w:val="Podnoje"/>
      <w:rPr>
        <w:color w:val="BFBFBF" w:themeColor="background1" w:themeShade="BF"/>
      </w:rPr>
    </w:pPr>
    <w:sdt>
      <w:sdtPr>
        <w:id w:val="-60404937"/>
        <w:docPartObj>
          <w:docPartGallery w:val="Page Numbers (Bottom of Page)"/>
          <w:docPartUnique/>
        </w:docPartObj>
      </w:sdtPr>
      <w:sdtContent>
        <w:r w:rsidRPr="00DD1C99">
          <w:rPr>
            <w:noProof/>
          </w:rPr>
          <w:pict>
            <v:rect id="Pravokutnik 22" o:spid="_x0000_s14340" style="position:absolute;margin-left:0;margin-top:0;width:44.55pt;height:15.1pt;rotation:180;flip:x;z-index:251664384;visibility:visible;mso-position-horizontal:center;mso-position-horizontal-relative:right-margin-area;mso-position-vertical:center;mso-position-vertical-relative:bottom-margin-area;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" filled="f" stroked="f">
              <v:textbox inset=",0,,0">
                <w:txbxContent>
                  <w:p w:rsidR="00F57898" w:rsidRDefault="00DD1C99">
                    <w:pPr>
                      <w:pBdr>
                        <w:top w:val="single" w:sz="4" w:space="1" w:color="7F7F7F" w:themeColor="background1" w:themeShade="7F"/>
                      </w:pBdr>
                      <w:jc w:val="center"/>
                      <w:rPr>
                        <w:color w:val="ED7D31" w:themeColor="accent2"/>
                      </w:rPr>
                    </w:pPr>
                    <w:r w:rsidRPr="00DD1C99">
                      <w:fldChar w:fldCharType="begin"/>
                    </w:r>
                    <w:r w:rsidR="00F57898">
                      <w:instrText>PAGE   \* MERGEFORMAT</w:instrText>
                    </w:r>
                    <w:r w:rsidRPr="00DD1C99">
                      <w:fldChar w:fldCharType="separate"/>
                    </w:r>
                    <w:r w:rsidR="008140D1" w:rsidRPr="008140D1">
                      <w:rPr>
                        <w:noProof/>
                        <w:color w:val="ED7D31" w:themeColor="accent2"/>
                      </w:rPr>
                      <w:t>32</w:t>
                    </w:r>
                    <w:r>
                      <w:rPr>
                        <w:color w:val="ED7D31" w:themeColor="accent2"/>
                      </w:rPr>
                      <w:fldChar w:fldCharType="end"/>
                    </w:r>
                  </w:p>
                </w:txbxContent>
              </v:textbox>
              <w10:wrap anchorx="margin" anchory="margin"/>
            </v:rect>
          </w:pict>
        </w:r>
      </w:sdtContent>
    </w:sdt>
    <w:r w:rsidR="00F57898" w:rsidRPr="00AE2FD2">
      <w:rPr>
        <w:color w:val="BFBFBF" w:themeColor="background1" w:themeShade="BF"/>
      </w:rPr>
      <w:t>Provedbeni program Općine Gornji Bogićevci za razdoblje 2025. – 2029.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szCs w:val="18"/>
      </w:rPr>
      <w:id w:val="822775265"/>
      <w:docPartObj>
        <w:docPartGallery w:val="Page Numbers (Bottom of Page)"/>
        <w:docPartUnique/>
      </w:docPartObj>
    </w:sdtPr>
    <w:sdtContent>
      <w:p w:rsidR="00F57898" w:rsidRDefault="00DD1C99">
        <w:pPr>
          <w:pStyle w:val="Podnoje"/>
          <w:jc w:val="right"/>
          <w:rPr>
            <w:sz w:val="18"/>
            <w:szCs w:val="18"/>
          </w:rPr>
        </w:pPr>
        <w:r>
          <w:rPr>
            <w:sz w:val="18"/>
            <w:szCs w:val="18"/>
          </w:rPr>
          <w:fldChar w:fldCharType="begin"/>
        </w:r>
        <w:r w:rsidR="00F57898">
          <w:rPr>
            <w:sz w:val="18"/>
            <w:szCs w:val="18"/>
          </w:rPr>
          <w:instrText>PAGE   \* MERGEFORMAT</w:instrText>
        </w:r>
        <w:r>
          <w:rPr>
            <w:sz w:val="18"/>
            <w:szCs w:val="18"/>
          </w:rPr>
          <w:fldChar w:fldCharType="separate"/>
        </w:r>
        <w:r w:rsidR="008140D1">
          <w:rPr>
            <w:noProof/>
            <w:sz w:val="18"/>
            <w:szCs w:val="18"/>
          </w:rPr>
          <w:t>33</w:t>
        </w:r>
        <w:r>
          <w:rPr>
            <w:sz w:val="18"/>
            <w:szCs w:val="18"/>
          </w:rPr>
          <w:fldChar w:fldCharType="end"/>
        </w:r>
      </w:p>
    </w:sdtContent>
  </w:sdt>
  <w:p w:rsidR="00F57898" w:rsidRDefault="00F57898">
    <w:pPr>
      <w:pStyle w:val="Podnoj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00AF" w:rsidRDefault="00A500AF" w:rsidP="009A49E2">
      <w:pPr>
        <w:spacing w:after="0" w:line="240" w:lineRule="auto"/>
      </w:pPr>
      <w:r>
        <w:separator/>
      </w:r>
    </w:p>
  </w:footnote>
  <w:footnote w:type="continuationSeparator" w:id="0">
    <w:p w:rsidR="00A500AF" w:rsidRDefault="00A500AF" w:rsidP="009A49E2">
      <w:pPr>
        <w:spacing w:after="0" w:line="240" w:lineRule="auto"/>
      </w:pPr>
      <w:r>
        <w:continuationSeparator/>
      </w:r>
    </w:p>
  </w:footnote>
  <w:footnote w:id="1">
    <w:p w:rsidR="00F57898" w:rsidRDefault="00F57898" w:rsidP="005C1E80">
      <w:pPr>
        <w:pStyle w:val="Tekstfusnote"/>
        <w:rPr>
          <w:sz w:val="18"/>
          <w:szCs w:val="18"/>
        </w:rPr>
      </w:pPr>
      <w:r>
        <w:rPr>
          <w:rStyle w:val="Referencafusnote"/>
        </w:rPr>
        <w:footnoteRef/>
      </w:r>
      <w:r>
        <w:t xml:space="preserve"> </w:t>
      </w:r>
      <w:r>
        <w:rPr>
          <w:i/>
          <w:sz w:val="18"/>
          <w:szCs w:val="18"/>
        </w:rPr>
        <w:t>Za PSŽ je utvrđena prijetnja</w:t>
      </w:r>
    </w:p>
  </w:footnote>
  <w:footnote w:id="2">
    <w:p w:rsidR="00F57898" w:rsidRDefault="00F57898" w:rsidP="005C1E80">
      <w:pPr>
        <w:pStyle w:val="Tekstfusnote"/>
      </w:pPr>
      <w:r>
        <w:rPr>
          <w:rStyle w:val="Referencafusnote"/>
        </w:rPr>
        <w:footnoteRef/>
      </w:r>
      <w:r>
        <w:t xml:space="preserve"> Zakon o klimatskim promjenama i zaštiti ozonskog sloja (NN 67/25)</w:t>
      </w:r>
    </w:p>
  </w:footnote>
  <w:footnote w:id="3">
    <w:p w:rsidR="00F57898" w:rsidRDefault="00F57898" w:rsidP="005C1E80">
      <w:pPr>
        <w:pStyle w:val="Tekstfusnote"/>
        <w:jc w:val="both"/>
      </w:pPr>
      <w:r>
        <w:rPr>
          <w:rStyle w:val="Referencafusnote"/>
        </w:rPr>
        <w:footnoteRef/>
      </w:r>
      <w:r>
        <w:t xml:space="preserve"> Izvor: Strategija prilagodbe klimatskim promjenama u Republici Hrvatskoj za razdoblje do 2040. godine s pogledom na 2070. godinu i https://climate.ec.europa.eu/</w:t>
      </w:r>
    </w:p>
    <w:p w:rsidR="00F57898" w:rsidRDefault="00F57898" w:rsidP="005C1E80">
      <w:pPr>
        <w:pStyle w:val="Tekstfusnote"/>
      </w:pPr>
    </w:p>
  </w:footnote>
  <w:footnote w:id="4">
    <w:p w:rsidR="00F57898" w:rsidRDefault="00F57898" w:rsidP="005C1E80">
      <w:pPr>
        <w:pStyle w:val="Tekstfusnote"/>
        <w:jc w:val="both"/>
      </w:pPr>
      <w:r>
        <w:rPr>
          <w:rStyle w:val="Referencafusnote"/>
        </w:rPr>
        <w:footnoteRef/>
      </w:r>
      <w:r>
        <w:t xml:space="preserve"> Projekcija klimatskih promjena za Republiku Hrvatsku prema scenariju u kojem dolazi do smanjenja koncentracije stakleničkih planova uz poduzimanje mjera za ublaženje i prilagodbu.</w:t>
      </w:r>
    </w:p>
  </w:footnote>
  <w:footnote w:id="5">
    <w:p w:rsidR="00F57898" w:rsidRDefault="00F57898" w:rsidP="005C1E80">
      <w:pPr>
        <w:pStyle w:val="Tekstfusnote"/>
      </w:pPr>
      <w:r>
        <w:rPr>
          <w:rStyle w:val="Referencafusnote"/>
        </w:rPr>
        <w:footnoteRef/>
      </w:r>
      <w:r>
        <w:rPr>
          <w:color w:val="231F20"/>
        </w:rPr>
        <w:t>članak</w:t>
      </w:r>
      <w:r>
        <w:rPr>
          <w:rFonts w:ascii="Calibri" w:eastAsia="Times New Roman" w:hAnsi="Calibri" w:cs="Times New Roman"/>
          <w:color w:val="231F20"/>
        </w:rPr>
        <w:t xml:space="preserve"> 5. Zakona o ublažavanju i uklanjanju posljedica prirodnih nepogoda</w:t>
      </w:r>
    </w:p>
  </w:footnote>
  <w:footnote w:id="6">
    <w:p w:rsidR="00F57898" w:rsidRDefault="00F57898" w:rsidP="005C1E80">
      <w:pPr>
        <w:pStyle w:val="Tekstfusnote"/>
        <w:jc w:val="both"/>
      </w:pPr>
      <w:r>
        <w:rPr>
          <w:rStyle w:val="Referencafusnote"/>
        </w:rPr>
        <w:footnoteRef/>
      </w:r>
      <w:r>
        <w:t xml:space="preserve"> Poduzetnik je u smislu Zakona o ublažavanju i uklanjanju posljedica prirodnih nepogoda je svaka pravna ili fizička osoba koja, obavljajući gospodarsku djelatnost, sudjeluje u prometu robe i usluga bez obzira na to stječe li profit ili ne stječe.</w:t>
      </w:r>
    </w:p>
  </w:footnote>
  <w:footnote w:id="7">
    <w:p w:rsidR="00F57898" w:rsidRDefault="00F57898" w:rsidP="005C1E80">
      <w:pPr>
        <w:pStyle w:val="Tekstfusnote"/>
      </w:pPr>
      <w:r>
        <w:rPr>
          <w:rStyle w:val="Referencafusnote"/>
        </w:rPr>
        <w:footnoteRef/>
      </w:r>
      <w:r>
        <w:t xml:space="preserve"> IPCC, 2014: Climate Change 2014: Synthesis Report. Contribution of Working Groups I, II and III to the Fifth Assessment Report of the Intergovernmental Panel on Climate Change [Core Writing Team, R.K. Pachauri and L.A. Meyer (eds.)]. IPCC, Geneva, Switzerland, 151 pp.</w:t>
      </w:r>
    </w:p>
  </w:footnote>
  <w:footnote w:id="8">
    <w:p w:rsidR="00F57898" w:rsidRDefault="00F57898" w:rsidP="005C1E80">
      <w:pPr>
        <w:pStyle w:val="Tekstfusnote"/>
      </w:pPr>
      <w:r>
        <w:rPr>
          <w:rStyle w:val="Referencafusnote"/>
        </w:rPr>
        <w:footnoteRef/>
      </w:r>
      <w:r>
        <w:t xml:space="preserve"> CO2 emitira se u najvećim količinama i ostaje najduže u atmosferi (do 1000 godina).</w:t>
      </w:r>
    </w:p>
  </w:footnote>
  <w:footnote w:id="9">
    <w:p w:rsidR="00F57898" w:rsidRDefault="00F57898" w:rsidP="005C1E80">
      <w:pPr>
        <w:pStyle w:val="Tekstfusnote"/>
      </w:pPr>
      <w:r>
        <w:rPr>
          <w:rStyle w:val="Referencafusnote"/>
        </w:rPr>
        <w:footnoteRef/>
      </w:r>
      <w:r>
        <w:t xml:space="preserve"> Izvor: PROGRAM RAZVOJA ZELENE INFRASTRUKTURE U URBANIM PODRUČJIMA ZA RAZDOBLJE OD 2021. DO 2030. GODINE</w:t>
      </w:r>
    </w:p>
  </w:footnote>
  <w:footnote w:id="10">
    <w:p w:rsidR="00F57898" w:rsidRDefault="00F57898" w:rsidP="005C1E80">
      <w:pPr>
        <w:pStyle w:val="Tekstfusnote"/>
      </w:pPr>
      <w:r>
        <w:rPr>
          <w:rStyle w:val="Referencafusnote"/>
        </w:rPr>
        <w:footnoteRef/>
      </w:r>
      <w:r>
        <w:t xml:space="preserve"> </w:t>
      </w:r>
      <w:r>
        <w:rPr>
          <w:sz w:val="16"/>
          <w:szCs w:val="16"/>
        </w:rPr>
        <w:t>Izvor: https://meteo.hr/objave_najave_natjecaji.php?section=onn&amp;param=objave&amp;el=zanimljivosti&amp;daj=zn26062023</w:t>
      </w:r>
    </w:p>
  </w:footnote>
  <w:footnote w:id="11">
    <w:p w:rsidR="00F57898" w:rsidRDefault="00F57898" w:rsidP="005C1E80">
      <w:pPr>
        <w:pStyle w:val="Tekstfusnote"/>
      </w:pPr>
      <w:r>
        <w:rPr>
          <w:rStyle w:val="Referencafusnote"/>
        </w:rPr>
        <w:footnoteRef/>
      </w:r>
      <w:r>
        <w:t xml:space="preserve"> Aktivnosti trebaju biti  prilagođene dobi npr. radionice, igrokazi, slikovnice, vježbe.</w:t>
      </w:r>
    </w:p>
  </w:footnote>
  <w:footnote w:id="12">
    <w:p w:rsidR="00F57898" w:rsidRDefault="00F57898" w:rsidP="005C1E80">
      <w:pPr>
        <w:pStyle w:val="Tekstfusnote"/>
      </w:pPr>
      <w:r>
        <w:rPr>
          <w:rStyle w:val="Referencafusnote"/>
        </w:rPr>
        <w:footnoteRef/>
      </w:r>
      <w:r>
        <w:t xml:space="preserve"> Izvor: Nacionalna razvojna strategija Republike Hrvatske do 2030. godine</w:t>
      </w:r>
    </w:p>
  </w:footnote>
  <w:footnote w:id="13">
    <w:p w:rsidR="00F57898" w:rsidRDefault="00F57898" w:rsidP="005C1E80">
      <w:pPr>
        <w:pStyle w:val="Tekstfusnote"/>
        <w:rPr>
          <w:rStyle w:val="Hiperveza"/>
        </w:rPr>
      </w:pPr>
      <w:r>
        <w:rPr>
          <w:rStyle w:val="Referencafusnote"/>
        </w:rPr>
        <w:footnoteRef/>
      </w:r>
      <w:r>
        <w:t xml:space="preserve"> Primjer : </w:t>
      </w:r>
      <w:hyperlink r:id="rId1" w:history="1">
        <w:r>
          <w:rPr>
            <w:rStyle w:val="Hiperveza"/>
          </w:rPr>
          <w:t>https://petrinja.hr/</w:t>
        </w:r>
      </w:hyperlink>
      <w:r>
        <w:t xml:space="preserve">, </w:t>
      </w:r>
      <w:hyperlink r:id="rId2" w:history="1">
        <w:r>
          <w:rPr>
            <w:rStyle w:val="Hiperveza"/>
          </w:rPr>
          <w:t>https://civilna-zastita.gov.hr/upute-za-gradjane/82</w:t>
        </w:r>
      </w:hyperlink>
    </w:p>
    <w:p w:rsidR="00F57898" w:rsidRDefault="00F57898" w:rsidP="005C1E80">
      <w:pPr>
        <w:pStyle w:val="Tekstfusnote"/>
        <w:rPr>
          <w:color w:val="0563C1" w:themeColor="hyperlink"/>
          <w:u w:val="single"/>
        </w:rPr>
      </w:pPr>
      <w:r>
        <w:rPr>
          <w:vertAlign w:val="superscript"/>
        </w:rPr>
        <w:t xml:space="preserve"> 59</w:t>
      </w:r>
      <w:r>
        <w:t xml:space="preserve"> Materijali Ministarstva unutarnjih poslova, Ravnateljstva civilne zaštite namijenjena prevenciji: https://civilna-zastita.gov.hr/upute-za-gradjane/82</w:t>
      </w:r>
    </w:p>
    <w:p w:rsidR="00F57898" w:rsidRDefault="00F57898" w:rsidP="005C1E80">
      <w:pPr>
        <w:pStyle w:val="Tekstfusnote"/>
      </w:pPr>
    </w:p>
  </w:footnote>
  <w:footnote w:id="14">
    <w:p w:rsidR="00F57898" w:rsidRDefault="00F57898" w:rsidP="005C1E80">
      <w:pPr>
        <w:pStyle w:val="Tekstfusnote"/>
      </w:pPr>
      <w:r>
        <w:rPr>
          <w:rStyle w:val="Referencafusnote"/>
        </w:rPr>
        <w:footnoteRef/>
      </w:r>
      <w:r>
        <w:t xml:space="preserve"> Zakon o ublažavanju i uklanjanju posljedica prirodnih nepogoda, članak 41. (3).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98" w:rsidRDefault="00F57898">
    <w:pPr>
      <w:pStyle w:val="Zaglavlje"/>
      <w:jc w:val="right"/>
      <w:rPr>
        <w:rFonts w:ascii="Arial" w:hAnsi="Arial" w:cs="Arial"/>
        <w:color w:val="000000" w:themeColor="text1"/>
      </w:rPr>
    </w:pPr>
    <w:r>
      <w:rPr>
        <w:rFonts w:ascii="Arial" w:hAnsi="Arial" w:cs="Arial"/>
        <w:color w:val="000000" w:themeColor="text1"/>
      </w:rPr>
      <w:tab/>
      <w:t>Plan djelovanja u području prirodnih nepogoda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7898" w:rsidRDefault="00F57898">
    <w:r>
      <w:rPr>
        <w:noProof/>
        <w:lang w:eastAsia="hr-HR"/>
      </w:rPr>
      <w:drawing>
        <wp:anchor distT="0" distB="0" distL="114300" distR="114300" simplePos="0" relativeHeight="251653120" behindDoc="0" locked="0" layoutInCell="1" allowOverlap="1">
          <wp:simplePos x="0" y="0"/>
          <wp:positionH relativeFrom="column">
            <wp:posOffset>1137285</wp:posOffset>
          </wp:positionH>
          <wp:positionV relativeFrom="paragraph">
            <wp:posOffset>-29210</wp:posOffset>
          </wp:positionV>
          <wp:extent cx="327600" cy="432000"/>
          <wp:effectExtent l="0" t="0" r="0" b="6350"/>
          <wp:wrapThrough wrapText="bothSides">
            <wp:wrapPolygon edited="0">
              <wp:start x="0" y="0"/>
              <wp:lineTo x="0" y="20965"/>
              <wp:lineTo x="20132" y="20965"/>
              <wp:lineTo x="20132" y="0"/>
              <wp:lineTo x="0" y="0"/>
            </wp:wrapPolygon>
          </wp:wrapThrough>
          <wp:docPr id="3" name="Slika 803146797" descr="Slika na kojoj se prikazuje simbol, emble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803146797" descr="Slika na kojoj se prikazuje simbol, emblem&#10;&#10;Sadržaj generiran uz AI možda nije točan."/>
                  <pic:cNvPicPr>
                    <a:picLocks noChangeAspect="1"/>
                  </pic:cNvPicPr>
                </pic:nvPicPr>
                <pic:blipFill>
                  <a:blip r:embed="rId1">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pic:blipFill>
                <pic:spPr bwMode="auto">
                  <a:xfrm>
                    <a:off x="0" y="0"/>
                    <a:ext cx="327600" cy="432000"/>
                  </a:xfrm>
                  <a:prstGeom prst="rect">
                    <a:avLst/>
                  </a:prstGeom>
                  <a:noFill/>
                  <a:ln>
                    <a:noFill/>
                  </a:ln>
                </pic:spPr>
              </pic:pic>
            </a:graphicData>
          </a:graphic>
        </wp:anchor>
      </w:drawing>
    </w:r>
    <w:r w:rsidR="00DD1C99">
      <w:rPr>
        <w:noProof/>
      </w:rPr>
      <w:pict>
        <v:shapetype id="_x0000_t202" coordsize="21600,21600" o:spt="202" path="m,l,21600r21600,l21600,xe">
          <v:stroke joinstyle="miter"/>
          <v:path gradientshapeok="t" o:connecttype="rect"/>
        </v:shapetype>
        <v:shape id="Tekstni okvir 20" o:spid="_x0000_s14339" type="#_x0000_t202" style="position:absolute;margin-left:68.3pt;margin-top:-1.05pt;width:35.6pt;height:33.9pt;z-index:251661312;visibility:visible;mso-wrap-distance-left:0;mso-wrap-distance-right:0;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" stroked="f">
          <v:textbox inset="1mm,0,1mm,0">
            <w:txbxContent>
              <w:p w:rsidR="00F57898" w:rsidRDefault="00F57898">
                <w:pPr>
                  <w:jc w:val="center"/>
                  <w:rPr>
                    <w:szCs w:val="20"/>
                  </w:rPr>
                </w:pPr>
              </w:p>
              <w:p w:rsidR="00F57898" w:rsidRDefault="00F57898">
                <w:pPr>
                  <w:jc w:val="center"/>
                </w:pPr>
              </w:p>
            </w:txbxContent>
          </v:textbox>
          <w10:wrap type="square"/>
        </v:shape>
      </w:pict>
    </w:r>
    <w:r>
      <w:t xml:space="preserve">  </w:t>
    </w:r>
  </w:p>
  <w:p w:rsidR="00F57898" w:rsidRDefault="00DD1C99">
    <w:pPr>
      <w:jc w:val="both"/>
      <w:rPr>
        <w:szCs w:val="20"/>
      </w:rPr>
    </w:pPr>
    <w:r w:rsidRPr="00DD1C99">
      <w:rPr>
        <w:noProof/>
      </w:rPr>
      <w:pict>
        <v:shape id="Tekstni okvir 18" o:spid="_x0000_s14338" type="#_x0000_t202" style="position:absolute;left:0;text-align:left;margin-left:9pt;margin-top:9.1pt;width:187.3pt;height:62.55pt;z-index:251660288;visibility:visible;mso-wrap-distance-left:0;mso-wrap-distance-righ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" stroked="f">
          <v:textbox inset="1mm,1mm,1mm,1mm">
            <w:txbxContent>
              <w:p w:rsidR="00F57898" w:rsidRDefault="00F57898">
                <w:pPr>
                  <w:spacing w:after="0"/>
                  <w:jc w:val="center"/>
                  <w:rPr>
                    <w:rFonts w:cs="Times New Roman"/>
                    <w:b/>
                    <w:bCs/>
                    <w:szCs w:val="18"/>
                  </w:rPr>
                </w:pPr>
                <w:r>
                  <w:rPr>
                    <w:rFonts w:cs="Times New Roman"/>
                    <w:b/>
                    <w:bCs/>
                    <w:szCs w:val="18"/>
                  </w:rPr>
                  <w:t>REPUBLIKA HRVATSKA</w:t>
                </w:r>
              </w:p>
              <w:p w:rsidR="00F57898" w:rsidRDefault="00F57898">
                <w:pPr>
                  <w:spacing w:after="0"/>
                  <w:jc w:val="center"/>
                  <w:rPr>
                    <w:rFonts w:cs="Times New Roman"/>
                    <w:szCs w:val="18"/>
                  </w:rPr>
                </w:pPr>
                <w:r>
                  <w:rPr>
                    <w:rFonts w:cs="Times New Roman"/>
                    <w:szCs w:val="18"/>
                  </w:rPr>
                  <w:t>BRODSKO-POSAVSKA ŽUPANIJA</w:t>
                </w:r>
              </w:p>
              <w:p w:rsidR="00F57898" w:rsidRDefault="00F57898">
                <w:pPr>
                  <w:spacing w:after="0"/>
                  <w:jc w:val="center"/>
                  <w:rPr>
                    <w:rFonts w:cs="Times New Roman"/>
                    <w:b/>
                    <w:bCs/>
                    <w:szCs w:val="18"/>
                  </w:rPr>
                </w:pPr>
                <w:r>
                  <w:rPr>
                    <w:rFonts w:cs="Times New Roman"/>
                    <w:b/>
                    <w:bCs/>
                    <w:szCs w:val="18"/>
                  </w:rPr>
                  <w:t>OPĆINA GORNJI BOGIĆEVCI</w:t>
                </w:r>
              </w:p>
              <w:p w:rsidR="00F57898" w:rsidRDefault="00F57898">
                <w:pPr>
                  <w:spacing w:after="0"/>
                  <w:jc w:val="center"/>
                  <w:rPr>
                    <w:rFonts w:cs="Times New Roman"/>
                    <w:szCs w:val="18"/>
                  </w:rPr>
                </w:pPr>
                <w:r>
                  <w:rPr>
                    <w:rFonts w:cs="Times New Roman"/>
                    <w:szCs w:val="18"/>
                  </w:rPr>
                  <w:t>OPĆINSKO VIJEĆE</w:t>
                </w:r>
              </w:p>
            </w:txbxContent>
          </v:textbox>
          <w10:wrap type="square"/>
        </v:shape>
      </w:pict>
    </w:r>
  </w:p>
  <w:p w:rsidR="00F57898" w:rsidRDefault="00F57898">
    <w:pPr>
      <w:jc w:val="both"/>
      <w:rPr>
        <w:szCs w:val="20"/>
      </w:rPr>
    </w:pPr>
    <w:r>
      <w:rPr>
        <w:noProof/>
        <w:lang w:eastAsia="hr-HR"/>
      </w:rPr>
      <w:drawing>
        <wp:anchor distT="0" distB="0" distL="114300" distR="114300" simplePos="0" relativeHeight="251654144" behindDoc="0" locked="0" layoutInCell="1" allowOverlap="1">
          <wp:simplePos x="0" y="0"/>
          <wp:positionH relativeFrom="column">
            <wp:posOffset>-24765</wp:posOffset>
          </wp:positionH>
          <wp:positionV relativeFrom="paragraph">
            <wp:posOffset>202565</wp:posOffset>
          </wp:positionV>
          <wp:extent cx="237490" cy="309245"/>
          <wp:effectExtent l="0" t="0" r="0" b="0"/>
          <wp:wrapThrough wrapText="bothSides">
            <wp:wrapPolygon edited="0">
              <wp:start x="0" y="0"/>
              <wp:lineTo x="0" y="19959"/>
              <wp:lineTo x="17326" y="19959"/>
              <wp:lineTo x="19059" y="18628"/>
              <wp:lineTo x="19059" y="0"/>
              <wp:lineTo x="0" y="0"/>
            </wp:wrapPolygon>
          </wp:wrapThrough>
          <wp:docPr id="2043156187" name="Slika 6" descr="Slika na kojoj se prikazuje ptica, grb, simbol, emble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156187" name="Slika 6" descr="Slika na kojoj se prikazuje ptica, grb, simbol, emblem&#10;&#10;Sadržaj generiran uz AI možda nije točan."/>
                  <pic:cNvPicPr/>
                </pic:nvPicPr>
                <pic:blipFill>
                  <a:blip r:embed="rId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7490" cy="309245"/>
                  </a:xfrm>
                  <a:prstGeom prst="rect">
                    <a:avLst/>
                  </a:prstGeom>
                </pic:spPr>
              </pic:pic>
            </a:graphicData>
          </a:graphic>
        </wp:anchor>
      </w:drawing>
    </w:r>
    <w:r w:rsidR="00DD1C99">
      <w:rPr>
        <w:noProof/>
        <w:szCs w:val="20"/>
      </w:rPr>
      <w:pict>
        <v:shape id="Tekstni okvir 16" o:spid="_x0000_s14337" type="#_x0000_t202" style="position:absolute;left:0;text-align:left;margin-left:-7.5pt;margin-top:18.65pt;width:36.6pt;height:21.5pt;z-index:251662336;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" filled="f" stroked="f">
          <v:textbox inset=",0,,0">
            <w:txbxContent>
              <w:p w:rsidR="00F57898" w:rsidRDefault="00F57898"/>
            </w:txbxContent>
          </v:textbox>
          <w10:wrap type="square"/>
        </v:shape>
      </w:pict>
    </w:r>
  </w:p>
  <w:p w:rsidR="00F57898" w:rsidRDefault="00F57898">
    <w:pPr>
      <w:jc w:val="both"/>
      <w:rPr>
        <w:szCs w:val="20"/>
      </w:rPr>
    </w:pPr>
    <w:r>
      <w:rPr>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284"/>
        </w:tabs>
        <w:ind w:left="284" w:hanging="284"/>
      </w:pPr>
      <w:rPr>
        <w:b w:val="0"/>
      </w:rPr>
    </w:lvl>
  </w:abstractNum>
  <w:abstractNum w:abstractNumId="1">
    <w:nsid w:val="00000003"/>
    <w:multiLevelType w:val="singleLevel"/>
    <w:tmpl w:val="00000003"/>
    <w:name w:val="WW8Num3"/>
    <w:lvl w:ilvl="0">
      <w:start w:val="4"/>
      <w:numFmt w:val="decimal"/>
      <w:lvlText w:val="Članak %1."/>
      <w:lvlJc w:val="left"/>
      <w:pPr>
        <w:tabs>
          <w:tab w:val="num" w:pos="708"/>
        </w:tabs>
        <w:ind w:left="720" w:hanging="360"/>
      </w:pPr>
      <w:rPr>
        <w:rFonts w:hint="default"/>
        <w:color w:val="000000"/>
      </w:rPr>
    </w:lvl>
  </w:abstractNum>
  <w:abstractNum w:abstractNumId="2">
    <w:nsid w:val="00000004"/>
    <w:multiLevelType w:val="singleLevel"/>
    <w:tmpl w:val="00000004"/>
    <w:name w:val="WW8Num4"/>
    <w:lvl w:ilvl="0">
      <w:start w:val="1"/>
      <w:numFmt w:val="upperRoman"/>
      <w:lvlText w:val="%1."/>
      <w:lvlJc w:val="left"/>
      <w:pPr>
        <w:tabs>
          <w:tab w:val="num" w:pos="708"/>
        </w:tabs>
        <w:ind w:left="1080" w:hanging="720"/>
      </w:pPr>
      <w:rPr>
        <w:rFonts w:hint="default"/>
      </w:rPr>
    </w:lvl>
  </w:abstractNum>
  <w:abstractNum w:abstractNumId="3">
    <w:nsid w:val="00000005"/>
    <w:multiLevelType w:val="singleLevel"/>
    <w:tmpl w:val="00000005"/>
    <w:name w:val="WW8Num5"/>
    <w:lvl w:ilvl="0">
      <w:start w:val="1"/>
      <w:numFmt w:val="decimal"/>
      <w:lvlText w:val="Članak %1."/>
      <w:lvlJc w:val="left"/>
      <w:pPr>
        <w:tabs>
          <w:tab w:val="num" w:pos="1134"/>
        </w:tabs>
        <w:ind w:left="1134" w:hanging="594"/>
      </w:pPr>
      <w:rPr>
        <w:rFonts w:hint="default"/>
        <w:sz w:val="20"/>
        <w:szCs w:val="20"/>
      </w:rPr>
    </w:lvl>
  </w:abstractNum>
  <w:abstractNum w:abstractNumId="4">
    <w:nsid w:val="00000006"/>
    <w:multiLevelType w:val="singleLevel"/>
    <w:tmpl w:val="00000006"/>
    <w:name w:val="WW8Num6"/>
    <w:lvl w:ilvl="0">
      <w:start w:val="1"/>
      <w:numFmt w:val="decimal"/>
      <w:lvlText w:val="%1."/>
      <w:lvlJc w:val="left"/>
      <w:pPr>
        <w:tabs>
          <w:tab w:val="num" w:pos="284"/>
        </w:tabs>
        <w:ind w:left="284" w:hanging="284"/>
      </w:pPr>
      <w:rPr>
        <w:rFonts w:hint="default"/>
      </w:rPr>
    </w:lvl>
  </w:abstractNum>
  <w:abstractNum w:abstractNumId="5">
    <w:nsid w:val="00000007"/>
    <w:multiLevelType w:val="singleLevel"/>
    <w:tmpl w:val="00000007"/>
    <w:name w:val="WW8Num7"/>
    <w:lvl w:ilvl="0">
      <w:numFmt w:val="bullet"/>
      <w:lvlText w:val="-"/>
      <w:lvlJc w:val="left"/>
      <w:pPr>
        <w:tabs>
          <w:tab w:val="num" w:pos="1021"/>
        </w:tabs>
        <w:ind w:left="1021" w:hanging="284"/>
      </w:pPr>
      <w:rPr>
        <w:rFonts w:ascii="Times New Roman" w:hAnsi="Times New Roman" w:cs="Times New Roman" w:hint="default"/>
        <w:color w:val="000000"/>
        <w:sz w:val="20"/>
        <w:szCs w:val="20"/>
      </w:rPr>
    </w:lvl>
  </w:abstractNum>
  <w:abstractNum w:abstractNumId="6">
    <w:nsid w:val="00000008"/>
    <w:multiLevelType w:val="multilevel"/>
    <w:tmpl w:val="00000008"/>
    <w:name w:val="WW8Num8"/>
    <w:lvl w:ilvl="0">
      <w:start w:val="1"/>
      <w:numFmt w:val="decimal"/>
      <w:suff w:val="space"/>
      <w:lvlText w:val="%1."/>
      <w:lvlJc w:val="left"/>
      <w:pPr>
        <w:tabs>
          <w:tab w:val="num" w:pos="0"/>
        </w:tabs>
        <w:ind w:left="284" w:hanging="284"/>
      </w:pPr>
      <w:rPr>
        <w:rFonts w:hint="default"/>
        <w:b/>
        <w:sz w:val="24"/>
      </w:rPr>
    </w:lvl>
    <w:lvl w:ilvl="1">
      <w:start w:val="1"/>
      <w:numFmt w:val="decimal"/>
      <w:suff w:val="space"/>
      <w:lvlText w:val="%1.%2."/>
      <w:lvlJc w:val="left"/>
      <w:pPr>
        <w:tabs>
          <w:tab w:val="num" w:pos="0"/>
        </w:tabs>
        <w:ind w:left="851" w:hanging="491"/>
      </w:pPr>
      <w:rPr>
        <w:rFonts w:hint="default"/>
      </w:rPr>
    </w:lvl>
    <w:lvl w:ilvl="2">
      <w:start w:val="1"/>
      <w:numFmt w:val="decimal"/>
      <w:suff w:val="space"/>
      <w:lvlText w:val="%1.%2.%3."/>
      <w:lvlJc w:val="left"/>
      <w:pPr>
        <w:tabs>
          <w:tab w:val="num" w:pos="0"/>
        </w:tabs>
        <w:ind w:left="1418" w:hanging="698"/>
      </w:pPr>
      <w:rPr>
        <w:rFonts w:hint="default"/>
      </w:rPr>
    </w:lvl>
    <w:lvl w:ilvl="3">
      <w:start w:val="1"/>
      <w:numFmt w:val="decimal"/>
      <w:suff w:val="space"/>
      <w:lvlText w:val="%1.%2.%3.%4."/>
      <w:lvlJc w:val="left"/>
      <w:pPr>
        <w:tabs>
          <w:tab w:val="num" w:pos="0"/>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276281A"/>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03562DF7"/>
    <w:multiLevelType w:val="multilevel"/>
    <w:tmpl w:val="03562DF7"/>
    <w:lvl w:ilvl="0">
      <w:start w:val="5"/>
      <w:numFmt w:val="bullet"/>
      <w:lvlText w:val="-"/>
      <w:lvlJc w:val="left"/>
      <w:pPr>
        <w:ind w:left="720" w:hanging="360"/>
      </w:pPr>
      <w:rPr>
        <w:rFonts w:ascii="Garamond" w:eastAsiaTheme="minorHAnsi" w:hAnsi="Garamond"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043754E2"/>
    <w:multiLevelType w:val="singleLevel"/>
    <w:tmpl w:val="043754E2"/>
    <w:lvl w:ilvl="0">
      <w:start w:val="1"/>
      <w:numFmt w:val="decimal"/>
      <w:lvlText w:val="%1."/>
      <w:lvlJc w:val="left"/>
      <w:pPr>
        <w:tabs>
          <w:tab w:val="left" w:pos="360"/>
        </w:tabs>
        <w:ind w:left="360" w:hanging="360"/>
      </w:pPr>
    </w:lvl>
  </w:abstractNum>
  <w:abstractNum w:abstractNumId="10">
    <w:nsid w:val="04AD121C"/>
    <w:multiLevelType w:val="hybridMultilevel"/>
    <w:tmpl w:val="CD6E7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nsid w:val="05F007DC"/>
    <w:multiLevelType w:val="multilevel"/>
    <w:tmpl w:val="05F007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060819D7"/>
    <w:multiLevelType w:val="multilevel"/>
    <w:tmpl w:val="060819D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0783702E"/>
    <w:multiLevelType w:val="multilevel"/>
    <w:tmpl w:val="078370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08CA62C8"/>
    <w:multiLevelType w:val="multilevel"/>
    <w:tmpl w:val="08CA62C8"/>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8DB6BFC"/>
    <w:multiLevelType w:val="singleLevel"/>
    <w:tmpl w:val="08DB6BFC"/>
    <w:lvl w:ilvl="0">
      <w:numFmt w:val="bullet"/>
      <w:lvlText w:val="-"/>
      <w:lvlJc w:val="left"/>
      <w:pPr>
        <w:tabs>
          <w:tab w:val="left" w:pos="360"/>
        </w:tabs>
        <w:ind w:left="360" w:hanging="360"/>
      </w:pPr>
    </w:lvl>
  </w:abstractNum>
  <w:abstractNum w:abstractNumId="16">
    <w:nsid w:val="0CFE2C28"/>
    <w:multiLevelType w:val="multilevel"/>
    <w:tmpl w:val="0CFE2C28"/>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0D1B6C31"/>
    <w:multiLevelType w:val="hybridMultilevel"/>
    <w:tmpl w:val="C1241A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nsid w:val="0DD95D54"/>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0DFC1E11"/>
    <w:multiLevelType w:val="multilevel"/>
    <w:tmpl w:val="0DFC1E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0E5C01A5"/>
    <w:multiLevelType w:val="multilevel"/>
    <w:tmpl w:val="0E5C01A5"/>
    <w:lvl w:ilvl="0">
      <w:start w:val="1"/>
      <w:numFmt w:val="bullet"/>
      <w:lvlText w:val="o"/>
      <w:lvlJc w:val="left"/>
      <w:pPr>
        <w:ind w:left="2136" w:hanging="360"/>
      </w:pPr>
      <w:rPr>
        <w:rFonts w:ascii="Courier New" w:hAnsi="Courier New" w:cs="Courier New" w:hint="default"/>
      </w:rPr>
    </w:lvl>
    <w:lvl w:ilvl="1">
      <w:start w:val="1"/>
      <w:numFmt w:val="bullet"/>
      <w:lvlText w:val="o"/>
      <w:lvlJc w:val="left"/>
      <w:pPr>
        <w:ind w:left="2856" w:hanging="360"/>
      </w:pPr>
      <w:rPr>
        <w:rFonts w:ascii="Courier New" w:hAnsi="Courier New" w:cs="Courier New" w:hint="default"/>
      </w:rPr>
    </w:lvl>
    <w:lvl w:ilvl="2">
      <w:start w:val="1"/>
      <w:numFmt w:val="bullet"/>
      <w:lvlText w:val=""/>
      <w:lvlJc w:val="left"/>
      <w:pPr>
        <w:ind w:left="3576" w:hanging="360"/>
      </w:pPr>
      <w:rPr>
        <w:rFonts w:ascii="Wingdings" w:hAnsi="Wingdings" w:hint="default"/>
      </w:rPr>
    </w:lvl>
    <w:lvl w:ilvl="3">
      <w:start w:val="1"/>
      <w:numFmt w:val="bullet"/>
      <w:lvlText w:val=""/>
      <w:lvlJc w:val="left"/>
      <w:pPr>
        <w:ind w:left="4296" w:hanging="360"/>
      </w:pPr>
      <w:rPr>
        <w:rFonts w:ascii="Symbol" w:hAnsi="Symbol" w:hint="default"/>
      </w:rPr>
    </w:lvl>
    <w:lvl w:ilvl="4">
      <w:start w:val="1"/>
      <w:numFmt w:val="bullet"/>
      <w:lvlText w:val="o"/>
      <w:lvlJc w:val="left"/>
      <w:pPr>
        <w:ind w:left="5016" w:hanging="360"/>
      </w:pPr>
      <w:rPr>
        <w:rFonts w:ascii="Courier New" w:hAnsi="Courier New" w:cs="Courier New" w:hint="default"/>
      </w:rPr>
    </w:lvl>
    <w:lvl w:ilvl="5">
      <w:start w:val="1"/>
      <w:numFmt w:val="bullet"/>
      <w:lvlText w:val=""/>
      <w:lvlJc w:val="left"/>
      <w:pPr>
        <w:ind w:left="5736" w:hanging="360"/>
      </w:pPr>
      <w:rPr>
        <w:rFonts w:ascii="Wingdings" w:hAnsi="Wingdings" w:hint="default"/>
      </w:rPr>
    </w:lvl>
    <w:lvl w:ilvl="6">
      <w:start w:val="1"/>
      <w:numFmt w:val="bullet"/>
      <w:lvlText w:val=""/>
      <w:lvlJc w:val="left"/>
      <w:pPr>
        <w:ind w:left="6456" w:hanging="360"/>
      </w:pPr>
      <w:rPr>
        <w:rFonts w:ascii="Symbol" w:hAnsi="Symbol" w:hint="default"/>
      </w:rPr>
    </w:lvl>
    <w:lvl w:ilvl="7">
      <w:start w:val="1"/>
      <w:numFmt w:val="bullet"/>
      <w:lvlText w:val="o"/>
      <w:lvlJc w:val="left"/>
      <w:pPr>
        <w:ind w:left="7176" w:hanging="360"/>
      </w:pPr>
      <w:rPr>
        <w:rFonts w:ascii="Courier New" w:hAnsi="Courier New" w:cs="Courier New" w:hint="default"/>
      </w:rPr>
    </w:lvl>
    <w:lvl w:ilvl="8">
      <w:start w:val="1"/>
      <w:numFmt w:val="bullet"/>
      <w:lvlText w:val=""/>
      <w:lvlJc w:val="left"/>
      <w:pPr>
        <w:ind w:left="7896" w:hanging="360"/>
      </w:pPr>
      <w:rPr>
        <w:rFonts w:ascii="Wingdings" w:hAnsi="Wingdings" w:hint="default"/>
      </w:rPr>
    </w:lvl>
  </w:abstractNum>
  <w:abstractNum w:abstractNumId="21">
    <w:nsid w:val="0F9F7850"/>
    <w:multiLevelType w:val="multilevel"/>
    <w:tmpl w:val="0F9F7850"/>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2">
    <w:nsid w:val="12806C5B"/>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142D3B64"/>
    <w:multiLevelType w:val="multilevel"/>
    <w:tmpl w:val="142D3B64"/>
    <w:lvl w:ilvl="0">
      <w:start w:val="1"/>
      <w:numFmt w:val="bullet"/>
      <w:lvlText w:val=""/>
      <w:lvlJc w:val="left"/>
      <w:pPr>
        <w:ind w:left="720" w:hanging="360"/>
      </w:pPr>
      <w:rPr>
        <w:rFonts w:ascii="Wingdings" w:hAnsi="Wingdings"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nsid w:val="14E256B2"/>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14ED04DB"/>
    <w:multiLevelType w:val="multilevel"/>
    <w:tmpl w:val="14ED04D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nsid w:val="16642C3B"/>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nsid w:val="16766229"/>
    <w:multiLevelType w:val="multilevel"/>
    <w:tmpl w:val="16766229"/>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17CB69D4"/>
    <w:multiLevelType w:val="multilevel"/>
    <w:tmpl w:val="17CB69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1B471DFD"/>
    <w:multiLevelType w:val="multilevel"/>
    <w:tmpl w:val="1B471DFD"/>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1DDD5DCB"/>
    <w:multiLevelType w:val="multilevel"/>
    <w:tmpl w:val="1DDD5DCB"/>
    <w:lvl w:ilvl="0">
      <w:start w:val="1"/>
      <w:numFmt w:val="decimal"/>
      <w:lvlText w:val="%1."/>
      <w:lvlJc w:val="left"/>
      <w:pPr>
        <w:ind w:left="5040" w:hanging="360"/>
      </w:pPr>
      <w:rPr>
        <w:rFonts w:hint="default"/>
      </w:rPr>
    </w:lvl>
    <w:lvl w:ilvl="1">
      <w:start w:val="1"/>
      <w:numFmt w:val="lowerLetter"/>
      <w:lvlText w:val="%2."/>
      <w:lvlJc w:val="left"/>
      <w:pPr>
        <w:ind w:left="5760" w:hanging="360"/>
      </w:pPr>
    </w:lvl>
    <w:lvl w:ilvl="2">
      <w:start w:val="1"/>
      <w:numFmt w:val="lowerRoman"/>
      <w:lvlText w:val="%3."/>
      <w:lvlJc w:val="right"/>
      <w:pPr>
        <w:ind w:left="6480" w:hanging="180"/>
      </w:pPr>
    </w:lvl>
    <w:lvl w:ilvl="3">
      <w:start w:val="1"/>
      <w:numFmt w:val="decimal"/>
      <w:lvlText w:val="%4."/>
      <w:lvlJc w:val="left"/>
      <w:pPr>
        <w:ind w:left="7200" w:hanging="360"/>
      </w:pPr>
    </w:lvl>
    <w:lvl w:ilvl="4">
      <w:start w:val="1"/>
      <w:numFmt w:val="lowerLetter"/>
      <w:lvlText w:val="%5."/>
      <w:lvlJc w:val="left"/>
      <w:pPr>
        <w:ind w:left="7920" w:hanging="360"/>
      </w:pPr>
    </w:lvl>
    <w:lvl w:ilvl="5">
      <w:start w:val="1"/>
      <w:numFmt w:val="lowerRoman"/>
      <w:lvlText w:val="%6."/>
      <w:lvlJc w:val="right"/>
      <w:pPr>
        <w:ind w:left="8640" w:hanging="180"/>
      </w:pPr>
    </w:lvl>
    <w:lvl w:ilvl="6">
      <w:start w:val="1"/>
      <w:numFmt w:val="decimal"/>
      <w:lvlText w:val="%7."/>
      <w:lvlJc w:val="left"/>
      <w:pPr>
        <w:ind w:left="9360" w:hanging="360"/>
      </w:pPr>
    </w:lvl>
    <w:lvl w:ilvl="7">
      <w:start w:val="1"/>
      <w:numFmt w:val="lowerLetter"/>
      <w:lvlText w:val="%8."/>
      <w:lvlJc w:val="left"/>
      <w:pPr>
        <w:ind w:left="10080" w:hanging="360"/>
      </w:pPr>
    </w:lvl>
    <w:lvl w:ilvl="8">
      <w:start w:val="1"/>
      <w:numFmt w:val="lowerRoman"/>
      <w:lvlText w:val="%9."/>
      <w:lvlJc w:val="right"/>
      <w:pPr>
        <w:ind w:left="10800" w:hanging="180"/>
      </w:pPr>
    </w:lvl>
  </w:abstractNum>
  <w:abstractNum w:abstractNumId="31">
    <w:nsid w:val="1E4A3705"/>
    <w:multiLevelType w:val="multilevel"/>
    <w:tmpl w:val="1E4A370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1E7E7E1D"/>
    <w:multiLevelType w:val="multilevel"/>
    <w:tmpl w:val="1E7E7E1D"/>
    <w:lvl w:ilvl="0">
      <w:start w:val="5"/>
      <w:numFmt w:val="bullet"/>
      <w:lvlText w:val="-"/>
      <w:lvlJc w:val="left"/>
      <w:pPr>
        <w:tabs>
          <w:tab w:val="left" w:pos="1494"/>
        </w:tabs>
        <w:ind w:left="1494" w:hanging="360"/>
      </w:pPr>
      <w:rPr>
        <w:rFonts w:ascii="Times New Roman" w:eastAsia="Times New Roman" w:hAnsi="Times New Roman" w:cs="Times New Roman" w:hint="default"/>
      </w:rPr>
    </w:lvl>
    <w:lvl w:ilvl="1">
      <w:start w:val="1"/>
      <w:numFmt w:val="bullet"/>
      <w:lvlText w:val="o"/>
      <w:lvlJc w:val="left"/>
      <w:pPr>
        <w:tabs>
          <w:tab w:val="left" w:pos="2220"/>
        </w:tabs>
        <w:ind w:left="2220" w:hanging="360"/>
      </w:pPr>
      <w:rPr>
        <w:rFonts w:ascii="Courier New" w:hAnsi="Courier New" w:cs="Courier New" w:hint="default"/>
      </w:rPr>
    </w:lvl>
    <w:lvl w:ilvl="2">
      <w:start w:val="1"/>
      <w:numFmt w:val="bullet"/>
      <w:lvlText w:val=""/>
      <w:lvlJc w:val="left"/>
      <w:pPr>
        <w:tabs>
          <w:tab w:val="left" w:pos="2940"/>
        </w:tabs>
        <w:ind w:left="2940" w:hanging="360"/>
      </w:pPr>
      <w:rPr>
        <w:rFonts w:ascii="Wingdings" w:hAnsi="Wingdings" w:hint="default"/>
      </w:rPr>
    </w:lvl>
    <w:lvl w:ilvl="3">
      <w:start w:val="1"/>
      <w:numFmt w:val="bullet"/>
      <w:lvlText w:val=""/>
      <w:lvlJc w:val="left"/>
      <w:pPr>
        <w:tabs>
          <w:tab w:val="left" w:pos="3660"/>
        </w:tabs>
        <w:ind w:left="3660" w:hanging="360"/>
      </w:pPr>
      <w:rPr>
        <w:rFonts w:ascii="Symbol" w:hAnsi="Symbol" w:hint="default"/>
      </w:rPr>
    </w:lvl>
    <w:lvl w:ilvl="4">
      <w:start w:val="1"/>
      <w:numFmt w:val="bullet"/>
      <w:lvlText w:val="o"/>
      <w:lvlJc w:val="left"/>
      <w:pPr>
        <w:tabs>
          <w:tab w:val="left" w:pos="4380"/>
        </w:tabs>
        <w:ind w:left="4380" w:hanging="360"/>
      </w:pPr>
      <w:rPr>
        <w:rFonts w:ascii="Courier New" w:hAnsi="Courier New" w:cs="Courier New" w:hint="default"/>
      </w:rPr>
    </w:lvl>
    <w:lvl w:ilvl="5">
      <w:start w:val="1"/>
      <w:numFmt w:val="bullet"/>
      <w:lvlText w:val=""/>
      <w:lvlJc w:val="left"/>
      <w:pPr>
        <w:tabs>
          <w:tab w:val="left" w:pos="5100"/>
        </w:tabs>
        <w:ind w:left="5100" w:hanging="360"/>
      </w:pPr>
      <w:rPr>
        <w:rFonts w:ascii="Wingdings" w:hAnsi="Wingdings" w:hint="default"/>
      </w:rPr>
    </w:lvl>
    <w:lvl w:ilvl="6">
      <w:start w:val="1"/>
      <w:numFmt w:val="bullet"/>
      <w:lvlText w:val=""/>
      <w:lvlJc w:val="left"/>
      <w:pPr>
        <w:tabs>
          <w:tab w:val="left" w:pos="5820"/>
        </w:tabs>
        <w:ind w:left="5820" w:hanging="360"/>
      </w:pPr>
      <w:rPr>
        <w:rFonts w:ascii="Symbol" w:hAnsi="Symbol" w:hint="default"/>
      </w:rPr>
    </w:lvl>
    <w:lvl w:ilvl="7">
      <w:start w:val="1"/>
      <w:numFmt w:val="bullet"/>
      <w:lvlText w:val="o"/>
      <w:lvlJc w:val="left"/>
      <w:pPr>
        <w:tabs>
          <w:tab w:val="left" w:pos="6540"/>
        </w:tabs>
        <w:ind w:left="6540" w:hanging="360"/>
      </w:pPr>
      <w:rPr>
        <w:rFonts w:ascii="Courier New" w:hAnsi="Courier New" w:cs="Courier New" w:hint="default"/>
      </w:rPr>
    </w:lvl>
    <w:lvl w:ilvl="8">
      <w:start w:val="1"/>
      <w:numFmt w:val="bullet"/>
      <w:lvlText w:val=""/>
      <w:lvlJc w:val="left"/>
      <w:pPr>
        <w:tabs>
          <w:tab w:val="left" w:pos="7260"/>
        </w:tabs>
        <w:ind w:left="7260" w:hanging="360"/>
      </w:pPr>
      <w:rPr>
        <w:rFonts w:ascii="Wingdings" w:hAnsi="Wingdings" w:hint="default"/>
      </w:rPr>
    </w:lvl>
  </w:abstractNum>
  <w:abstractNum w:abstractNumId="33">
    <w:nsid w:val="20535A23"/>
    <w:multiLevelType w:val="multilevel"/>
    <w:tmpl w:val="20535A23"/>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4">
    <w:nsid w:val="22775EFA"/>
    <w:multiLevelType w:val="multilevel"/>
    <w:tmpl w:val="22775EFA"/>
    <w:lvl w:ilvl="0">
      <w:start w:val="2"/>
      <w:numFmt w:val="bullet"/>
      <w:lvlText w:val="-"/>
      <w:lvlJc w:val="left"/>
      <w:pPr>
        <w:tabs>
          <w:tab w:val="left" w:pos="720"/>
        </w:tabs>
        <w:ind w:left="720" w:hanging="360"/>
      </w:pPr>
      <w:rPr>
        <w:rFonts w:ascii="Arial" w:eastAsia="Times New Roman" w:hAnsi="Arial" w:cs="Arial" w:hint="default"/>
        <w:b w:val="0"/>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35">
    <w:nsid w:val="235A7551"/>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236A57DC"/>
    <w:multiLevelType w:val="multilevel"/>
    <w:tmpl w:val="236A57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nsid w:val="23CD30BD"/>
    <w:multiLevelType w:val="multilevel"/>
    <w:tmpl w:val="23CD30BD"/>
    <w:lvl w:ilvl="0">
      <w:start w:val="1"/>
      <w:numFmt w:val="bullet"/>
      <w:lvlText w:val=""/>
      <w:lvlJc w:val="left"/>
      <w:pPr>
        <w:ind w:left="768" w:hanging="360"/>
      </w:pPr>
      <w:rPr>
        <w:rFonts w:ascii="Wingdings" w:hAnsi="Wingdings" w:hint="default"/>
      </w:rPr>
    </w:lvl>
    <w:lvl w:ilvl="1">
      <w:start w:val="1"/>
      <w:numFmt w:val="bullet"/>
      <w:lvlText w:val="o"/>
      <w:lvlJc w:val="left"/>
      <w:pPr>
        <w:ind w:left="1488" w:hanging="360"/>
      </w:pPr>
      <w:rPr>
        <w:rFonts w:ascii="Courier New" w:hAnsi="Courier New" w:cs="Courier New" w:hint="default"/>
      </w:rPr>
    </w:lvl>
    <w:lvl w:ilvl="2">
      <w:start w:val="1"/>
      <w:numFmt w:val="bullet"/>
      <w:lvlText w:val=""/>
      <w:lvlJc w:val="left"/>
      <w:pPr>
        <w:ind w:left="2208" w:hanging="360"/>
      </w:pPr>
      <w:rPr>
        <w:rFonts w:ascii="Wingdings" w:hAnsi="Wingdings" w:hint="default"/>
      </w:rPr>
    </w:lvl>
    <w:lvl w:ilvl="3">
      <w:start w:val="1"/>
      <w:numFmt w:val="bullet"/>
      <w:lvlText w:val=""/>
      <w:lvlJc w:val="left"/>
      <w:pPr>
        <w:ind w:left="2928" w:hanging="360"/>
      </w:pPr>
      <w:rPr>
        <w:rFonts w:ascii="Symbol" w:hAnsi="Symbol" w:hint="default"/>
      </w:rPr>
    </w:lvl>
    <w:lvl w:ilvl="4">
      <w:start w:val="1"/>
      <w:numFmt w:val="bullet"/>
      <w:lvlText w:val="o"/>
      <w:lvlJc w:val="left"/>
      <w:pPr>
        <w:ind w:left="3648" w:hanging="360"/>
      </w:pPr>
      <w:rPr>
        <w:rFonts w:ascii="Courier New" w:hAnsi="Courier New" w:cs="Courier New" w:hint="default"/>
      </w:rPr>
    </w:lvl>
    <w:lvl w:ilvl="5">
      <w:start w:val="1"/>
      <w:numFmt w:val="bullet"/>
      <w:lvlText w:val=""/>
      <w:lvlJc w:val="left"/>
      <w:pPr>
        <w:ind w:left="4368" w:hanging="360"/>
      </w:pPr>
      <w:rPr>
        <w:rFonts w:ascii="Wingdings" w:hAnsi="Wingdings" w:hint="default"/>
      </w:rPr>
    </w:lvl>
    <w:lvl w:ilvl="6">
      <w:start w:val="1"/>
      <w:numFmt w:val="bullet"/>
      <w:lvlText w:val=""/>
      <w:lvlJc w:val="left"/>
      <w:pPr>
        <w:ind w:left="5088" w:hanging="360"/>
      </w:pPr>
      <w:rPr>
        <w:rFonts w:ascii="Symbol" w:hAnsi="Symbol" w:hint="default"/>
      </w:rPr>
    </w:lvl>
    <w:lvl w:ilvl="7">
      <w:start w:val="1"/>
      <w:numFmt w:val="bullet"/>
      <w:lvlText w:val="o"/>
      <w:lvlJc w:val="left"/>
      <w:pPr>
        <w:ind w:left="5808" w:hanging="360"/>
      </w:pPr>
      <w:rPr>
        <w:rFonts w:ascii="Courier New" w:hAnsi="Courier New" w:cs="Courier New" w:hint="default"/>
      </w:rPr>
    </w:lvl>
    <w:lvl w:ilvl="8">
      <w:start w:val="1"/>
      <w:numFmt w:val="bullet"/>
      <w:lvlText w:val=""/>
      <w:lvlJc w:val="left"/>
      <w:pPr>
        <w:ind w:left="6528" w:hanging="360"/>
      </w:pPr>
      <w:rPr>
        <w:rFonts w:ascii="Wingdings" w:hAnsi="Wingdings" w:hint="default"/>
      </w:rPr>
    </w:lvl>
  </w:abstractNum>
  <w:abstractNum w:abstractNumId="38">
    <w:nsid w:val="2404696D"/>
    <w:multiLevelType w:val="multilevel"/>
    <w:tmpl w:val="2404696D"/>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9">
    <w:nsid w:val="24C4239A"/>
    <w:multiLevelType w:val="multilevel"/>
    <w:tmpl w:val="24C4239A"/>
    <w:lvl w:ilvl="0">
      <w:start w:val="5"/>
      <w:numFmt w:val="bullet"/>
      <w:lvlText w:val="-"/>
      <w:lvlJc w:val="left"/>
      <w:pPr>
        <w:ind w:left="720" w:hanging="360"/>
      </w:pPr>
      <w:rPr>
        <w:rFonts w:ascii="Calibri" w:eastAsiaTheme="min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251B2BC9"/>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nsid w:val="266B1A5D"/>
    <w:multiLevelType w:val="multilevel"/>
    <w:tmpl w:val="266B1A5D"/>
    <w:lvl w:ilvl="0">
      <w:start w:val="1"/>
      <w:numFmt w:val="decimal"/>
      <w:suff w:val="space"/>
      <w:lvlText w:val="%1."/>
      <w:lvlJc w:val="left"/>
      <w:pPr>
        <w:ind w:left="0" w:firstLine="0"/>
      </w:pPr>
      <w:rPr>
        <w:rFonts w:asciiTheme="minorHAnsi" w:hAnsiTheme="minorHAnsi" w:hint="default"/>
        <w:b/>
        <w:i/>
        <w:sz w:val="28"/>
      </w:rPr>
    </w:lvl>
    <w:lvl w:ilvl="1">
      <w:start w:val="1"/>
      <w:numFmt w:val="decimal"/>
      <w:pStyle w:val="Razina4"/>
      <w:suff w:val="space"/>
      <w:lvlText w:val="%1.%2."/>
      <w:lvlJc w:val="left"/>
      <w:pPr>
        <w:ind w:left="0" w:firstLine="0"/>
      </w:pPr>
      <w:rPr>
        <w:rFonts w:asciiTheme="minorHAnsi" w:hAnsiTheme="minorHAnsi" w:hint="default"/>
        <w:b/>
        <w:i/>
        <w:sz w:val="28"/>
      </w:rPr>
    </w:lvl>
    <w:lvl w:ilvl="2">
      <w:start w:val="1"/>
      <w:numFmt w:val="decimal"/>
      <w:pStyle w:val="Razina3"/>
      <w:suff w:val="space"/>
      <w:lvlText w:val="%1.%2.%3."/>
      <w:lvlJc w:val="left"/>
      <w:pPr>
        <w:ind w:left="0" w:firstLine="0"/>
      </w:pPr>
      <w:rPr>
        <w:rFonts w:asciiTheme="minorHAnsi" w:hAnsiTheme="minorHAnsi" w:hint="default"/>
        <w:i/>
        <w:color w:val="auto"/>
        <w:sz w:val="24"/>
      </w:rPr>
    </w:lvl>
    <w:lvl w:ilvl="3">
      <w:start w:val="1"/>
      <w:numFmt w:val="decimal"/>
      <w:pStyle w:val="Razina4"/>
      <w:suff w:val="space"/>
      <w:lvlText w:val="%1.%2.%3.%4."/>
      <w:lvlJc w:val="left"/>
      <w:pPr>
        <w:ind w:left="0" w:firstLine="0"/>
      </w:pPr>
      <w:rPr>
        <w:rFonts w:asciiTheme="minorHAnsi" w:hAnsiTheme="minorHAnsi" w:hint="default"/>
        <w:b w:val="0"/>
        <w:i/>
        <w:sz w:val="24"/>
      </w:rPr>
    </w:lvl>
    <w:lvl w:ilvl="4">
      <w:start w:val="1"/>
      <w:numFmt w:val="decimal"/>
      <w:pStyle w:val="Razina5"/>
      <w:suff w:val="space"/>
      <w:lvlText w:val="%1.%2.%3.%4.%5."/>
      <w:lvlJc w:val="left"/>
      <w:pPr>
        <w:ind w:left="0" w:firstLine="0"/>
      </w:pPr>
      <w:rPr>
        <w:rFonts w:asciiTheme="minorHAnsi" w:hAnsiTheme="minorHAnsi" w:hint="default"/>
        <w:b w:val="0"/>
        <w:i/>
        <w:color w:val="auto"/>
        <w:sz w:val="24"/>
        <w:szCs w:val="24"/>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2">
    <w:nsid w:val="26E60D11"/>
    <w:multiLevelType w:val="multilevel"/>
    <w:tmpl w:val="26E60D11"/>
    <w:lvl w:ilvl="0">
      <w:start w:val="1"/>
      <w:numFmt w:val="decimal"/>
      <w:pStyle w:val="Tijeloteksta3"/>
      <w:lvlText w:val="Tablica: %1."/>
      <w:lvlJc w:val="left"/>
      <w:pPr>
        <w:tabs>
          <w:tab w:val="left" w:pos="1080"/>
        </w:tabs>
        <w:ind w:left="36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3">
    <w:nsid w:val="26EE3509"/>
    <w:multiLevelType w:val="multilevel"/>
    <w:tmpl w:val="26EE3509"/>
    <w:lvl w:ilvl="0">
      <w:start w:val="1"/>
      <w:numFmt w:val="decimal"/>
      <w:pStyle w:val="NASLOVar11"/>
      <w:lvlText w:val="%1."/>
      <w:lvlJc w:val="left"/>
      <w:pPr>
        <w:tabs>
          <w:tab w:val="left" w:pos="360"/>
        </w:tabs>
        <w:ind w:left="360" w:hanging="360"/>
      </w:pPr>
      <w:rPr>
        <w:rFonts w:ascii="Arial" w:hAnsi="Arial" w:hint="default"/>
        <w:b/>
        <w:i w:val="0"/>
        <w:sz w:val="22"/>
        <w:szCs w:val="22"/>
      </w:rPr>
    </w:lvl>
    <w:lvl w:ilvl="1">
      <w:start w:val="1"/>
      <w:numFmt w:val="decimal"/>
      <w:pStyle w:val="podnaslov"/>
      <w:lvlText w:val="%1.%2."/>
      <w:lvlJc w:val="left"/>
      <w:pPr>
        <w:tabs>
          <w:tab w:val="left" w:pos="792"/>
        </w:tabs>
        <w:ind w:left="792" w:hanging="432"/>
      </w:pPr>
      <w:rPr>
        <w:rFonts w:ascii="Arial" w:hAnsi="Arial" w:hint="default"/>
        <w:b/>
        <w:i w:val="0"/>
        <w:sz w:val="22"/>
        <w:szCs w:val="22"/>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2160"/>
        </w:tabs>
        <w:ind w:left="1728" w:hanging="648"/>
      </w:pPr>
      <w:rPr>
        <w:rFonts w:hint="default"/>
      </w:rPr>
    </w:lvl>
    <w:lvl w:ilvl="4">
      <w:start w:val="1"/>
      <w:numFmt w:val="decimal"/>
      <w:lvlText w:val="%1.%2.%3.%4.%5."/>
      <w:lvlJc w:val="left"/>
      <w:pPr>
        <w:tabs>
          <w:tab w:val="left" w:pos="2880"/>
        </w:tabs>
        <w:ind w:left="2232" w:hanging="792"/>
      </w:pPr>
      <w:rPr>
        <w:rFonts w:hint="default"/>
      </w:rPr>
    </w:lvl>
    <w:lvl w:ilvl="5">
      <w:start w:val="1"/>
      <w:numFmt w:val="decimal"/>
      <w:lvlText w:val="%1.%2.%3.%4.%5.%6."/>
      <w:lvlJc w:val="left"/>
      <w:pPr>
        <w:tabs>
          <w:tab w:val="left" w:pos="3240"/>
        </w:tabs>
        <w:ind w:left="2736" w:hanging="936"/>
      </w:pPr>
      <w:rPr>
        <w:rFonts w:hint="default"/>
      </w:rPr>
    </w:lvl>
    <w:lvl w:ilvl="6">
      <w:start w:val="1"/>
      <w:numFmt w:val="decimal"/>
      <w:lvlText w:val="%1.%2.%3.%4.%5.%6.%7."/>
      <w:lvlJc w:val="left"/>
      <w:pPr>
        <w:tabs>
          <w:tab w:val="left" w:pos="3960"/>
        </w:tabs>
        <w:ind w:left="3240" w:hanging="1080"/>
      </w:pPr>
      <w:rPr>
        <w:rFonts w:hint="default"/>
      </w:rPr>
    </w:lvl>
    <w:lvl w:ilvl="7">
      <w:start w:val="1"/>
      <w:numFmt w:val="decimal"/>
      <w:lvlText w:val="%1.%2.%3.%4.%5.%6.%7.%8."/>
      <w:lvlJc w:val="left"/>
      <w:pPr>
        <w:tabs>
          <w:tab w:val="left" w:pos="4680"/>
        </w:tabs>
        <w:ind w:left="3744" w:hanging="1224"/>
      </w:pPr>
      <w:rPr>
        <w:rFonts w:hint="default"/>
      </w:rPr>
    </w:lvl>
    <w:lvl w:ilvl="8">
      <w:start w:val="1"/>
      <w:numFmt w:val="decimal"/>
      <w:lvlText w:val="%1.%2.%3.%4.%5.%6.%7.%8.%9."/>
      <w:lvlJc w:val="left"/>
      <w:pPr>
        <w:tabs>
          <w:tab w:val="left" w:pos="5040"/>
        </w:tabs>
        <w:ind w:left="4320" w:hanging="1440"/>
      </w:pPr>
      <w:rPr>
        <w:rFonts w:hint="default"/>
      </w:rPr>
    </w:lvl>
  </w:abstractNum>
  <w:abstractNum w:abstractNumId="44">
    <w:nsid w:val="294C7442"/>
    <w:multiLevelType w:val="multilevel"/>
    <w:tmpl w:val="294C7442"/>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2B7F68DB"/>
    <w:multiLevelType w:val="multilevel"/>
    <w:tmpl w:val="2B7F68DB"/>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2D892130"/>
    <w:multiLevelType w:val="hybridMultilevel"/>
    <w:tmpl w:val="E32ED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nsid w:val="2E6E6B6C"/>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nsid w:val="302A7A3B"/>
    <w:multiLevelType w:val="multilevel"/>
    <w:tmpl w:val="302A7A3B"/>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49">
    <w:nsid w:val="30AD2B29"/>
    <w:multiLevelType w:val="multilevel"/>
    <w:tmpl w:val="30AD2B29"/>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311E068A"/>
    <w:multiLevelType w:val="hybridMultilevel"/>
    <w:tmpl w:val="29C02F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1">
    <w:nsid w:val="31DA4711"/>
    <w:multiLevelType w:val="multilevel"/>
    <w:tmpl w:val="31DA4711"/>
    <w:lvl w:ilvl="0">
      <w:start w:val="1"/>
      <w:numFmt w:val="bullet"/>
      <w:lvlText w:val=""/>
      <w:lvlJc w:val="left"/>
      <w:pPr>
        <w:ind w:left="1068" w:hanging="360"/>
      </w:pPr>
      <w:rPr>
        <w:rFonts w:ascii="Symbol" w:hAnsi="Symbol"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52">
    <w:nsid w:val="33614494"/>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349D1EBF"/>
    <w:multiLevelType w:val="multilevel"/>
    <w:tmpl w:val="349D1EB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4">
    <w:nsid w:val="34EA41BE"/>
    <w:multiLevelType w:val="multilevel"/>
    <w:tmpl w:val="34EA41BE"/>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55">
    <w:nsid w:val="35373764"/>
    <w:multiLevelType w:val="multilevel"/>
    <w:tmpl w:val="3537376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nsid w:val="364114D8"/>
    <w:multiLevelType w:val="multilevel"/>
    <w:tmpl w:val="364114D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nsid w:val="366E61D3"/>
    <w:multiLevelType w:val="multilevel"/>
    <w:tmpl w:val="366E61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8">
    <w:nsid w:val="37185B51"/>
    <w:multiLevelType w:val="multilevel"/>
    <w:tmpl w:val="37185B51"/>
    <w:lvl w:ilvl="0">
      <w:start w:val="1"/>
      <w:numFmt w:val="bullet"/>
      <w:lvlText w:val="-"/>
      <w:lvlJc w:val="left"/>
      <w:pPr>
        <w:tabs>
          <w:tab w:val="left" w:pos="1080"/>
        </w:tabs>
        <w:ind w:left="1080" w:hanging="360"/>
      </w:pPr>
      <w:rPr>
        <w:rFonts w:ascii="Times New Roman" w:eastAsia="Times New Roman" w:hAnsi="Times New Roman" w:cs="Times New Roman" w:hint="default"/>
      </w:rPr>
    </w:lvl>
    <w:lvl w:ilvl="1">
      <w:start w:val="1"/>
      <w:numFmt w:val="bullet"/>
      <w:lvlText w:val="o"/>
      <w:lvlJc w:val="left"/>
      <w:pPr>
        <w:tabs>
          <w:tab w:val="left" w:pos="1800"/>
        </w:tabs>
        <w:ind w:left="1800" w:hanging="360"/>
      </w:pPr>
      <w:rPr>
        <w:rFonts w:ascii="Courier New" w:hAnsi="Courier New" w:cs="Courier New" w:hint="default"/>
      </w:rPr>
    </w:lvl>
    <w:lvl w:ilvl="2">
      <w:start w:val="1"/>
      <w:numFmt w:val="bullet"/>
      <w:lvlText w:val=""/>
      <w:lvlJc w:val="left"/>
      <w:pPr>
        <w:tabs>
          <w:tab w:val="left" w:pos="2520"/>
        </w:tabs>
        <w:ind w:left="2520" w:hanging="360"/>
      </w:pPr>
      <w:rPr>
        <w:rFonts w:ascii="Wingdings" w:hAnsi="Wingdings" w:hint="default"/>
      </w:rPr>
    </w:lvl>
    <w:lvl w:ilvl="3">
      <w:start w:val="1"/>
      <w:numFmt w:val="bullet"/>
      <w:lvlText w:val=""/>
      <w:lvlJc w:val="left"/>
      <w:pPr>
        <w:tabs>
          <w:tab w:val="left" w:pos="3240"/>
        </w:tabs>
        <w:ind w:left="3240" w:hanging="360"/>
      </w:pPr>
      <w:rPr>
        <w:rFonts w:ascii="Symbol" w:hAnsi="Symbol" w:hint="default"/>
      </w:rPr>
    </w:lvl>
    <w:lvl w:ilvl="4">
      <w:start w:val="1"/>
      <w:numFmt w:val="bullet"/>
      <w:lvlText w:val="o"/>
      <w:lvlJc w:val="left"/>
      <w:pPr>
        <w:tabs>
          <w:tab w:val="left" w:pos="3960"/>
        </w:tabs>
        <w:ind w:left="3960" w:hanging="360"/>
      </w:pPr>
      <w:rPr>
        <w:rFonts w:ascii="Courier New" w:hAnsi="Courier New" w:cs="Courier New" w:hint="default"/>
      </w:rPr>
    </w:lvl>
    <w:lvl w:ilvl="5">
      <w:start w:val="1"/>
      <w:numFmt w:val="bullet"/>
      <w:lvlText w:val=""/>
      <w:lvlJc w:val="left"/>
      <w:pPr>
        <w:tabs>
          <w:tab w:val="left" w:pos="4680"/>
        </w:tabs>
        <w:ind w:left="4680" w:hanging="360"/>
      </w:pPr>
      <w:rPr>
        <w:rFonts w:ascii="Wingdings" w:hAnsi="Wingdings" w:hint="default"/>
      </w:rPr>
    </w:lvl>
    <w:lvl w:ilvl="6">
      <w:start w:val="1"/>
      <w:numFmt w:val="bullet"/>
      <w:lvlText w:val=""/>
      <w:lvlJc w:val="left"/>
      <w:pPr>
        <w:tabs>
          <w:tab w:val="left" w:pos="5400"/>
        </w:tabs>
        <w:ind w:left="5400" w:hanging="360"/>
      </w:pPr>
      <w:rPr>
        <w:rFonts w:ascii="Symbol" w:hAnsi="Symbol" w:hint="default"/>
      </w:rPr>
    </w:lvl>
    <w:lvl w:ilvl="7">
      <w:start w:val="1"/>
      <w:numFmt w:val="bullet"/>
      <w:lvlText w:val="o"/>
      <w:lvlJc w:val="left"/>
      <w:pPr>
        <w:tabs>
          <w:tab w:val="left" w:pos="6120"/>
        </w:tabs>
        <w:ind w:left="6120" w:hanging="360"/>
      </w:pPr>
      <w:rPr>
        <w:rFonts w:ascii="Courier New" w:hAnsi="Courier New" w:cs="Courier New" w:hint="default"/>
      </w:rPr>
    </w:lvl>
    <w:lvl w:ilvl="8">
      <w:start w:val="1"/>
      <w:numFmt w:val="bullet"/>
      <w:lvlText w:val=""/>
      <w:lvlJc w:val="left"/>
      <w:pPr>
        <w:tabs>
          <w:tab w:val="left" w:pos="6840"/>
        </w:tabs>
        <w:ind w:left="6840" w:hanging="360"/>
      </w:pPr>
      <w:rPr>
        <w:rFonts w:ascii="Wingdings" w:hAnsi="Wingdings" w:hint="default"/>
      </w:rPr>
    </w:lvl>
  </w:abstractNum>
  <w:abstractNum w:abstractNumId="59">
    <w:nsid w:val="38CD5550"/>
    <w:multiLevelType w:val="multilevel"/>
    <w:tmpl w:val="38CD5550"/>
    <w:lvl w:ilvl="0">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shd w:val="clear" w:color="auto" w:fill="auto"/>
        <w:vertAlign w:val="baseline"/>
      </w:rPr>
    </w:lvl>
  </w:abstractNum>
  <w:abstractNum w:abstractNumId="60">
    <w:nsid w:val="3A370FBB"/>
    <w:multiLevelType w:val="multilevel"/>
    <w:tmpl w:val="3A370FBB"/>
    <w:lvl w:ilvl="0">
      <w:start w:val="5"/>
      <w:numFmt w:val="bullet"/>
      <w:lvlText w:val="-"/>
      <w:lvlJc w:val="left"/>
      <w:pPr>
        <w:ind w:left="720" w:hanging="360"/>
      </w:pPr>
      <w:rPr>
        <w:rFonts w:ascii="Calibri" w:eastAsiaTheme="min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nsid w:val="3E2D0A85"/>
    <w:multiLevelType w:val="multilevel"/>
    <w:tmpl w:val="3E2D0A8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2">
    <w:nsid w:val="3ED078E0"/>
    <w:multiLevelType w:val="multilevel"/>
    <w:tmpl w:val="28F240A4"/>
    <w:lvl w:ilvl="0">
      <w:start w:val="1"/>
      <w:numFmt w:val="decimal"/>
      <w:pStyle w:val="N1Cha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3">
    <w:nsid w:val="405250F0"/>
    <w:multiLevelType w:val="multilevel"/>
    <w:tmpl w:val="405250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nsid w:val="4126057E"/>
    <w:multiLevelType w:val="multilevel"/>
    <w:tmpl w:val="4126057E"/>
    <w:lvl w:ilvl="0">
      <w:start w:val="5"/>
      <w:numFmt w:val="bullet"/>
      <w:lvlText w:val="-"/>
      <w:lvlJc w:val="left"/>
      <w:pPr>
        <w:ind w:left="720" w:hanging="360"/>
      </w:pPr>
      <w:rPr>
        <w:rFonts w:ascii="Garamond" w:eastAsiaTheme="minorHAnsi" w:hAnsi="Garamond"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nsid w:val="428E7AD6"/>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42CF50A5"/>
    <w:multiLevelType w:val="multilevel"/>
    <w:tmpl w:val="42CF50A5"/>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nsid w:val="453E26AF"/>
    <w:multiLevelType w:val="hybridMultilevel"/>
    <w:tmpl w:val="9248760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8">
    <w:nsid w:val="45977031"/>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nsid w:val="4B357FE4"/>
    <w:multiLevelType w:val="multilevel"/>
    <w:tmpl w:val="4B357FE4"/>
    <w:lvl w:ilvl="0">
      <w:start w:val="5"/>
      <w:numFmt w:val="bullet"/>
      <w:lvlText w:val="-"/>
      <w:lvlJc w:val="left"/>
      <w:pPr>
        <w:ind w:left="720" w:hanging="360"/>
      </w:pPr>
      <w:rPr>
        <w:rFonts w:ascii="Calibri" w:eastAsiaTheme="min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0">
    <w:nsid w:val="4B9721A7"/>
    <w:multiLevelType w:val="multilevel"/>
    <w:tmpl w:val="4B9721A7"/>
    <w:lvl w:ilvl="0">
      <w:start w:val="1"/>
      <w:numFmt w:val="decimal"/>
      <w:lvlText w:val="%1."/>
      <w:lvlJc w:val="left"/>
      <w:pPr>
        <w:tabs>
          <w:tab w:val="left" w:pos="0"/>
        </w:tabs>
        <w:ind w:left="1430" w:hanging="360"/>
      </w:pPr>
      <w:rPr>
        <w:rFonts w:ascii="Times New Roman" w:eastAsia="Calibri" w:hAnsi="Times New Roman" w:cs="Times New Roman"/>
      </w:rPr>
    </w:lvl>
    <w:lvl w:ilvl="1">
      <w:start w:val="1"/>
      <w:numFmt w:val="bullet"/>
      <w:lvlText w:val="o"/>
      <w:lvlJc w:val="left"/>
      <w:pPr>
        <w:tabs>
          <w:tab w:val="left" w:pos="0"/>
        </w:tabs>
        <w:ind w:left="2150" w:hanging="360"/>
      </w:pPr>
      <w:rPr>
        <w:rFonts w:ascii="Courier New" w:hAnsi="Courier New" w:cs="Courier New" w:hint="default"/>
      </w:rPr>
    </w:lvl>
    <w:lvl w:ilvl="2">
      <w:start w:val="1"/>
      <w:numFmt w:val="bullet"/>
      <w:lvlText w:val=""/>
      <w:lvlJc w:val="left"/>
      <w:pPr>
        <w:tabs>
          <w:tab w:val="left" w:pos="0"/>
        </w:tabs>
        <w:ind w:left="2870" w:hanging="360"/>
      </w:pPr>
      <w:rPr>
        <w:rFonts w:ascii="Wingdings" w:hAnsi="Wingdings" w:cs="Wingdings" w:hint="default"/>
      </w:rPr>
    </w:lvl>
    <w:lvl w:ilvl="3">
      <w:start w:val="1"/>
      <w:numFmt w:val="bullet"/>
      <w:lvlText w:val=""/>
      <w:lvlJc w:val="left"/>
      <w:pPr>
        <w:tabs>
          <w:tab w:val="left" w:pos="0"/>
        </w:tabs>
        <w:ind w:left="3590" w:hanging="360"/>
      </w:pPr>
      <w:rPr>
        <w:rFonts w:ascii="Symbol" w:hAnsi="Symbol" w:cs="Symbol" w:hint="default"/>
      </w:rPr>
    </w:lvl>
    <w:lvl w:ilvl="4">
      <w:start w:val="1"/>
      <w:numFmt w:val="bullet"/>
      <w:lvlText w:val="o"/>
      <w:lvlJc w:val="left"/>
      <w:pPr>
        <w:tabs>
          <w:tab w:val="left" w:pos="0"/>
        </w:tabs>
        <w:ind w:left="4310" w:hanging="360"/>
      </w:pPr>
      <w:rPr>
        <w:rFonts w:ascii="Courier New" w:hAnsi="Courier New" w:cs="Courier New" w:hint="default"/>
      </w:rPr>
    </w:lvl>
    <w:lvl w:ilvl="5">
      <w:start w:val="1"/>
      <w:numFmt w:val="bullet"/>
      <w:lvlText w:val=""/>
      <w:lvlJc w:val="left"/>
      <w:pPr>
        <w:tabs>
          <w:tab w:val="left" w:pos="0"/>
        </w:tabs>
        <w:ind w:left="5030" w:hanging="360"/>
      </w:pPr>
      <w:rPr>
        <w:rFonts w:ascii="Wingdings" w:hAnsi="Wingdings" w:cs="Wingdings" w:hint="default"/>
      </w:rPr>
    </w:lvl>
    <w:lvl w:ilvl="6">
      <w:start w:val="1"/>
      <w:numFmt w:val="bullet"/>
      <w:lvlText w:val=""/>
      <w:lvlJc w:val="left"/>
      <w:pPr>
        <w:tabs>
          <w:tab w:val="left" w:pos="0"/>
        </w:tabs>
        <w:ind w:left="5750" w:hanging="360"/>
      </w:pPr>
      <w:rPr>
        <w:rFonts w:ascii="Symbol" w:hAnsi="Symbol" w:cs="Symbol" w:hint="default"/>
      </w:rPr>
    </w:lvl>
    <w:lvl w:ilvl="7">
      <w:start w:val="1"/>
      <w:numFmt w:val="bullet"/>
      <w:lvlText w:val="o"/>
      <w:lvlJc w:val="left"/>
      <w:pPr>
        <w:tabs>
          <w:tab w:val="left" w:pos="0"/>
        </w:tabs>
        <w:ind w:left="6470" w:hanging="360"/>
      </w:pPr>
      <w:rPr>
        <w:rFonts w:ascii="Courier New" w:hAnsi="Courier New" w:cs="Courier New" w:hint="default"/>
      </w:rPr>
    </w:lvl>
    <w:lvl w:ilvl="8">
      <w:start w:val="1"/>
      <w:numFmt w:val="bullet"/>
      <w:lvlText w:val=""/>
      <w:lvlJc w:val="left"/>
      <w:pPr>
        <w:tabs>
          <w:tab w:val="left" w:pos="0"/>
        </w:tabs>
        <w:ind w:left="7190" w:hanging="360"/>
      </w:pPr>
      <w:rPr>
        <w:rFonts w:ascii="Wingdings" w:hAnsi="Wingdings" w:cs="Wingdings" w:hint="default"/>
      </w:rPr>
    </w:lvl>
  </w:abstractNum>
  <w:abstractNum w:abstractNumId="71">
    <w:nsid w:val="4CB04DF5"/>
    <w:multiLevelType w:val="multilevel"/>
    <w:tmpl w:val="B90A2E7E"/>
    <w:lvl w:ilvl="0">
      <w:start w:val="1"/>
      <w:numFmt w:val="decimal"/>
      <w:lvlText w:val="%1."/>
      <w:lvlJc w:val="left"/>
      <w:pPr>
        <w:tabs>
          <w:tab w:val="num" w:pos="643"/>
        </w:tabs>
        <w:ind w:left="643" w:hanging="360"/>
      </w:pPr>
      <w:rPr>
        <w:b/>
        <w:bCs/>
        <w:sz w:val="32"/>
        <w:szCs w:val="32"/>
        <w:u w:val="single"/>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nsid w:val="4D267BA0"/>
    <w:multiLevelType w:val="multilevel"/>
    <w:tmpl w:val="4D267BA0"/>
    <w:lvl w:ilvl="0">
      <w:start w:val="1"/>
      <w:numFmt w:val="decimal"/>
      <w:lvlText w:val="(%1)"/>
      <w:lvlJc w:val="left"/>
      <w:pPr>
        <w:ind w:left="118" w:hanging="315"/>
      </w:pPr>
      <w:rPr>
        <w:rFonts w:ascii="Calibri" w:eastAsia="Calibri" w:hAnsi="Calibri" w:cs="Calibri" w:hint="default"/>
        <w:spacing w:val="-1"/>
        <w:w w:val="100"/>
        <w:sz w:val="22"/>
        <w:szCs w:val="22"/>
        <w:lang w:val="hr-HR" w:eastAsia="en-US" w:bidi="ar-SA"/>
      </w:rPr>
    </w:lvl>
    <w:lvl w:ilvl="1">
      <w:start w:val="1"/>
      <w:numFmt w:val="decimal"/>
      <w:lvlText w:val="%2."/>
      <w:lvlJc w:val="left"/>
      <w:pPr>
        <w:ind w:left="838" w:hanging="360"/>
      </w:pPr>
      <w:rPr>
        <w:rFonts w:ascii="Calibri" w:eastAsia="Calibri" w:hAnsi="Calibri" w:cs="Calibri" w:hint="default"/>
        <w:w w:val="100"/>
        <w:sz w:val="22"/>
        <w:szCs w:val="22"/>
        <w:lang w:val="hr-HR" w:eastAsia="en-US" w:bidi="ar-SA"/>
      </w:rPr>
    </w:lvl>
    <w:lvl w:ilvl="2">
      <w:numFmt w:val="bullet"/>
      <w:lvlText w:val="•"/>
      <w:lvlJc w:val="left"/>
      <w:pPr>
        <w:ind w:left="1780" w:hanging="360"/>
      </w:pPr>
      <w:rPr>
        <w:lang w:val="hr-HR" w:eastAsia="en-US" w:bidi="ar-SA"/>
      </w:rPr>
    </w:lvl>
    <w:lvl w:ilvl="3">
      <w:numFmt w:val="bullet"/>
      <w:lvlText w:val="•"/>
      <w:lvlJc w:val="left"/>
      <w:pPr>
        <w:ind w:left="2721" w:hanging="360"/>
      </w:pPr>
      <w:rPr>
        <w:lang w:val="hr-HR" w:eastAsia="en-US" w:bidi="ar-SA"/>
      </w:rPr>
    </w:lvl>
    <w:lvl w:ilvl="4">
      <w:numFmt w:val="bullet"/>
      <w:lvlText w:val="•"/>
      <w:lvlJc w:val="left"/>
      <w:pPr>
        <w:ind w:left="3662" w:hanging="360"/>
      </w:pPr>
      <w:rPr>
        <w:lang w:val="hr-HR" w:eastAsia="en-US" w:bidi="ar-SA"/>
      </w:rPr>
    </w:lvl>
    <w:lvl w:ilvl="5">
      <w:numFmt w:val="bullet"/>
      <w:lvlText w:val="•"/>
      <w:lvlJc w:val="left"/>
      <w:pPr>
        <w:ind w:left="4602" w:hanging="360"/>
      </w:pPr>
      <w:rPr>
        <w:lang w:val="hr-HR" w:eastAsia="en-US" w:bidi="ar-SA"/>
      </w:rPr>
    </w:lvl>
    <w:lvl w:ilvl="6">
      <w:numFmt w:val="bullet"/>
      <w:lvlText w:val="•"/>
      <w:lvlJc w:val="left"/>
      <w:pPr>
        <w:ind w:left="5543" w:hanging="360"/>
      </w:pPr>
      <w:rPr>
        <w:lang w:val="hr-HR" w:eastAsia="en-US" w:bidi="ar-SA"/>
      </w:rPr>
    </w:lvl>
    <w:lvl w:ilvl="7">
      <w:numFmt w:val="bullet"/>
      <w:lvlText w:val="•"/>
      <w:lvlJc w:val="left"/>
      <w:pPr>
        <w:ind w:left="6484" w:hanging="360"/>
      </w:pPr>
      <w:rPr>
        <w:lang w:val="hr-HR" w:eastAsia="en-US" w:bidi="ar-SA"/>
      </w:rPr>
    </w:lvl>
    <w:lvl w:ilvl="8">
      <w:numFmt w:val="bullet"/>
      <w:lvlText w:val="•"/>
      <w:lvlJc w:val="left"/>
      <w:pPr>
        <w:ind w:left="7424" w:hanging="360"/>
      </w:pPr>
      <w:rPr>
        <w:lang w:val="hr-HR" w:eastAsia="en-US" w:bidi="ar-SA"/>
      </w:rPr>
    </w:lvl>
  </w:abstractNum>
  <w:abstractNum w:abstractNumId="73">
    <w:nsid w:val="4F3D1B5D"/>
    <w:multiLevelType w:val="hybridMultilevel"/>
    <w:tmpl w:val="E8860AB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74">
    <w:nsid w:val="53941131"/>
    <w:multiLevelType w:val="multilevel"/>
    <w:tmpl w:val="5394113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5">
    <w:nsid w:val="5487198D"/>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nsid w:val="580045E9"/>
    <w:multiLevelType w:val="multilevel"/>
    <w:tmpl w:val="580045E9"/>
    <w:lvl w:ilvl="0">
      <w:start w:val="1"/>
      <w:numFmt w:val="bullet"/>
      <w:lvlText w:val="-"/>
      <w:lvlJc w:val="left"/>
      <w:pPr>
        <w:ind w:left="1068" w:hanging="360"/>
      </w:pPr>
      <w:rPr>
        <w:rFonts w:ascii="Calibri" w:eastAsia="Times New Roman" w:hAnsi="Calibri" w:cs="Calibri"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77">
    <w:nsid w:val="588A7FF6"/>
    <w:multiLevelType w:val="multilevel"/>
    <w:tmpl w:val="588A7F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nsid w:val="58B5640F"/>
    <w:multiLevelType w:val="multilevel"/>
    <w:tmpl w:val="8B42ED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9">
    <w:nsid w:val="58F747E9"/>
    <w:multiLevelType w:val="hybridMultilevel"/>
    <w:tmpl w:val="0E985B4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0">
    <w:nsid w:val="5C66719F"/>
    <w:multiLevelType w:val="multilevel"/>
    <w:tmpl w:val="5C6671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nsid w:val="5C7A0368"/>
    <w:multiLevelType w:val="multilevel"/>
    <w:tmpl w:val="5C7A0368"/>
    <w:lvl w:ilvl="0">
      <w:start w:val="5"/>
      <w:numFmt w:val="bullet"/>
      <w:lvlText w:val="-"/>
      <w:lvlJc w:val="left"/>
      <w:pPr>
        <w:ind w:left="720" w:hanging="360"/>
      </w:pPr>
      <w:rPr>
        <w:rFonts w:ascii="Calibri" w:eastAsiaTheme="min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2">
    <w:nsid w:val="5D5128C0"/>
    <w:multiLevelType w:val="multilevel"/>
    <w:tmpl w:val="5D5128C0"/>
    <w:lvl w:ilvl="0">
      <w:start w:val="1"/>
      <w:numFmt w:val="bullet"/>
      <w:lvlText w:val=""/>
      <w:lvlJc w:val="left"/>
      <w:pPr>
        <w:ind w:left="1068" w:hanging="360"/>
      </w:pPr>
      <w:rPr>
        <w:rFonts w:ascii="Wingdings" w:hAnsi="Wingdings" w:hint="default"/>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83">
    <w:nsid w:val="5DF12D63"/>
    <w:multiLevelType w:val="multilevel"/>
    <w:tmpl w:val="5DF12D63"/>
    <w:lvl w:ilvl="0">
      <w:numFmt w:val="bullet"/>
      <w:lvlText w:val="-"/>
      <w:lvlJc w:val="left"/>
      <w:pPr>
        <w:ind w:left="720" w:hanging="360"/>
      </w:pPr>
      <w:rPr>
        <w:rFonts w:ascii="Calibri" w:eastAsia="Times New Roman"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nsid w:val="5F4243DD"/>
    <w:multiLevelType w:val="multilevel"/>
    <w:tmpl w:val="5F4243DD"/>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nsid w:val="60B67559"/>
    <w:multiLevelType w:val="multilevel"/>
    <w:tmpl w:val="8D464FD4"/>
    <w:lvl w:ilvl="0">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644"/>
        </w:tabs>
        <w:ind w:left="644" w:hanging="360"/>
      </w:pPr>
      <w:rPr>
        <w:b w:val="0"/>
        <w:bCs/>
        <w:i w:val="0"/>
        <w:iCs/>
        <w:sz w:val="24"/>
        <w:szCs w:val="24"/>
        <w:u w:val="none"/>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6">
    <w:nsid w:val="64990ED8"/>
    <w:multiLevelType w:val="multilevel"/>
    <w:tmpl w:val="64990ED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7">
    <w:nsid w:val="65650EF4"/>
    <w:multiLevelType w:val="multilevel"/>
    <w:tmpl w:val="65650E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663A1DF4"/>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nsid w:val="665814B1"/>
    <w:multiLevelType w:val="multilevel"/>
    <w:tmpl w:val="665814B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0">
    <w:nsid w:val="66A76C3D"/>
    <w:multiLevelType w:val="multilevel"/>
    <w:tmpl w:val="66A76C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1">
    <w:nsid w:val="6A050A5D"/>
    <w:multiLevelType w:val="multilevel"/>
    <w:tmpl w:val="6A050A5D"/>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1812"/>
        </w:tabs>
        <w:ind w:left="1068"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92">
    <w:nsid w:val="6DF228A1"/>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nsid w:val="6E9945AB"/>
    <w:multiLevelType w:val="multilevel"/>
    <w:tmpl w:val="6E9945AB"/>
    <w:lvl w:ilvl="0">
      <w:start w:val="5"/>
      <w:numFmt w:val="upperRoman"/>
      <w:lvlText w:val="%1."/>
      <w:lvlJc w:val="left"/>
      <w:pPr>
        <w:tabs>
          <w:tab w:val="left" w:pos="1003"/>
        </w:tabs>
        <w:ind w:left="1003" w:hanging="720"/>
      </w:pPr>
      <w:rPr>
        <w:rFonts w:hint="default"/>
      </w:rPr>
    </w:lvl>
    <w:lvl w:ilvl="1">
      <w:start w:val="1"/>
      <w:numFmt w:val="lowerLetter"/>
      <w:lvlText w:val="%2."/>
      <w:lvlJc w:val="left"/>
      <w:pPr>
        <w:tabs>
          <w:tab w:val="left" w:pos="2100"/>
        </w:tabs>
        <w:ind w:left="2100" w:hanging="360"/>
      </w:pPr>
    </w:lvl>
    <w:lvl w:ilvl="2">
      <w:start w:val="1"/>
      <w:numFmt w:val="lowerRoman"/>
      <w:lvlText w:val="%3."/>
      <w:lvlJc w:val="right"/>
      <w:pPr>
        <w:tabs>
          <w:tab w:val="left" w:pos="2820"/>
        </w:tabs>
        <w:ind w:left="2820" w:hanging="180"/>
      </w:pPr>
    </w:lvl>
    <w:lvl w:ilvl="3">
      <w:start w:val="1"/>
      <w:numFmt w:val="decimal"/>
      <w:lvlText w:val="%4."/>
      <w:lvlJc w:val="left"/>
      <w:pPr>
        <w:tabs>
          <w:tab w:val="left" w:pos="3540"/>
        </w:tabs>
        <w:ind w:left="3540" w:hanging="360"/>
      </w:pPr>
    </w:lvl>
    <w:lvl w:ilvl="4">
      <w:start w:val="1"/>
      <w:numFmt w:val="lowerLetter"/>
      <w:lvlText w:val="%5."/>
      <w:lvlJc w:val="left"/>
      <w:pPr>
        <w:tabs>
          <w:tab w:val="left" w:pos="4260"/>
        </w:tabs>
        <w:ind w:left="4260" w:hanging="360"/>
      </w:pPr>
    </w:lvl>
    <w:lvl w:ilvl="5">
      <w:start w:val="1"/>
      <w:numFmt w:val="lowerRoman"/>
      <w:lvlText w:val="%6."/>
      <w:lvlJc w:val="right"/>
      <w:pPr>
        <w:tabs>
          <w:tab w:val="left" w:pos="4980"/>
        </w:tabs>
        <w:ind w:left="4980" w:hanging="180"/>
      </w:pPr>
    </w:lvl>
    <w:lvl w:ilvl="6">
      <w:start w:val="1"/>
      <w:numFmt w:val="decimal"/>
      <w:lvlText w:val="%7."/>
      <w:lvlJc w:val="left"/>
      <w:pPr>
        <w:tabs>
          <w:tab w:val="left" w:pos="5700"/>
        </w:tabs>
        <w:ind w:left="5700" w:hanging="360"/>
      </w:pPr>
    </w:lvl>
    <w:lvl w:ilvl="7">
      <w:start w:val="1"/>
      <w:numFmt w:val="lowerLetter"/>
      <w:lvlText w:val="%8."/>
      <w:lvlJc w:val="left"/>
      <w:pPr>
        <w:tabs>
          <w:tab w:val="left" w:pos="6420"/>
        </w:tabs>
        <w:ind w:left="6420" w:hanging="360"/>
      </w:pPr>
    </w:lvl>
    <w:lvl w:ilvl="8">
      <w:start w:val="1"/>
      <w:numFmt w:val="lowerRoman"/>
      <w:lvlText w:val="%9."/>
      <w:lvlJc w:val="right"/>
      <w:pPr>
        <w:tabs>
          <w:tab w:val="left" w:pos="7140"/>
        </w:tabs>
        <w:ind w:left="7140" w:hanging="180"/>
      </w:pPr>
    </w:lvl>
  </w:abstractNum>
  <w:abstractNum w:abstractNumId="94">
    <w:nsid w:val="6FFC59B3"/>
    <w:multiLevelType w:val="multilevel"/>
    <w:tmpl w:val="6FFC59B3"/>
    <w:lvl w:ilvl="0">
      <w:start w:val="1"/>
      <w:numFmt w:val="decimal"/>
      <w:lvlText w:val="%1."/>
      <w:lvlJc w:val="left"/>
      <w:pPr>
        <w:ind w:left="720" w:hanging="360"/>
      </w:pPr>
      <w:rPr>
        <w:rFonts w:asciiTheme="minorHAnsi" w:hAnsiTheme="minorHAnsi" w:hint="default"/>
        <w:sz w:val="32"/>
      </w:rPr>
    </w:lvl>
    <w:lvl w:ilvl="1">
      <w:start w:val="1"/>
      <w:numFmt w:val="decimal"/>
      <w:pStyle w:val="Stil2"/>
      <w:isLgl/>
      <w:lvlText w:val="%1.%2."/>
      <w:lvlJc w:val="left"/>
      <w:pPr>
        <w:ind w:left="1854" w:hanging="720"/>
      </w:pPr>
      <w:rPr>
        <w:rFonts w:hint="default"/>
      </w:rPr>
    </w:lvl>
    <w:lvl w:ilvl="2">
      <w:start w:val="1"/>
      <w:numFmt w:val="decimal"/>
      <w:isLgl/>
      <w:lvlText w:val="%1.%2.%3."/>
      <w:lvlJc w:val="left"/>
      <w:pPr>
        <w:ind w:left="861" w:hanging="720"/>
      </w:pPr>
      <w:rPr>
        <w:rFonts w:hint="default"/>
      </w:rPr>
    </w:lvl>
    <w:lvl w:ilvl="3">
      <w:start w:val="1"/>
      <w:numFmt w:val="decimal"/>
      <w:isLgl/>
      <w:lvlText w:val="%1.%2.%3.%4."/>
      <w:lvlJc w:val="left"/>
      <w:pPr>
        <w:ind w:left="2580" w:hanging="1080"/>
      </w:pPr>
      <w:rPr>
        <w:rFonts w:hint="default"/>
      </w:rPr>
    </w:lvl>
    <w:lvl w:ilvl="4">
      <w:start w:val="1"/>
      <w:numFmt w:val="decimal"/>
      <w:isLgl/>
      <w:lvlText w:val="%1.%2.%3.%4.%5."/>
      <w:lvlJc w:val="left"/>
      <w:pPr>
        <w:ind w:left="3320" w:hanging="1440"/>
      </w:pPr>
      <w:rPr>
        <w:rFonts w:hint="default"/>
      </w:rPr>
    </w:lvl>
    <w:lvl w:ilvl="5">
      <w:start w:val="1"/>
      <w:numFmt w:val="decimal"/>
      <w:isLgl/>
      <w:lvlText w:val="%1.%2.%3.%4.%5.%6."/>
      <w:lvlJc w:val="left"/>
      <w:pPr>
        <w:ind w:left="3700" w:hanging="1440"/>
      </w:pPr>
      <w:rPr>
        <w:rFonts w:hint="default"/>
      </w:rPr>
    </w:lvl>
    <w:lvl w:ilvl="6">
      <w:start w:val="1"/>
      <w:numFmt w:val="decimal"/>
      <w:isLgl/>
      <w:lvlText w:val="%1.%2.%3.%4.%5.%6.%7."/>
      <w:lvlJc w:val="left"/>
      <w:pPr>
        <w:ind w:left="4440" w:hanging="1800"/>
      </w:pPr>
      <w:rPr>
        <w:rFonts w:hint="default"/>
      </w:rPr>
    </w:lvl>
    <w:lvl w:ilvl="7">
      <w:start w:val="1"/>
      <w:numFmt w:val="decimal"/>
      <w:isLgl/>
      <w:lvlText w:val="%1.%2.%3.%4.%5.%6.%7.%8."/>
      <w:lvlJc w:val="left"/>
      <w:pPr>
        <w:ind w:left="5180" w:hanging="2160"/>
      </w:pPr>
      <w:rPr>
        <w:rFonts w:hint="default"/>
      </w:rPr>
    </w:lvl>
    <w:lvl w:ilvl="8">
      <w:start w:val="1"/>
      <w:numFmt w:val="decimal"/>
      <w:isLgl/>
      <w:lvlText w:val="%1.%2.%3.%4.%5.%6.%7.%8.%9."/>
      <w:lvlJc w:val="left"/>
      <w:pPr>
        <w:ind w:left="5560" w:hanging="2160"/>
      </w:pPr>
      <w:rPr>
        <w:rFonts w:hint="default"/>
      </w:rPr>
    </w:lvl>
  </w:abstractNum>
  <w:abstractNum w:abstractNumId="95">
    <w:nsid w:val="706362A4"/>
    <w:multiLevelType w:val="multilevel"/>
    <w:tmpl w:val="706362A4"/>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nsid w:val="72341498"/>
    <w:multiLevelType w:val="multilevel"/>
    <w:tmpl w:val="72341498"/>
    <w:lvl w:ilvl="0">
      <w:start w:val="5"/>
      <w:numFmt w:val="bullet"/>
      <w:lvlText w:val="-"/>
      <w:lvlJc w:val="left"/>
      <w:pPr>
        <w:ind w:left="720" w:hanging="360"/>
      </w:pPr>
      <w:rPr>
        <w:rFonts w:ascii="Calibri" w:eastAsiaTheme="minorEastAsia"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7">
    <w:nsid w:val="77D75552"/>
    <w:multiLevelType w:val="multilevel"/>
    <w:tmpl w:val="77D7555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nsid w:val="799F14D7"/>
    <w:multiLevelType w:val="multilevel"/>
    <w:tmpl w:val="6DF228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nsid w:val="7A4E518D"/>
    <w:multiLevelType w:val="multilevel"/>
    <w:tmpl w:val="7A4E518D"/>
    <w:lvl w:ilvl="0">
      <w:numFmt w:val="bullet"/>
      <w:lvlText w:val="-"/>
      <w:lvlJc w:val="left"/>
      <w:pPr>
        <w:ind w:left="964" w:hanging="360"/>
      </w:pPr>
      <w:rPr>
        <w:rFonts w:ascii="Times New Roman" w:eastAsia="Times New Roman" w:hAnsi="Times New Roman" w:cs="Times New Roman" w:hint="default"/>
      </w:rPr>
    </w:lvl>
    <w:lvl w:ilvl="1">
      <w:start w:val="1"/>
      <w:numFmt w:val="bullet"/>
      <w:lvlText w:val="o"/>
      <w:lvlJc w:val="left"/>
      <w:pPr>
        <w:ind w:left="1684" w:hanging="360"/>
      </w:pPr>
      <w:rPr>
        <w:rFonts w:ascii="Courier New" w:hAnsi="Courier New" w:cs="Courier New" w:hint="default"/>
      </w:rPr>
    </w:lvl>
    <w:lvl w:ilvl="2">
      <w:start w:val="1"/>
      <w:numFmt w:val="bullet"/>
      <w:lvlText w:val=""/>
      <w:lvlJc w:val="left"/>
      <w:pPr>
        <w:ind w:left="2404" w:hanging="360"/>
      </w:pPr>
      <w:rPr>
        <w:rFonts w:ascii="Wingdings" w:hAnsi="Wingdings" w:hint="default"/>
      </w:rPr>
    </w:lvl>
    <w:lvl w:ilvl="3">
      <w:start w:val="1"/>
      <w:numFmt w:val="bullet"/>
      <w:lvlText w:val=""/>
      <w:lvlJc w:val="left"/>
      <w:pPr>
        <w:ind w:left="3124" w:hanging="360"/>
      </w:pPr>
      <w:rPr>
        <w:rFonts w:ascii="Symbol" w:hAnsi="Symbol" w:hint="default"/>
      </w:rPr>
    </w:lvl>
    <w:lvl w:ilvl="4">
      <w:start w:val="1"/>
      <w:numFmt w:val="bullet"/>
      <w:lvlText w:val="o"/>
      <w:lvlJc w:val="left"/>
      <w:pPr>
        <w:ind w:left="3844" w:hanging="360"/>
      </w:pPr>
      <w:rPr>
        <w:rFonts w:ascii="Courier New" w:hAnsi="Courier New" w:cs="Courier New" w:hint="default"/>
      </w:rPr>
    </w:lvl>
    <w:lvl w:ilvl="5">
      <w:start w:val="1"/>
      <w:numFmt w:val="bullet"/>
      <w:lvlText w:val=""/>
      <w:lvlJc w:val="left"/>
      <w:pPr>
        <w:ind w:left="4564" w:hanging="360"/>
      </w:pPr>
      <w:rPr>
        <w:rFonts w:ascii="Wingdings" w:hAnsi="Wingdings" w:hint="default"/>
      </w:rPr>
    </w:lvl>
    <w:lvl w:ilvl="6">
      <w:start w:val="1"/>
      <w:numFmt w:val="bullet"/>
      <w:lvlText w:val=""/>
      <w:lvlJc w:val="left"/>
      <w:pPr>
        <w:ind w:left="5284" w:hanging="360"/>
      </w:pPr>
      <w:rPr>
        <w:rFonts w:ascii="Symbol" w:hAnsi="Symbol" w:hint="default"/>
      </w:rPr>
    </w:lvl>
    <w:lvl w:ilvl="7">
      <w:start w:val="1"/>
      <w:numFmt w:val="bullet"/>
      <w:lvlText w:val="o"/>
      <w:lvlJc w:val="left"/>
      <w:pPr>
        <w:ind w:left="6004" w:hanging="360"/>
      </w:pPr>
      <w:rPr>
        <w:rFonts w:ascii="Courier New" w:hAnsi="Courier New" w:cs="Courier New" w:hint="default"/>
      </w:rPr>
    </w:lvl>
    <w:lvl w:ilvl="8">
      <w:start w:val="1"/>
      <w:numFmt w:val="bullet"/>
      <w:lvlText w:val=""/>
      <w:lvlJc w:val="left"/>
      <w:pPr>
        <w:ind w:left="6724" w:hanging="360"/>
      </w:pPr>
      <w:rPr>
        <w:rFonts w:ascii="Wingdings" w:hAnsi="Wingdings" w:hint="default"/>
      </w:rPr>
    </w:lvl>
  </w:abstractNum>
  <w:abstractNum w:abstractNumId="100">
    <w:nsid w:val="7A625968"/>
    <w:multiLevelType w:val="multilevel"/>
    <w:tmpl w:val="7A625968"/>
    <w:lvl w:ilvl="0">
      <w:start w:val="1"/>
      <w:numFmt w:val="decimal"/>
      <w:lvlText w:val="%1."/>
      <w:lvlJc w:val="left"/>
      <w:pPr>
        <w:tabs>
          <w:tab w:val="left" w:pos="540"/>
        </w:tabs>
        <w:ind w:left="540" w:hanging="360"/>
      </w:pPr>
      <w:rPr>
        <w:rFonts w:hint="default"/>
        <w:b/>
      </w:rPr>
    </w:lvl>
    <w:lvl w:ilvl="1">
      <w:start w:val="1"/>
      <w:numFmt w:val="lowerLetter"/>
      <w:lvlText w:val="%2."/>
      <w:lvlJc w:val="left"/>
      <w:pPr>
        <w:tabs>
          <w:tab w:val="left" w:pos="1260"/>
        </w:tabs>
        <w:ind w:left="1260" w:hanging="360"/>
      </w:pPr>
    </w:lvl>
    <w:lvl w:ilvl="2">
      <w:start w:val="1"/>
      <w:numFmt w:val="lowerRoman"/>
      <w:lvlText w:val="%3."/>
      <w:lvlJc w:val="right"/>
      <w:pPr>
        <w:tabs>
          <w:tab w:val="left" w:pos="1980"/>
        </w:tabs>
        <w:ind w:left="1980" w:hanging="180"/>
      </w:pPr>
    </w:lvl>
    <w:lvl w:ilvl="3">
      <w:start w:val="1"/>
      <w:numFmt w:val="decimal"/>
      <w:lvlText w:val="%4."/>
      <w:lvlJc w:val="left"/>
      <w:pPr>
        <w:tabs>
          <w:tab w:val="left" w:pos="2700"/>
        </w:tabs>
        <w:ind w:left="2700" w:hanging="360"/>
      </w:pPr>
    </w:lvl>
    <w:lvl w:ilvl="4">
      <w:start w:val="1"/>
      <w:numFmt w:val="lowerLetter"/>
      <w:lvlText w:val="%5."/>
      <w:lvlJc w:val="left"/>
      <w:pPr>
        <w:tabs>
          <w:tab w:val="left" w:pos="3420"/>
        </w:tabs>
        <w:ind w:left="3420" w:hanging="360"/>
      </w:pPr>
    </w:lvl>
    <w:lvl w:ilvl="5">
      <w:start w:val="1"/>
      <w:numFmt w:val="lowerRoman"/>
      <w:lvlText w:val="%6."/>
      <w:lvlJc w:val="right"/>
      <w:pPr>
        <w:tabs>
          <w:tab w:val="left" w:pos="4140"/>
        </w:tabs>
        <w:ind w:left="4140" w:hanging="180"/>
      </w:pPr>
    </w:lvl>
    <w:lvl w:ilvl="6">
      <w:start w:val="1"/>
      <w:numFmt w:val="decimal"/>
      <w:lvlText w:val="%7."/>
      <w:lvlJc w:val="left"/>
      <w:pPr>
        <w:tabs>
          <w:tab w:val="left" w:pos="4860"/>
        </w:tabs>
        <w:ind w:left="4860" w:hanging="360"/>
      </w:pPr>
    </w:lvl>
    <w:lvl w:ilvl="7">
      <w:start w:val="1"/>
      <w:numFmt w:val="lowerLetter"/>
      <w:lvlText w:val="%8."/>
      <w:lvlJc w:val="left"/>
      <w:pPr>
        <w:tabs>
          <w:tab w:val="left" w:pos="5580"/>
        </w:tabs>
        <w:ind w:left="5580" w:hanging="360"/>
      </w:pPr>
    </w:lvl>
    <w:lvl w:ilvl="8">
      <w:start w:val="1"/>
      <w:numFmt w:val="lowerRoman"/>
      <w:lvlText w:val="%9."/>
      <w:lvlJc w:val="right"/>
      <w:pPr>
        <w:tabs>
          <w:tab w:val="left" w:pos="6300"/>
        </w:tabs>
        <w:ind w:left="6300" w:hanging="180"/>
      </w:pPr>
    </w:lvl>
  </w:abstractNum>
  <w:abstractNum w:abstractNumId="101">
    <w:nsid w:val="7A671585"/>
    <w:multiLevelType w:val="multilevel"/>
    <w:tmpl w:val="7A671585"/>
    <w:lvl w:ilvl="0">
      <w:start w:val="1"/>
      <w:numFmt w:val="decimal"/>
      <w:lvlText w:val="%1."/>
      <w:lvlJc w:val="left"/>
      <w:pPr>
        <w:ind w:left="720" w:hanging="360"/>
      </w:pPr>
      <w:rPr>
        <w:rFonts w:hint="default"/>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nsid w:val="7A8638F0"/>
    <w:multiLevelType w:val="hybridMultilevel"/>
    <w:tmpl w:val="27A68E2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3">
    <w:nsid w:val="7BC80C45"/>
    <w:multiLevelType w:val="multilevel"/>
    <w:tmpl w:val="7BC80C45"/>
    <w:lvl w:ilvl="0">
      <w:numFmt w:val="bullet"/>
      <w:lvlText w:val="-"/>
      <w:lvlJc w:val="left"/>
      <w:pPr>
        <w:ind w:left="720" w:hanging="360"/>
      </w:pPr>
      <w:rPr>
        <w:rFonts w:ascii="Calibri" w:eastAsiaTheme="minorHAnsi" w:hAnsi="Calibri"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nsid w:val="7CC1578E"/>
    <w:multiLevelType w:val="multilevel"/>
    <w:tmpl w:val="7CC1578E"/>
    <w:lvl w:ilvl="0">
      <w:start w:val="6"/>
      <w:numFmt w:val="bullet"/>
      <w:lvlText w:val=""/>
      <w:lvlJc w:val="left"/>
      <w:pPr>
        <w:tabs>
          <w:tab w:val="left" w:pos="720"/>
        </w:tabs>
        <w:ind w:left="720" w:hanging="360"/>
      </w:pPr>
      <w:rPr>
        <w:rFonts w:ascii="Symbol" w:eastAsia="Times New Roman"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05">
    <w:nsid w:val="7D642AB6"/>
    <w:multiLevelType w:val="multilevel"/>
    <w:tmpl w:val="7D642A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nsid w:val="7E9A2BC2"/>
    <w:multiLevelType w:val="multilevel"/>
    <w:tmpl w:val="7E9A2BC2"/>
    <w:lvl w:ilvl="0">
      <w:start w:val="1"/>
      <w:numFmt w:val="decimal"/>
      <w:lvlText w:val="(%1)"/>
      <w:lvlJc w:val="left"/>
      <w:pPr>
        <w:ind w:left="118" w:hanging="326"/>
      </w:pPr>
      <w:rPr>
        <w:spacing w:val="-1"/>
        <w:w w:val="100"/>
        <w:lang w:val="hr-HR" w:eastAsia="en-US" w:bidi="ar-SA"/>
      </w:rPr>
    </w:lvl>
    <w:lvl w:ilvl="1">
      <w:numFmt w:val="bullet"/>
      <w:lvlText w:val="•"/>
      <w:lvlJc w:val="left"/>
      <w:pPr>
        <w:ind w:left="1038" w:hanging="326"/>
      </w:pPr>
      <w:rPr>
        <w:lang w:val="hr-HR" w:eastAsia="en-US" w:bidi="ar-SA"/>
      </w:rPr>
    </w:lvl>
    <w:lvl w:ilvl="2">
      <w:numFmt w:val="bullet"/>
      <w:lvlText w:val="•"/>
      <w:lvlJc w:val="left"/>
      <w:pPr>
        <w:ind w:left="1957" w:hanging="326"/>
      </w:pPr>
      <w:rPr>
        <w:lang w:val="hr-HR" w:eastAsia="en-US" w:bidi="ar-SA"/>
      </w:rPr>
    </w:lvl>
    <w:lvl w:ilvl="3">
      <w:numFmt w:val="bullet"/>
      <w:lvlText w:val="•"/>
      <w:lvlJc w:val="left"/>
      <w:pPr>
        <w:ind w:left="2875" w:hanging="326"/>
      </w:pPr>
      <w:rPr>
        <w:lang w:val="hr-HR" w:eastAsia="en-US" w:bidi="ar-SA"/>
      </w:rPr>
    </w:lvl>
    <w:lvl w:ilvl="4">
      <w:numFmt w:val="bullet"/>
      <w:lvlText w:val="•"/>
      <w:lvlJc w:val="left"/>
      <w:pPr>
        <w:ind w:left="3794" w:hanging="326"/>
      </w:pPr>
      <w:rPr>
        <w:lang w:val="hr-HR" w:eastAsia="en-US" w:bidi="ar-SA"/>
      </w:rPr>
    </w:lvl>
    <w:lvl w:ilvl="5">
      <w:numFmt w:val="bullet"/>
      <w:lvlText w:val="•"/>
      <w:lvlJc w:val="left"/>
      <w:pPr>
        <w:ind w:left="4713" w:hanging="326"/>
      </w:pPr>
      <w:rPr>
        <w:lang w:val="hr-HR" w:eastAsia="en-US" w:bidi="ar-SA"/>
      </w:rPr>
    </w:lvl>
    <w:lvl w:ilvl="6">
      <w:numFmt w:val="bullet"/>
      <w:lvlText w:val="•"/>
      <w:lvlJc w:val="left"/>
      <w:pPr>
        <w:ind w:left="5631" w:hanging="326"/>
      </w:pPr>
      <w:rPr>
        <w:lang w:val="hr-HR" w:eastAsia="en-US" w:bidi="ar-SA"/>
      </w:rPr>
    </w:lvl>
    <w:lvl w:ilvl="7">
      <w:numFmt w:val="bullet"/>
      <w:lvlText w:val="•"/>
      <w:lvlJc w:val="left"/>
      <w:pPr>
        <w:ind w:left="6550" w:hanging="326"/>
      </w:pPr>
      <w:rPr>
        <w:lang w:val="hr-HR" w:eastAsia="en-US" w:bidi="ar-SA"/>
      </w:rPr>
    </w:lvl>
    <w:lvl w:ilvl="8">
      <w:numFmt w:val="bullet"/>
      <w:lvlText w:val="•"/>
      <w:lvlJc w:val="left"/>
      <w:pPr>
        <w:ind w:left="7469" w:hanging="326"/>
      </w:pPr>
      <w:rPr>
        <w:lang w:val="hr-HR" w:eastAsia="en-US" w:bidi="ar-SA"/>
      </w:rPr>
    </w:lvl>
  </w:abstractNum>
  <w:num w:numId="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5"/>
  </w:num>
  <w:num w:numId="3">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2"/>
  </w:num>
  <w:num w:numId="5">
    <w:abstractNumId w:val="73"/>
  </w:num>
  <w:num w:numId="6">
    <w:abstractNumId w:val="79"/>
  </w:num>
  <w:num w:numId="7">
    <w:abstractNumId w:val="17"/>
  </w:num>
  <w:num w:numId="8">
    <w:abstractNumId w:val="50"/>
  </w:num>
  <w:num w:numId="9">
    <w:abstractNumId w:val="30"/>
  </w:num>
  <w:num w:numId="10">
    <w:abstractNumId w:val="14"/>
  </w:num>
  <w:num w:numId="11">
    <w:abstractNumId w:val="49"/>
  </w:num>
  <w:num w:numId="12">
    <w:abstractNumId w:val="87"/>
  </w:num>
  <w:num w:numId="13">
    <w:abstractNumId w:val="27"/>
  </w:num>
  <w:num w:numId="14">
    <w:abstractNumId w:val="101"/>
  </w:num>
  <w:num w:numId="15">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num>
  <w:num w:numId="17">
    <w:abstractNumId w:val="99"/>
  </w:num>
  <w:num w:numId="18">
    <w:abstractNumId w:val="66"/>
  </w:num>
  <w:num w:numId="19">
    <w:abstractNumId w:val="68"/>
  </w:num>
  <w:num w:numId="20">
    <w:abstractNumId w:val="52"/>
  </w:num>
  <w:num w:numId="21">
    <w:abstractNumId w:val="7"/>
  </w:num>
  <w:num w:numId="22">
    <w:abstractNumId w:val="40"/>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1"/>
  </w:num>
  <w:num w:numId="26">
    <w:abstractNumId w:val="59"/>
  </w:num>
  <w:num w:numId="27">
    <w:abstractNumId w:val="45"/>
  </w:num>
  <w:num w:numId="28">
    <w:abstractNumId w:val="54"/>
  </w:num>
  <w:num w:numId="29">
    <w:abstractNumId w:val="48"/>
  </w:num>
  <w:num w:numId="30">
    <w:abstractNumId w:val="75"/>
  </w:num>
  <w:num w:numId="31">
    <w:abstractNumId w:val="35"/>
  </w:num>
  <w:num w:numId="32">
    <w:abstractNumId w:val="26"/>
  </w:num>
  <w:num w:numId="33">
    <w:abstractNumId w:val="84"/>
  </w:num>
  <w:num w:numId="34">
    <w:abstractNumId w:val="29"/>
  </w:num>
  <w:num w:numId="35">
    <w:abstractNumId w:val="70"/>
  </w:num>
  <w:num w:numId="36">
    <w:abstractNumId w:val="86"/>
  </w:num>
  <w:num w:numId="37">
    <w:abstractNumId w:val="91"/>
  </w:num>
  <w:num w:numId="38">
    <w:abstractNumId w:val="47"/>
  </w:num>
  <w:num w:numId="39">
    <w:abstractNumId w:val="88"/>
  </w:num>
  <w:num w:numId="40">
    <w:abstractNumId w:val="24"/>
  </w:num>
  <w:num w:numId="41">
    <w:abstractNumId w:val="22"/>
  </w:num>
  <w:num w:numId="42">
    <w:abstractNumId w:val="16"/>
  </w:num>
  <w:num w:numId="43">
    <w:abstractNumId w:val="98"/>
  </w:num>
  <w:num w:numId="44">
    <w:abstractNumId w:val="18"/>
  </w:num>
  <w:num w:numId="45">
    <w:abstractNumId w:val="65"/>
  </w:num>
  <w:num w:numId="46">
    <w:abstractNumId w:val="61"/>
  </w:num>
  <w:num w:numId="47">
    <w:abstractNumId w:val="89"/>
  </w:num>
  <w:num w:numId="48">
    <w:abstractNumId w:val="57"/>
  </w:num>
  <w:num w:numId="49">
    <w:abstractNumId w:val="58"/>
  </w:num>
  <w:num w:numId="50">
    <w:abstractNumId w:val="100"/>
  </w:num>
  <w:num w:numId="51">
    <w:abstractNumId w:val="104"/>
  </w:num>
  <w:num w:numId="52">
    <w:abstractNumId w:val="93"/>
  </w:num>
  <w:num w:numId="53">
    <w:abstractNumId w:val="32"/>
  </w:num>
  <w:num w:numId="54">
    <w:abstractNumId w:val="41"/>
  </w:num>
  <w:num w:numId="55">
    <w:abstractNumId w:val="56"/>
  </w:num>
  <w:num w:numId="56">
    <w:abstractNumId w:val="23"/>
  </w:num>
  <w:num w:numId="57">
    <w:abstractNumId w:val="25"/>
  </w:num>
  <w:num w:numId="58">
    <w:abstractNumId w:val="76"/>
  </w:num>
  <w:num w:numId="59">
    <w:abstractNumId w:val="34"/>
  </w:num>
  <w:num w:numId="60">
    <w:abstractNumId w:val="8"/>
  </w:num>
  <w:num w:numId="61">
    <w:abstractNumId w:val="64"/>
  </w:num>
  <w:num w:numId="62">
    <w:abstractNumId w:val="42"/>
  </w:num>
  <w:num w:numId="63">
    <w:abstractNumId w:val="43"/>
  </w:num>
  <w:num w:numId="64">
    <w:abstractNumId w:val="94"/>
  </w:num>
  <w:num w:numId="65">
    <w:abstractNumId w:val="83"/>
  </w:num>
  <w:num w:numId="66">
    <w:abstractNumId w:val="21"/>
  </w:num>
  <w:num w:numId="67">
    <w:abstractNumId w:val="19"/>
  </w:num>
  <w:num w:numId="68">
    <w:abstractNumId w:val="41"/>
    <w:lvlOverride w:ilvl="0">
      <w:lvl w:ilvl="0" w:tentative="1">
        <w:start w:val="1"/>
        <w:numFmt w:val="decimal"/>
        <w:suff w:val="space"/>
        <w:lvlText w:val="%1."/>
        <w:lvlJc w:val="left"/>
        <w:pPr>
          <w:ind w:left="0" w:firstLine="0"/>
        </w:pPr>
        <w:rPr>
          <w:rFonts w:asciiTheme="minorHAnsi" w:hAnsiTheme="minorHAnsi" w:hint="default"/>
          <w:b/>
          <w:i/>
          <w:sz w:val="28"/>
        </w:rPr>
      </w:lvl>
    </w:lvlOverride>
    <w:lvlOverride w:ilvl="1">
      <w:lvl w:ilvl="1">
        <w:start w:val="1"/>
        <w:numFmt w:val="decimal"/>
        <w:pStyle w:val="Razina4"/>
        <w:suff w:val="space"/>
        <w:lvlText w:val="%1.%2."/>
        <w:lvlJc w:val="left"/>
        <w:pPr>
          <w:ind w:left="0" w:firstLine="0"/>
        </w:pPr>
        <w:rPr>
          <w:rFonts w:asciiTheme="minorHAnsi" w:hAnsiTheme="minorHAnsi" w:hint="default"/>
          <w:b/>
          <w:i/>
          <w:sz w:val="28"/>
        </w:rPr>
      </w:lvl>
    </w:lvlOverride>
    <w:lvlOverride w:ilvl="2">
      <w:lvl w:ilvl="2" w:tentative="1">
        <w:start w:val="1"/>
        <w:numFmt w:val="decimal"/>
        <w:pStyle w:val="Razina3"/>
        <w:suff w:val="space"/>
        <w:lvlText w:val="%1.%2.%3."/>
        <w:lvlJc w:val="left"/>
        <w:pPr>
          <w:ind w:left="0" w:firstLine="0"/>
        </w:pPr>
        <w:rPr>
          <w:rFonts w:asciiTheme="minorHAnsi" w:hAnsiTheme="minorHAnsi" w:hint="default"/>
          <w:i/>
          <w:color w:val="auto"/>
          <w:sz w:val="24"/>
        </w:rPr>
      </w:lvl>
    </w:lvlOverride>
    <w:lvlOverride w:ilvl="3">
      <w:lvl w:ilvl="3" w:tentative="1">
        <w:start w:val="1"/>
        <w:numFmt w:val="decimal"/>
        <w:pStyle w:val="Razina4"/>
        <w:suff w:val="space"/>
        <w:lvlText w:val="%1.%2.%3.%4."/>
        <w:lvlJc w:val="left"/>
        <w:pPr>
          <w:ind w:left="0" w:firstLine="0"/>
        </w:pPr>
        <w:rPr>
          <w:rFonts w:asciiTheme="minorHAnsi" w:hAnsiTheme="minorHAnsi" w:hint="default"/>
          <w:b w:val="0"/>
          <w:i/>
          <w:sz w:val="24"/>
        </w:rPr>
      </w:lvl>
    </w:lvlOverride>
    <w:lvlOverride w:ilvl="4">
      <w:lvl w:ilvl="4" w:tentative="1">
        <w:start w:val="1"/>
        <w:numFmt w:val="decimal"/>
        <w:pStyle w:val="Razina5"/>
        <w:suff w:val="space"/>
        <w:lvlText w:val="%1.%2.%3.%4.%5."/>
        <w:lvlJc w:val="left"/>
        <w:pPr>
          <w:ind w:left="0" w:firstLine="0"/>
        </w:pPr>
        <w:rPr>
          <w:rFonts w:asciiTheme="minorHAnsi" w:hAnsiTheme="minorHAnsi" w:hint="default"/>
          <w:b w:val="0"/>
          <w:i/>
          <w:color w:val="auto"/>
          <w:sz w:val="24"/>
          <w:szCs w:val="24"/>
        </w:rPr>
      </w:lvl>
    </w:lvlOverride>
    <w:lvlOverride w:ilvl="5">
      <w:lvl w:ilvl="5" w:tentative="1">
        <w:start w:val="1"/>
        <w:numFmt w:val="decimal"/>
        <w:lvlText w:val="%1.%2.%3.%4.%5.%6."/>
        <w:lvlJc w:val="left"/>
        <w:pPr>
          <w:ind w:left="0" w:firstLine="0"/>
        </w:pPr>
        <w:rPr>
          <w:rFonts w:hint="default"/>
        </w:rPr>
      </w:lvl>
    </w:lvlOverride>
    <w:lvlOverride w:ilvl="6">
      <w:lvl w:ilvl="6" w:tentative="1">
        <w:start w:val="1"/>
        <w:numFmt w:val="decimal"/>
        <w:lvlText w:val="%1.%2.%3.%4.%5.%6.%7."/>
        <w:lvlJc w:val="left"/>
        <w:pPr>
          <w:ind w:left="0" w:firstLine="0"/>
        </w:pPr>
        <w:rPr>
          <w:rFonts w:hint="default"/>
        </w:rPr>
      </w:lvl>
    </w:lvlOverride>
    <w:lvlOverride w:ilvl="7">
      <w:lvl w:ilvl="7" w:tentative="1">
        <w:start w:val="1"/>
        <w:numFmt w:val="decimal"/>
        <w:lvlText w:val="%1.%2.%3.%4.%5.%6.%7.%8."/>
        <w:lvlJc w:val="left"/>
        <w:pPr>
          <w:ind w:left="0" w:firstLine="0"/>
        </w:pPr>
        <w:rPr>
          <w:rFonts w:hint="default"/>
        </w:rPr>
      </w:lvl>
    </w:lvlOverride>
    <w:lvlOverride w:ilvl="8">
      <w:lvl w:ilvl="8" w:tentative="1">
        <w:start w:val="1"/>
        <w:numFmt w:val="decimal"/>
        <w:lvlText w:val="%1.%2.%3.%4.%5.%6.%7.%8.%9."/>
        <w:lvlJc w:val="left"/>
        <w:pPr>
          <w:ind w:left="0" w:firstLine="0"/>
        </w:pPr>
        <w:rPr>
          <w:rFonts w:hint="default"/>
        </w:rPr>
      </w:lvl>
    </w:lvlOverride>
  </w:num>
  <w:num w:numId="69">
    <w:abstractNumId w:val="39"/>
  </w:num>
  <w:num w:numId="70">
    <w:abstractNumId w:val="82"/>
  </w:num>
  <w:num w:numId="71">
    <w:abstractNumId w:val="95"/>
  </w:num>
  <w:num w:numId="72">
    <w:abstractNumId w:val="20"/>
  </w:num>
  <w:num w:numId="73">
    <w:abstractNumId w:val="41"/>
    <w:lvlOverride w:ilvl="0">
      <w:lvl w:ilvl="0" w:tentative="1">
        <w:start w:val="1"/>
        <w:numFmt w:val="decimal"/>
        <w:suff w:val="space"/>
        <w:lvlText w:val="%1."/>
        <w:lvlJc w:val="left"/>
        <w:pPr>
          <w:ind w:left="0" w:firstLine="0"/>
        </w:pPr>
        <w:rPr>
          <w:rFonts w:asciiTheme="minorHAnsi" w:hAnsiTheme="minorHAnsi" w:hint="default"/>
          <w:b w:val="0"/>
          <w:bCs w:val="0"/>
          <w:i/>
          <w:sz w:val="28"/>
        </w:rPr>
      </w:lvl>
    </w:lvlOverride>
    <w:lvlOverride w:ilvl="1">
      <w:lvl w:ilvl="1">
        <w:start w:val="1"/>
        <w:numFmt w:val="decimal"/>
        <w:pStyle w:val="Razina4"/>
        <w:suff w:val="space"/>
        <w:lvlText w:val="%1.%2."/>
        <w:lvlJc w:val="left"/>
        <w:pPr>
          <w:ind w:left="9072" w:firstLine="0"/>
        </w:pPr>
        <w:rPr>
          <w:rFonts w:asciiTheme="minorHAnsi" w:hAnsiTheme="minorHAnsi" w:hint="default"/>
          <w:b/>
          <w:i/>
          <w:sz w:val="28"/>
        </w:rPr>
      </w:lvl>
    </w:lvlOverride>
  </w:num>
  <w:num w:numId="74">
    <w:abstractNumId w:val="36"/>
  </w:num>
  <w:num w:numId="75">
    <w:abstractNumId w:val="31"/>
  </w:num>
  <w:num w:numId="76">
    <w:abstractNumId w:val="13"/>
  </w:num>
  <w:num w:numId="77">
    <w:abstractNumId w:val="97"/>
  </w:num>
  <w:num w:numId="78">
    <w:abstractNumId w:val="51"/>
  </w:num>
  <w:num w:numId="79">
    <w:abstractNumId w:val="77"/>
  </w:num>
  <w:num w:numId="80">
    <w:abstractNumId w:val="33"/>
  </w:num>
  <w:num w:numId="81">
    <w:abstractNumId w:val="38"/>
  </w:num>
  <w:num w:numId="82">
    <w:abstractNumId w:val="63"/>
  </w:num>
  <w:num w:numId="83">
    <w:abstractNumId w:val="37"/>
  </w:num>
  <w:num w:numId="84">
    <w:abstractNumId w:val="80"/>
  </w:num>
  <w:num w:numId="85">
    <w:abstractNumId w:val="28"/>
  </w:num>
  <w:num w:numId="86">
    <w:abstractNumId w:val="90"/>
  </w:num>
  <w:num w:numId="87">
    <w:abstractNumId w:val="103"/>
  </w:num>
  <w:num w:numId="88">
    <w:abstractNumId w:val="96"/>
  </w:num>
  <w:num w:numId="89">
    <w:abstractNumId w:val="81"/>
  </w:num>
  <w:num w:numId="90">
    <w:abstractNumId w:val="60"/>
  </w:num>
  <w:num w:numId="91">
    <w:abstractNumId w:val="69"/>
  </w:num>
  <w:num w:numId="92">
    <w:abstractNumId w:val="74"/>
  </w:num>
  <w:num w:numId="93">
    <w:abstractNumId w:val="55"/>
  </w:num>
  <w:num w:numId="94">
    <w:abstractNumId w:val="105"/>
  </w:num>
  <w:num w:numId="95">
    <w:abstractNumId w:val="44"/>
  </w:num>
  <w:num w:numId="96">
    <w:abstractNumId w:val="53"/>
  </w:num>
  <w:num w:numId="97">
    <w:abstractNumId w:val="72"/>
    <w:lvlOverride w:ilvl="0">
      <w:startOverride w:val="1"/>
    </w:lvlOverride>
    <w:lvlOverride w:ilvl="1">
      <w:startOverride w:val="1"/>
    </w:lvlOverride>
  </w:num>
  <w:num w:numId="98">
    <w:abstractNumId w:val="106"/>
  </w:num>
  <w:num w:numId="99">
    <w:abstractNumId w:val="10"/>
  </w:num>
  <w:num w:numId="100">
    <w:abstractNumId w:val="46"/>
  </w:num>
  <w:num w:numId="101">
    <w:abstractNumId w:val="67"/>
  </w:num>
  <w:num w:numId="102">
    <w:abstractNumId w:val="78"/>
  </w:num>
  <w:num w:numId="103">
    <w:abstractNumId w:val="102"/>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08"/>
  <w:hyphenationZone w:val="425"/>
  <w:characterSpacingControl w:val="doNotCompress"/>
  <w:hdrShapeDefaults>
    <o:shapedefaults v:ext="edit" spidmax="21506"/>
    <o:shapelayout v:ext="edit">
      <o:idmap v:ext="edit" data="14"/>
    </o:shapelayout>
  </w:hdrShapeDefaults>
  <w:footnotePr>
    <w:footnote w:id="-1"/>
    <w:footnote w:id="0"/>
  </w:footnotePr>
  <w:endnotePr>
    <w:endnote w:id="-1"/>
    <w:endnote w:id="0"/>
  </w:endnotePr>
  <w:compat/>
  <w:rsids>
    <w:rsidRoot w:val="007F0B2A"/>
    <w:rsid w:val="00026940"/>
    <w:rsid w:val="00070298"/>
    <w:rsid w:val="00100801"/>
    <w:rsid w:val="001048A3"/>
    <w:rsid w:val="00115CC5"/>
    <w:rsid w:val="00135788"/>
    <w:rsid w:val="001642E4"/>
    <w:rsid w:val="001B116A"/>
    <w:rsid w:val="001D0435"/>
    <w:rsid w:val="002217A2"/>
    <w:rsid w:val="00276947"/>
    <w:rsid w:val="002837C4"/>
    <w:rsid w:val="002B4C75"/>
    <w:rsid w:val="002E07AE"/>
    <w:rsid w:val="00341462"/>
    <w:rsid w:val="00357EE3"/>
    <w:rsid w:val="00360577"/>
    <w:rsid w:val="00371200"/>
    <w:rsid w:val="00373B97"/>
    <w:rsid w:val="003C270B"/>
    <w:rsid w:val="00413098"/>
    <w:rsid w:val="00433DD8"/>
    <w:rsid w:val="00433EF3"/>
    <w:rsid w:val="004409A1"/>
    <w:rsid w:val="00440A6E"/>
    <w:rsid w:val="00460992"/>
    <w:rsid w:val="00477A29"/>
    <w:rsid w:val="004F20EC"/>
    <w:rsid w:val="00501CA7"/>
    <w:rsid w:val="0050772C"/>
    <w:rsid w:val="00517104"/>
    <w:rsid w:val="005768F5"/>
    <w:rsid w:val="00590770"/>
    <w:rsid w:val="005C1E80"/>
    <w:rsid w:val="005F7F7E"/>
    <w:rsid w:val="006367B1"/>
    <w:rsid w:val="00647F44"/>
    <w:rsid w:val="00673695"/>
    <w:rsid w:val="00677F66"/>
    <w:rsid w:val="00683049"/>
    <w:rsid w:val="006A5484"/>
    <w:rsid w:val="006C4E90"/>
    <w:rsid w:val="00702AE5"/>
    <w:rsid w:val="007647D8"/>
    <w:rsid w:val="00777ABF"/>
    <w:rsid w:val="007D6689"/>
    <w:rsid w:val="007E224E"/>
    <w:rsid w:val="007E565F"/>
    <w:rsid w:val="007F0B2A"/>
    <w:rsid w:val="007F230B"/>
    <w:rsid w:val="008140D1"/>
    <w:rsid w:val="00836E3A"/>
    <w:rsid w:val="008704E2"/>
    <w:rsid w:val="008A203B"/>
    <w:rsid w:val="008A5530"/>
    <w:rsid w:val="008E75A0"/>
    <w:rsid w:val="00925122"/>
    <w:rsid w:val="009A49E2"/>
    <w:rsid w:val="009E4D5A"/>
    <w:rsid w:val="009F5480"/>
    <w:rsid w:val="00A44BDC"/>
    <w:rsid w:val="00A500AF"/>
    <w:rsid w:val="00A620C5"/>
    <w:rsid w:val="00A66748"/>
    <w:rsid w:val="00A67D2D"/>
    <w:rsid w:val="00AF0519"/>
    <w:rsid w:val="00B675CA"/>
    <w:rsid w:val="00B85466"/>
    <w:rsid w:val="00B863A6"/>
    <w:rsid w:val="00BA53C5"/>
    <w:rsid w:val="00BC48C1"/>
    <w:rsid w:val="00BC5D81"/>
    <w:rsid w:val="00BD367F"/>
    <w:rsid w:val="00BE574F"/>
    <w:rsid w:val="00C162A0"/>
    <w:rsid w:val="00C20815"/>
    <w:rsid w:val="00CB691B"/>
    <w:rsid w:val="00CD4B43"/>
    <w:rsid w:val="00D41216"/>
    <w:rsid w:val="00D56EC5"/>
    <w:rsid w:val="00D92DB5"/>
    <w:rsid w:val="00D942F7"/>
    <w:rsid w:val="00DA4597"/>
    <w:rsid w:val="00DC5FE2"/>
    <w:rsid w:val="00DD1C99"/>
    <w:rsid w:val="00E10BF1"/>
    <w:rsid w:val="00E30634"/>
    <w:rsid w:val="00E94DB4"/>
    <w:rsid w:val="00EB1ECB"/>
    <w:rsid w:val="00EF5AE7"/>
    <w:rsid w:val="00F121CF"/>
    <w:rsid w:val="00F57898"/>
    <w:rsid w:val="00F870FA"/>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qFormat="1"/>
    <w:lsdException w:name="annotation text" w:qFormat="1"/>
    <w:lsdException w:name="header" w:qFormat="1"/>
    <w:lsdException w:name="footer" w:qFormat="1"/>
    <w:lsdException w:name="caption" w:uiPriority="35" w:qFormat="1"/>
    <w:lsdException w:name="table of figures" w:qFormat="1"/>
    <w:lsdException w:name="footnote reference" w:uiPriority="0" w:qFormat="1"/>
    <w:lsdException w:name="annotation reference" w:qFormat="1"/>
    <w:lsdException w:name="page number" w:uiPriority="0" w:qFormat="1"/>
    <w:lsdException w:name="endnote reference" w:qFormat="1"/>
    <w:lsdException w:name="endnote text" w:qFormat="1"/>
    <w:lsdException w:name="Title" w:semiHidden="0" w:uiPriority="10" w:unhideWhenUsed="0" w:qFormat="1"/>
    <w:lsdException w:name="Default Paragraph Font" w:uiPriority="1"/>
    <w:lsdException w:name="Body Text" w:uiPriority="0" w:qFormat="1"/>
    <w:lsdException w:name="Body Text Indent" w:qFormat="1"/>
    <w:lsdException w:name="Subtitle" w:semiHidden="0" w:uiPriority="11" w:unhideWhenUsed="0" w:qFormat="1"/>
    <w:lsdException w:name="Date" w:uiPriority="0" w:qFormat="1"/>
    <w:lsdException w:name="Body Text 2" w:qFormat="1"/>
    <w:lsdException w:name="Body Text 3" w:qFormat="1"/>
    <w:lsdException w:name="Body Text Indent 2" w:qFormat="1"/>
    <w:lsdException w:name="Body Text Indent 3" w:qFormat="1"/>
    <w:lsdException w:name="Hyperlink" w:qFormat="1"/>
    <w:lsdException w:name="FollowedHyperlink" w:qFormat="1"/>
    <w:lsdException w:name="Strong" w:semiHidden="0" w:uiPriority="22" w:unhideWhenUsed="0" w:qFormat="1"/>
    <w:lsdException w:name="Emphasis" w:semiHidden="0" w:uiPriority="20" w:unhideWhenUsed="0" w:qFormat="1"/>
    <w:lsdException w:name="Plain Text" w:qFormat="1"/>
    <w:lsdException w:name="Normal (Web)" w:uiPriority="0" w:qFormat="1"/>
    <w:lsdException w:name="annotation subject" w:qFormat="1"/>
    <w:lsdException w:name="Table Elegant" w:uiPriority="0"/>
    <w:lsdException w:name="Balloon Text" w:uiPriority="0" w:qFormat="1"/>
    <w:lsdException w:name="Table Grid" w:semiHidden="0" w:uiPriority="39" w:unhideWhenUsed="0" w:qFormat="1"/>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qFormat="1"/>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qFormat="1"/>
    <w:lsdException w:name="Light Grid Accent 5" w:semiHidden="0" w:uiPriority="62" w:unhideWhenUsed="0" w:qFormat="1"/>
    <w:lsdException w:name="Medium Shading 1 Accent 5" w:semiHidden="0" w:uiPriority="63" w:unhideWhenUsed="0" w:qFormat="1"/>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qFormat="1"/>
    <w:lsdException w:name="Medium Grid 2 Accent 5" w:semiHidden="0" w:uiPriority="68" w:unhideWhenUsed="0" w:qFormat="1"/>
    <w:lsdException w:name="Medium Grid 3 Accent 5" w:semiHidden="0" w:uiPriority="69" w:unhideWhenUsed="0" w:qFormat="1"/>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0B2A"/>
    <w:rPr>
      <w:kern w:val="0"/>
    </w:rPr>
  </w:style>
  <w:style w:type="paragraph" w:styleId="Naslov1">
    <w:name w:val="heading 1"/>
    <w:basedOn w:val="Normal"/>
    <w:next w:val="Normal"/>
    <w:link w:val="Naslov1Char"/>
    <w:uiPriority w:val="9"/>
    <w:qFormat/>
    <w:rsid w:val="00677F6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qFormat/>
    <w:rsid w:val="00B675CA"/>
    <w:pPr>
      <w:keepNext/>
      <w:spacing w:after="0" w:line="240" w:lineRule="auto"/>
      <w:ind w:left="5040"/>
      <w:jc w:val="both"/>
      <w:outlineLvl w:val="1"/>
    </w:pPr>
    <w:rPr>
      <w:rFonts w:ascii="Times New Roman" w:eastAsia="Times New Roman" w:hAnsi="Times New Roman" w:cs="Times New Roman"/>
      <w:b/>
      <w:sz w:val="24"/>
      <w:szCs w:val="20"/>
      <w:lang w:val="en-GB" w:eastAsia="hr-HR"/>
    </w:rPr>
  </w:style>
  <w:style w:type="paragraph" w:styleId="Naslov3">
    <w:name w:val="heading 3"/>
    <w:basedOn w:val="Normal"/>
    <w:next w:val="Normal"/>
    <w:link w:val="Naslov3Char"/>
    <w:uiPriority w:val="9"/>
    <w:unhideWhenUsed/>
    <w:qFormat/>
    <w:rsid w:val="00677F66"/>
    <w:pPr>
      <w:keepNext/>
      <w:keepLines/>
      <w:spacing w:before="160" w:after="80" w:line="276" w:lineRule="auto"/>
      <w:outlineLvl w:val="2"/>
    </w:pPr>
    <w:rPr>
      <w:rFonts w:ascii="Arial" w:eastAsia="Arial" w:hAnsi="Arial" w:cs="Arial"/>
      <w:color w:val="2F5496" w:themeColor="accent1" w:themeShade="BF"/>
      <w:sz w:val="28"/>
      <w:szCs w:val="28"/>
    </w:rPr>
  </w:style>
  <w:style w:type="paragraph" w:styleId="Naslov4">
    <w:name w:val="heading 4"/>
    <w:basedOn w:val="Normal"/>
    <w:next w:val="Normal"/>
    <w:link w:val="Naslov4Char"/>
    <w:uiPriority w:val="9"/>
    <w:unhideWhenUsed/>
    <w:qFormat/>
    <w:rsid w:val="00677F66"/>
    <w:pPr>
      <w:keepNext/>
      <w:keepLines/>
      <w:spacing w:before="80" w:after="40" w:line="276" w:lineRule="auto"/>
      <w:outlineLvl w:val="3"/>
    </w:pPr>
    <w:rPr>
      <w:rFonts w:ascii="Arial" w:eastAsia="Arial" w:hAnsi="Arial" w:cs="Arial"/>
      <w:i/>
      <w:iCs/>
      <w:color w:val="2F5496" w:themeColor="accent1" w:themeShade="BF"/>
      <w:sz w:val="20"/>
    </w:rPr>
  </w:style>
  <w:style w:type="paragraph" w:styleId="Naslov5">
    <w:name w:val="heading 5"/>
    <w:basedOn w:val="Normal"/>
    <w:next w:val="Normal"/>
    <w:link w:val="Naslov5Char"/>
    <w:uiPriority w:val="9"/>
    <w:unhideWhenUsed/>
    <w:qFormat/>
    <w:rsid w:val="00677F66"/>
    <w:pPr>
      <w:keepNext/>
      <w:keepLines/>
      <w:spacing w:before="80" w:after="40" w:line="276" w:lineRule="auto"/>
      <w:outlineLvl w:val="4"/>
    </w:pPr>
    <w:rPr>
      <w:rFonts w:ascii="Arial" w:eastAsia="Arial" w:hAnsi="Arial" w:cs="Arial"/>
      <w:color w:val="2F5496" w:themeColor="accent1" w:themeShade="BF"/>
      <w:sz w:val="20"/>
    </w:rPr>
  </w:style>
  <w:style w:type="paragraph" w:styleId="Naslov6">
    <w:name w:val="heading 6"/>
    <w:basedOn w:val="Normal"/>
    <w:next w:val="Normal"/>
    <w:link w:val="Naslov6Char"/>
    <w:uiPriority w:val="9"/>
    <w:unhideWhenUsed/>
    <w:qFormat/>
    <w:rsid w:val="00677F66"/>
    <w:pPr>
      <w:keepNext/>
      <w:keepLines/>
      <w:spacing w:before="40" w:after="0" w:line="276" w:lineRule="auto"/>
      <w:outlineLvl w:val="5"/>
    </w:pPr>
    <w:rPr>
      <w:rFonts w:ascii="Arial" w:eastAsia="Arial" w:hAnsi="Arial" w:cs="Arial"/>
      <w:i/>
      <w:iCs/>
      <w:color w:val="595959" w:themeColor="text1" w:themeTint="A6"/>
      <w:sz w:val="20"/>
    </w:rPr>
  </w:style>
  <w:style w:type="paragraph" w:styleId="Naslov7">
    <w:name w:val="heading 7"/>
    <w:basedOn w:val="Normal"/>
    <w:next w:val="Normal"/>
    <w:link w:val="Naslov7Char"/>
    <w:uiPriority w:val="9"/>
    <w:unhideWhenUsed/>
    <w:qFormat/>
    <w:rsid w:val="00677F66"/>
    <w:pPr>
      <w:keepNext/>
      <w:keepLines/>
      <w:spacing w:before="40" w:after="0" w:line="276" w:lineRule="auto"/>
      <w:outlineLvl w:val="6"/>
    </w:pPr>
    <w:rPr>
      <w:rFonts w:ascii="Arial" w:eastAsia="Arial" w:hAnsi="Arial" w:cs="Arial"/>
      <w:color w:val="595959" w:themeColor="text1" w:themeTint="A6"/>
      <w:sz w:val="20"/>
    </w:rPr>
  </w:style>
  <w:style w:type="paragraph" w:styleId="Naslov8">
    <w:name w:val="heading 8"/>
    <w:basedOn w:val="Normal"/>
    <w:next w:val="Normal"/>
    <w:link w:val="Naslov8Char"/>
    <w:uiPriority w:val="9"/>
    <w:unhideWhenUsed/>
    <w:qFormat/>
    <w:rsid w:val="00677F66"/>
    <w:pPr>
      <w:keepNext/>
      <w:keepLines/>
      <w:spacing w:after="0" w:line="276" w:lineRule="auto"/>
      <w:outlineLvl w:val="7"/>
    </w:pPr>
    <w:rPr>
      <w:rFonts w:ascii="Arial" w:eastAsia="Arial" w:hAnsi="Arial" w:cs="Arial"/>
      <w:i/>
      <w:iCs/>
      <w:color w:val="272727" w:themeColor="text1" w:themeTint="D8"/>
      <w:sz w:val="20"/>
    </w:rPr>
  </w:style>
  <w:style w:type="paragraph" w:styleId="Naslov9">
    <w:name w:val="heading 9"/>
    <w:basedOn w:val="Normal"/>
    <w:next w:val="Normal"/>
    <w:link w:val="Naslov9Char"/>
    <w:uiPriority w:val="9"/>
    <w:unhideWhenUsed/>
    <w:qFormat/>
    <w:rsid w:val="00677F66"/>
    <w:pPr>
      <w:keepNext/>
      <w:keepLines/>
      <w:spacing w:after="0" w:line="276" w:lineRule="auto"/>
      <w:outlineLvl w:val="8"/>
    </w:pPr>
    <w:rPr>
      <w:rFonts w:ascii="Arial" w:eastAsia="Arial" w:hAnsi="Arial" w:cs="Arial"/>
      <w:i/>
      <w:iCs/>
      <w:color w:val="272727" w:themeColor="text1" w:themeTint="D8"/>
      <w:sz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qFormat/>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qFormat/>
    <w:rsid w:val="00677F66"/>
    <w:rPr>
      <w:rFonts w:asciiTheme="majorHAnsi" w:eastAsiaTheme="majorEastAsia" w:hAnsiTheme="majorHAnsi" w:cstheme="majorBidi"/>
      <w:b/>
      <w:bCs/>
      <w:color w:val="2F5496" w:themeColor="accent1" w:themeShade="BF"/>
      <w:kern w:val="0"/>
      <w:sz w:val="28"/>
      <w:szCs w:val="28"/>
    </w:rPr>
  </w:style>
  <w:style w:type="character" w:customStyle="1" w:styleId="Naslov2Char">
    <w:name w:val="Naslov 2 Char"/>
    <w:basedOn w:val="Zadanifontodlomka"/>
    <w:link w:val="Naslov2"/>
    <w:uiPriority w:val="9"/>
    <w:qFormat/>
    <w:rsid w:val="00B675CA"/>
    <w:rPr>
      <w:rFonts w:ascii="Times New Roman" w:eastAsia="Times New Roman" w:hAnsi="Times New Roman" w:cs="Times New Roman"/>
      <w:b/>
      <w:kern w:val="0"/>
      <w:sz w:val="24"/>
      <w:szCs w:val="20"/>
      <w:lang w:val="en-GB" w:eastAsia="hr-HR"/>
    </w:rPr>
  </w:style>
  <w:style w:type="character" w:customStyle="1" w:styleId="Naslov3Char">
    <w:name w:val="Naslov 3 Char"/>
    <w:basedOn w:val="Zadanifontodlomka"/>
    <w:link w:val="Naslov3"/>
    <w:uiPriority w:val="9"/>
    <w:qFormat/>
    <w:rsid w:val="00677F66"/>
    <w:rPr>
      <w:rFonts w:ascii="Arial" w:eastAsia="Arial" w:hAnsi="Arial" w:cs="Arial"/>
      <w:color w:val="2F5496" w:themeColor="accent1" w:themeShade="BF"/>
      <w:kern w:val="0"/>
      <w:sz w:val="28"/>
      <w:szCs w:val="28"/>
    </w:rPr>
  </w:style>
  <w:style w:type="character" w:customStyle="1" w:styleId="Naslov4Char">
    <w:name w:val="Naslov 4 Char"/>
    <w:basedOn w:val="Zadanifontodlomka"/>
    <w:link w:val="Naslov4"/>
    <w:uiPriority w:val="9"/>
    <w:qFormat/>
    <w:rsid w:val="00677F66"/>
    <w:rPr>
      <w:rFonts w:ascii="Arial" w:eastAsia="Arial" w:hAnsi="Arial" w:cs="Arial"/>
      <w:i/>
      <w:iCs/>
      <w:color w:val="2F5496" w:themeColor="accent1" w:themeShade="BF"/>
      <w:kern w:val="0"/>
      <w:sz w:val="20"/>
    </w:rPr>
  </w:style>
  <w:style w:type="character" w:customStyle="1" w:styleId="Naslov5Char">
    <w:name w:val="Naslov 5 Char"/>
    <w:basedOn w:val="Zadanifontodlomka"/>
    <w:link w:val="Naslov5"/>
    <w:uiPriority w:val="9"/>
    <w:qFormat/>
    <w:rsid w:val="00677F66"/>
    <w:rPr>
      <w:rFonts w:ascii="Arial" w:eastAsia="Arial" w:hAnsi="Arial" w:cs="Arial"/>
      <w:color w:val="2F5496" w:themeColor="accent1" w:themeShade="BF"/>
      <w:kern w:val="0"/>
      <w:sz w:val="20"/>
    </w:rPr>
  </w:style>
  <w:style w:type="character" w:customStyle="1" w:styleId="Naslov6Char">
    <w:name w:val="Naslov 6 Char"/>
    <w:basedOn w:val="Zadanifontodlomka"/>
    <w:link w:val="Naslov6"/>
    <w:uiPriority w:val="9"/>
    <w:qFormat/>
    <w:rsid w:val="00677F66"/>
    <w:rPr>
      <w:rFonts w:ascii="Arial" w:eastAsia="Arial" w:hAnsi="Arial" w:cs="Arial"/>
      <w:i/>
      <w:iCs/>
      <w:color w:val="595959" w:themeColor="text1" w:themeTint="A6"/>
      <w:kern w:val="0"/>
      <w:sz w:val="20"/>
    </w:rPr>
  </w:style>
  <w:style w:type="character" w:customStyle="1" w:styleId="Naslov7Char">
    <w:name w:val="Naslov 7 Char"/>
    <w:basedOn w:val="Zadanifontodlomka"/>
    <w:link w:val="Naslov7"/>
    <w:uiPriority w:val="9"/>
    <w:qFormat/>
    <w:rsid w:val="00677F66"/>
    <w:rPr>
      <w:rFonts w:ascii="Arial" w:eastAsia="Arial" w:hAnsi="Arial" w:cs="Arial"/>
      <w:color w:val="595959" w:themeColor="text1" w:themeTint="A6"/>
      <w:kern w:val="0"/>
      <w:sz w:val="20"/>
    </w:rPr>
  </w:style>
  <w:style w:type="character" w:customStyle="1" w:styleId="Naslov8Char">
    <w:name w:val="Naslov 8 Char"/>
    <w:basedOn w:val="Zadanifontodlomka"/>
    <w:link w:val="Naslov8"/>
    <w:uiPriority w:val="9"/>
    <w:qFormat/>
    <w:rsid w:val="00677F66"/>
    <w:rPr>
      <w:rFonts w:ascii="Arial" w:eastAsia="Arial" w:hAnsi="Arial" w:cs="Arial"/>
      <w:i/>
      <w:iCs/>
      <w:color w:val="272727" w:themeColor="text1" w:themeTint="D8"/>
      <w:kern w:val="0"/>
      <w:sz w:val="20"/>
    </w:rPr>
  </w:style>
  <w:style w:type="character" w:customStyle="1" w:styleId="Naslov9Char">
    <w:name w:val="Naslov 9 Char"/>
    <w:basedOn w:val="Zadanifontodlomka"/>
    <w:link w:val="Naslov9"/>
    <w:uiPriority w:val="9"/>
    <w:qFormat/>
    <w:rsid w:val="00677F66"/>
    <w:rPr>
      <w:rFonts w:ascii="Arial" w:eastAsia="Arial" w:hAnsi="Arial" w:cs="Arial"/>
      <w:i/>
      <w:iCs/>
      <w:color w:val="272727" w:themeColor="text1" w:themeTint="D8"/>
      <w:kern w:val="0"/>
      <w:sz w:val="20"/>
    </w:rPr>
  </w:style>
  <w:style w:type="paragraph" w:styleId="Odlomakpopisa">
    <w:name w:val="List Paragraph"/>
    <w:aliases w:val="opsomming 1,2,3 *-,Heading 12,naslov 1,List bulleti,Bulleted"/>
    <w:basedOn w:val="Normal"/>
    <w:link w:val="OdlomakpopisaChar"/>
    <w:uiPriority w:val="34"/>
    <w:qFormat/>
    <w:rsid w:val="007F0B2A"/>
    <w:pPr>
      <w:ind w:left="720"/>
      <w:contextualSpacing/>
    </w:pPr>
  </w:style>
  <w:style w:type="character" w:styleId="Hiperveza">
    <w:name w:val="Hyperlink"/>
    <w:basedOn w:val="Zadanifontodlomka"/>
    <w:uiPriority w:val="99"/>
    <w:unhideWhenUsed/>
    <w:qFormat/>
    <w:rsid w:val="007F0B2A"/>
    <w:rPr>
      <w:color w:val="0000FF"/>
      <w:u w:val="single"/>
    </w:rPr>
  </w:style>
  <w:style w:type="character" w:styleId="SlijeenaHiperveza">
    <w:name w:val="FollowedHyperlink"/>
    <w:basedOn w:val="Zadanifontodlomka"/>
    <w:uiPriority w:val="99"/>
    <w:semiHidden/>
    <w:unhideWhenUsed/>
    <w:qFormat/>
    <w:rsid w:val="007F0B2A"/>
    <w:rPr>
      <w:color w:val="800080"/>
      <w:u w:val="single"/>
    </w:rPr>
  </w:style>
  <w:style w:type="paragraph" w:customStyle="1" w:styleId="msonormal0">
    <w:name w:val="msonormal"/>
    <w:basedOn w:val="Normal"/>
    <w:rsid w:val="007F0B2A"/>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font5">
    <w:name w:val="font5"/>
    <w:basedOn w:val="Normal"/>
    <w:rsid w:val="007F0B2A"/>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font6">
    <w:name w:val="font6"/>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font7">
    <w:name w:val="font7"/>
    <w:basedOn w:val="Normal"/>
    <w:rsid w:val="007F0B2A"/>
    <w:pPr>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font8">
    <w:name w:val="font8"/>
    <w:basedOn w:val="Normal"/>
    <w:rsid w:val="007F0B2A"/>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font9">
    <w:name w:val="font9"/>
    <w:basedOn w:val="Normal"/>
    <w:rsid w:val="007F0B2A"/>
    <w:pPr>
      <w:spacing w:before="100" w:beforeAutospacing="1" w:after="100" w:afterAutospacing="1" w:line="240" w:lineRule="auto"/>
    </w:pPr>
    <w:rPr>
      <w:rFonts w:ascii="Arial" w:eastAsia="Times New Roman" w:hAnsi="Arial" w:cs="Arial"/>
      <w:color w:val="FF0000"/>
      <w:sz w:val="20"/>
      <w:szCs w:val="20"/>
      <w:lang w:eastAsia="hr-HR"/>
    </w:rPr>
  </w:style>
  <w:style w:type="paragraph" w:customStyle="1" w:styleId="font10">
    <w:name w:val="font10"/>
    <w:basedOn w:val="Normal"/>
    <w:rsid w:val="007F0B2A"/>
    <w:pP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font11">
    <w:name w:val="font11"/>
    <w:basedOn w:val="Normal"/>
    <w:rsid w:val="007F0B2A"/>
    <w:pPr>
      <w:spacing w:before="100" w:beforeAutospacing="1" w:after="100" w:afterAutospacing="1" w:line="240" w:lineRule="auto"/>
    </w:pPr>
    <w:rPr>
      <w:rFonts w:ascii="Arial" w:eastAsia="Times New Roman" w:hAnsi="Arial" w:cs="Arial"/>
      <w:color w:val="000000"/>
      <w:sz w:val="18"/>
      <w:szCs w:val="18"/>
      <w:u w:val="single"/>
      <w:lang w:eastAsia="hr-HR"/>
    </w:rPr>
  </w:style>
  <w:style w:type="paragraph" w:customStyle="1" w:styleId="xl66">
    <w:name w:val="xl66"/>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67">
    <w:name w:val="xl67"/>
    <w:basedOn w:val="Normal"/>
    <w:rsid w:val="007F0B2A"/>
    <w:pP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68">
    <w:name w:val="xl68"/>
    <w:basedOn w:val="Normal"/>
    <w:rsid w:val="007F0B2A"/>
    <w:pP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69">
    <w:name w:val="xl69"/>
    <w:basedOn w:val="Normal"/>
    <w:rsid w:val="007F0B2A"/>
    <w:pP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70">
    <w:name w:val="xl70"/>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xl71">
    <w:name w:val="xl7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72">
    <w:name w:val="xl7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73">
    <w:name w:val="xl7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color w:val="000000"/>
      <w:sz w:val="18"/>
      <w:szCs w:val="18"/>
      <w:lang w:eastAsia="hr-HR"/>
    </w:rPr>
  </w:style>
  <w:style w:type="paragraph" w:customStyle="1" w:styleId="xl74">
    <w:name w:val="xl74"/>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75">
    <w:name w:val="xl75"/>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76">
    <w:name w:val="xl76"/>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77">
    <w:name w:val="xl77"/>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78">
    <w:name w:val="xl7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79">
    <w:name w:val="xl7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80">
    <w:name w:val="xl80"/>
    <w:basedOn w:val="Normal"/>
    <w:rsid w:val="007F0B2A"/>
    <w:pP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81">
    <w:name w:val="xl8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82">
    <w:name w:val="xl8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83">
    <w:name w:val="xl8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84">
    <w:name w:val="xl84"/>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85">
    <w:name w:val="xl85"/>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86">
    <w:name w:val="xl86"/>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87">
    <w:name w:val="xl87"/>
    <w:basedOn w:val="Normal"/>
    <w:rsid w:val="007F0B2A"/>
    <w:pPr>
      <w:pBdr>
        <w:top w:val="single" w:sz="4" w:space="0" w:color="auto"/>
        <w:left w:val="single" w:sz="8" w:space="0" w:color="auto"/>
        <w:bottom w:val="double" w:sz="6"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88">
    <w:name w:val="xl88"/>
    <w:basedOn w:val="Normal"/>
    <w:rsid w:val="007F0B2A"/>
    <w:pPr>
      <w:pBdr>
        <w:top w:val="single" w:sz="4" w:space="0" w:color="auto"/>
        <w:left w:val="single" w:sz="8" w:space="0" w:color="auto"/>
        <w:bottom w:val="double" w:sz="6" w:space="0" w:color="auto"/>
        <w:right w:val="single" w:sz="8" w:space="0" w:color="auto"/>
      </w:pBdr>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89">
    <w:name w:val="xl89"/>
    <w:basedOn w:val="Normal"/>
    <w:rsid w:val="007F0B2A"/>
    <w:pPr>
      <w:pBdr>
        <w:top w:val="single" w:sz="8" w:space="0" w:color="auto"/>
        <w:left w:val="single" w:sz="4" w:space="0" w:color="auto"/>
        <w:bottom w:val="single" w:sz="8" w:space="0" w:color="auto"/>
      </w:pBdr>
      <w:shd w:val="clear" w:color="000000" w:fill="333399"/>
      <w:spacing w:before="100" w:beforeAutospacing="1" w:after="100" w:afterAutospacing="1" w:line="240" w:lineRule="auto"/>
    </w:pPr>
    <w:rPr>
      <w:rFonts w:ascii="Arial" w:eastAsia="Times New Roman" w:hAnsi="Arial" w:cs="Arial"/>
      <w:sz w:val="20"/>
      <w:szCs w:val="20"/>
      <w:lang w:eastAsia="hr-HR"/>
    </w:rPr>
  </w:style>
  <w:style w:type="paragraph" w:customStyle="1" w:styleId="xl90">
    <w:name w:val="xl90"/>
    <w:basedOn w:val="Normal"/>
    <w:rsid w:val="007F0B2A"/>
    <w:pPr>
      <w:pBdr>
        <w:top w:val="single" w:sz="8" w:space="0" w:color="auto"/>
        <w:bottom w:val="single" w:sz="8" w:space="0" w:color="auto"/>
      </w:pBdr>
      <w:shd w:val="clear" w:color="000000" w:fill="333399"/>
      <w:spacing w:before="100" w:beforeAutospacing="1" w:after="100" w:afterAutospacing="1" w:line="240" w:lineRule="auto"/>
    </w:pPr>
    <w:rPr>
      <w:rFonts w:ascii="Arial" w:eastAsia="Times New Roman" w:hAnsi="Arial" w:cs="Arial"/>
      <w:sz w:val="20"/>
      <w:szCs w:val="20"/>
      <w:lang w:eastAsia="hr-HR"/>
    </w:rPr>
  </w:style>
  <w:style w:type="paragraph" w:customStyle="1" w:styleId="xl91">
    <w:name w:val="xl91"/>
    <w:basedOn w:val="Normal"/>
    <w:rsid w:val="007F0B2A"/>
    <w:pPr>
      <w:pBdr>
        <w:top w:val="single" w:sz="8" w:space="0" w:color="auto"/>
        <w:left w:val="single" w:sz="4" w:space="0" w:color="auto"/>
        <w:bottom w:val="single" w:sz="8" w:space="0" w:color="auto"/>
      </w:pBdr>
      <w:shd w:val="clear" w:color="000000" w:fill="C0C0C0"/>
      <w:spacing w:before="100" w:beforeAutospacing="1" w:after="100" w:afterAutospacing="1" w:line="240" w:lineRule="auto"/>
    </w:pPr>
    <w:rPr>
      <w:rFonts w:ascii="Arial" w:eastAsia="Times New Roman" w:hAnsi="Arial" w:cs="Arial"/>
      <w:sz w:val="20"/>
      <w:szCs w:val="20"/>
      <w:lang w:eastAsia="hr-HR"/>
    </w:rPr>
  </w:style>
  <w:style w:type="paragraph" w:customStyle="1" w:styleId="xl92">
    <w:name w:val="xl92"/>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93">
    <w:name w:val="xl93"/>
    <w:basedOn w:val="Normal"/>
    <w:rsid w:val="007F0B2A"/>
    <w:pPr>
      <w:pBdr>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94">
    <w:name w:val="xl94"/>
    <w:basedOn w:val="Normal"/>
    <w:rsid w:val="007F0B2A"/>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95">
    <w:name w:val="xl95"/>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b/>
      <w:bCs/>
      <w:color w:val="000000"/>
      <w:sz w:val="18"/>
      <w:szCs w:val="18"/>
      <w:lang w:eastAsia="hr-HR"/>
    </w:rPr>
  </w:style>
  <w:style w:type="paragraph" w:customStyle="1" w:styleId="xl96">
    <w:name w:val="xl96"/>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97">
    <w:name w:val="xl97"/>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98">
    <w:name w:val="xl98"/>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99">
    <w:name w:val="xl99"/>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b/>
      <w:bCs/>
      <w:color w:val="000000"/>
      <w:sz w:val="18"/>
      <w:szCs w:val="18"/>
      <w:lang w:eastAsia="hr-HR"/>
    </w:rPr>
  </w:style>
  <w:style w:type="paragraph" w:customStyle="1" w:styleId="xl100">
    <w:name w:val="xl100"/>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101">
    <w:name w:val="xl101"/>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102">
    <w:name w:val="xl102"/>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103">
    <w:name w:val="xl103"/>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104">
    <w:name w:val="xl104"/>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05">
    <w:name w:val="xl105"/>
    <w:basedOn w:val="Normal"/>
    <w:rsid w:val="007F0B2A"/>
    <w:pPr>
      <w:pBdr>
        <w:top w:val="single" w:sz="8" w:space="0" w:color="auto"/>
      </w:pBdr>
      <w:shd w:val="clear" w:color="000000" w:fill="333399"/>
      <w:spacing w:before="100" w:beforeAutospacing="1" w:after="100" w:afterAutospacing="1" w:line="240" w:lineRule="auto"/>
    </w:pPr>
    <w:rPr>
      <w:rFonts w:ascii="Arial" w:eastAsia="Times New Roman" w:hAnsi="Arial" w:cs="Arial"/>
      <w:sz w:val="20"/>
      <w:szCs w:val="20"/>
      <w:lang w:eastAsia="hr-HR"/>
    </w:rPr>
  </w:style>
  <w:style w:type="paragraph" w:customStyle="1" w:styleId="xl106">
    <w:name w:val="xl106"/>
    <w:basedOn w:val="Normal"/>
    <w:rsid w:val="007F0B2A"/>
    <w:pPr>
      <w:pBdr>
        <w:top w:val="single" w:sz="8" w:space="0" w:color="auto"/>
        <w:bottom w:val="single" w:sz="8" w:space="0" w:color="auto"/>
      </w:pBdr>
      <w:shd w:val="clear" w:color="000000" w:fill="C0C0C0"/>
      <w:spacing w:before="100" w:beforeAutospacing="1" w:after="100" w:afterAutospacing="1" w:line="240" w:lineRule="auto"/>
    </w:pPr>
    <w:rPr>
      <w:rFonts w:ascii="Arial" w:eastAsia="Times New Roman" w:hAnsi="Arial" w:cs="Arial"/>
      <w:sz w:val="20"/>
      <w:szCs w:val="20"/>
      <w:lang w:eastAsia="hr-HR"/>
    </w:rPr>
  </w:style>
  <w:style w:type="paragraph" w:customStyle="1" w:styleId="xl107">
    <w:name w:val="xl107"/>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108">
    <w:name w:val="xl108"/>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109">
    <w:name w:val="xl109"/>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color w:val="000000"/>
      <w:sz w:val="20"/>
      <w:szCs w:val="20"/>
      <w:lang w:eastAsia="hr-HR"/>
    </w:rPr>
  </w:style>
  <w:style w:type="paragraph" w:customStyle="1" w:styleId="xl110">
    <w:name w:val="xl110"/>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111">
    <w:name w:val="xl111"/>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112">
    <w:name w:val="xl11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113">
    <w:name w:val="xl11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114">
    <w:name w:val="xl114"/>
    <w:basedOn w:val="Normal"/>
    <w:rsid w:val="007F0B2A"/>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15">
    <w:name w:val="xl115"/>
    <w:basedOn w:val="Normal"/>
    <w:rsid w:val="007F0B2A"/>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16">
    <w:name w:val="xl116"/>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Arial" w:eastAsia="Times New Roman" w:hAnsi="Arial" w:cs="Arial"/>
      <w:b/>
      <w:bCs/>
      <w:color w:val="000000"/>
      <w:sz w:val="24"/>
      <w:szCs w:val="24"/>
      <w:lang w:eastAsia="hr-HR"/>
    </w:rPr>
  </w:style>
  <w:style w:type="paragraph" w:customStyle="1" w:styleId="xl117">
    <w:name w:val="xl117"/>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Arial" w:eastAsia="Times New Roman" w:hAnsi="Arial" w:cs="Arial"/>
      <w:b/>
      <w:bCs/>
      <w:color w:val="000000"/>
      <w:sz w:val="24"/>
      <w:szCs w:val="24"/>
      <w:lang w:eastAsia="hr-HR"/>
    </w:rPr>
  </w:style>
  <w:style w:type="paragraph" w:customStyle="1" w:styleId="xl118">
    <w:name w:val="xl11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119">
    <w:name w:val="xl119"/>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120">
    <w:name w:val="xl120"/>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21">
    <w:name w:val="xl121"/>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Arial" w:eastAsia="Times New Roman" w:hAnsi="Arial" w:cs="Arial"/>
      <w:b/>
      <w:bCs/>
      <w:color w:val="000000"/>
      <w:sz w:val="24"/>
      <w:szCs w:val="24"/>
      <w:lang w:eastAsia="hr-HR"/>
    </w:rPr>
  </w:style>
  <w:style w:type="paragraph" w:customStyle="1" w:styleId="xl122">
    <w:name w:val="xl122"/>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Arial" w:eastAsia="Times New Roman" w:hAnsi="Arial" w:cs="Arial"/>
      <w:b/>
      <w:bCs/>
      <w:color w:val="000000"/>
      <w:sz w:val="24"/>
      <w:szCs w:val="24"/>
      <w:lang w:eastAsia="hr-HR"/>
    </w:rPr>
  </w:style>
  <w:style w:type="paragraph" w:customStyle="1" w:styleId="xl123">
    <w:name w:val="xl123"/>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top"/>
    </w:pPr>
    <w:rPr>
      <w:rFonts w:ascii="Arial" w:eastAsia="Times New Roman" w:hAnsi="Arial" w:cs="Arial"/>
      <w:b/>
      <w:bCs/>
      <w:color w:val="000000"/>
      <w:sz w:val="24"/>
      <w:szCs w:val="24"/>
      <w:lang w:eastAsia="hr-HR"/>
    </w:rPr>
  </w:style>
  <w:style w:type="paragraph" w:customStyle="1" w:styleId="xl124">
    <w:name w:val="xl124"/>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125">
    <w:name w:val="xl125"/>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b/>
      <w:bCs/>
      <w:color w:val="000000"/>
      <w:sz w:val="20"/>
      <w:szCs w:val="20"/>
      <w:lang w:eastAsia="hr-HR"/>
    </w:rPr>
  </w:style>
  <w:style w:type="paragraph" w:customStyle="1" w:styleId="xl126">
    <w:name w:val="xl126"/>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000000"/>
      <w:sz w:val="18"/>
      <w:szCs w:val="18"/>
      <w:lang w:eastAsia="hr-HR"/>
    </w:rPr>
  </w:style>
  <w:style w:type="paragraph" w:customStyle="1" w:styleId="xl127">
    <w:name w:val="xl127"/>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000000"/>
      <w:sz w:val="18"/>
      <w:szCs w:val="18"/>
      <w:lang w:eastAsia="hr-HR"/>
    </w:rPr>
  </w:style>
  <w:style w:type="paragraph" w:customStyle="1" w:styleId="xl128">
    <w:name w:val="xl128"/>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color w:val="000000"/>
      <w:sz w:val="18"/>
      <w:szCs w:val="18"/>
      <w:lang w:eastAsia="hr-HR"/>
    </w:rPr>
  </w:style>
  <w:style w:type="paragraph" w:customStyle="1" w:styleId="xl129">
    <w:name w:val="xl12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130">
    <w:name w:val="xl130"/>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131">
    <w:name w:val="xl13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132">
    <w:name w:val="xl13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0"/>
      <w:szCs w:val="20"/>
      <w:lang w:eastAsia="hr-HR"/>
    </w:rPr>
  </w:style>
  <w:style w:type="paragraph" w:customStyle="1" w:styleId="xl133">
    <w:name w:val="xl133"/>
    <w:basedOn w:val="Normal"/>
    <w:rsid w:val="007F0B2A"/>
    <w:pPr>
      <w:spacing w:before="100" w:beforeAutospacing="1" w:after="100" w:afterAutospacing="1" w:line="240" w:lineRule="auto"/>
    </w:pPr>
    <w:rPr>
      <w:rFonts w:ascii="Arial" w:eastAsia="Times New Roman" w:hAnsi="Arial" w:cs="Arial"/>
      <w:b/>
      <w:bCs/>
      <w:sz w:val="24"/>
      <w:szCs w:val="24"/>
      <w:lang w:eastAsia="hr-HR"/>
    </w:rPr>
  </w:style>
  <w:style w:type="paragraph" w:customStyle="1" w:styleId="xl134">
    <w:name w:val="xl134"/>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135">
    <w:name w:val="xl135"/>
    <w:basedOn w:val="Normal"/>
    <w:rsid w:val="007F0B2A"/>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136">
    <w:name w:val="xl136"/>
    <w:basedOn w:val="Normal"/>
    <w:rsid w:val="007F0B2A"/>
    <w:pPr>
      <w:spacing w:before="100" w:beforeAutospacing="1" w:after="100" w:afterAutospacing="1" w:line="240" w:lineRule="auto"/>
      <w:jc w:val="center"/>
    </w:pPr>
    <w:rPr>
      <w:rFonts w:ascii="Arial" w:eastAsia="Times New Roman" w:hAnsi="Arial" w:cs="Arial"/>
      <w:b/>
      <w:bCs/>
      <w:color w:val="000000"/>
      <w:sz w:val="20"/>
      <w:szCs w:val="20"/>
      <w:lang w:eastAsia="hr-HR"/>
    </w:rPr>
  </w:style>
  <w:style w:type="paragraph" w:customStyle="1" w:styleId="xl137">
    <w:name w:val="xl137"/>
    <w:basedOn w:val="Normal"/>
    <w:rsid w:val="007F0B2A"/>
    <w:pPr>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138">
    <w:name w:val="xl138"/>
    <w:basedOn w:val="Normal"/>
    <w:rsid w:val="007F0B2A"/>
    <w:pPr>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139">
    <w:name w:val="xl139"/>
    <w:basedOn w:val="Normal"/>
    <w:rsid w:val="007F0B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hr-HR"/>
    </w:rPr>
  </w:style>
  <w:style w:type="paragraph" w:customStyle="1" w:styleId="xl140">
    <w:name w:val="xl140"/>
    <w:basedOn w:val="Normal"/>
    <w:rsid w:val="007F0B2A"/>
    <w:pP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41">
    <w:name w:val="xl141"/>
    <w:basedOn w:val="Normal"/>
    <w:rsid w:val="007F0B2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42">
    <w:name w:val="xl14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43">
    <w:name w:val="xl143"/>
    <w:basedOn w:val="Normal"/>
    <w:rsid w:val="007F0B2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44">
    <w:name w:val="xl144"/>
    <w:basedOn w:val="Normal"/>
    <w:rsid w:val="007F0B2A"/>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45">
    <w:name w:val="xl145"/>
    <w:basedOn w:val="Normal"/>
    <w:rsid w:val="007F0B2A"/>
    <w:pP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46">
    <w:name w:val="xl146"/>
    <w:basedOn w:val="Normal"/>
    <w:rsid w:val="007F0B2A"/>
    <w:pP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47">
    <w:name w:val="xl147"/>
    <w:basedOn w:val="Normal"/>
    <w:rsid w:val="007F0B2A"/>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48">
    <w:name w:val="xl148"/>
    <w:basedOn w:val="Normal"/>
    <w:rsid w:val="007F0B2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49">
    <w:name w:val="xl149"/>
    <w:basedOn w:val="Normal"/>
    <w:rsid w:val="007F0B2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hr-HR"/>
    </w:rPr>
  </w:style>
  <w:style w:type="paragraph" w:customStyle="1" w:styleId="xl150">
    <w:name w:val="xl150"/>
    <w:basedOn w:val="Normal"/>
    <w:rsid w:val="007F0B2A"/>
    <w:pPr>
      <w:spacing w:before="100" w:beforeAutospacing="1" w:after="100" w:afterAutospacing="1" w:line="240" w:lineRule="auto"/>
    </w:pPr>
    <w:rPr>
      <w:rFonts w:ascii="Arial" w:eastAsia="Times New Roman" w:hAnsi="Arial" w:cs="Arial"/>
      <w:b/>
      <w:bCs/>
      <w:i/>
      <w:iCs/>
      <w:sz w:val="20"/>
      <w:szCs w:val="20"/>
      <w:lang w:eastAsia="hr-HR"/>
    </w:rPr>
  </w:style>
  <w:style w:type="paragraph" w:customStyle="1" w:styleId="xl151">
    <w:name w:val="xl151"/>
    <w:basedOn w:val="Normal"/>
    <w:rsid w:val="007F0B2A"/>
    <w:pPr>
      <w:pBdr>
        <w:top w:val="single" w:sz="8" w:space="0" w:color="auto"/>
      </w:pBdr>
      <w:shd w:val="clear" w:color="000000" w:fill="333399"/>
      <w:spacing w:before="100" w:beforeAutospacing="1" w:after="100" w:afterAutospacing="1" w:line="240" w:lineRule="auto"/>
    </w:pPr>
    <w:rPr>
      <w:rFonts w:ascii="Times New Roman" w:eastAsia="Times New Roman" w:hAnsi="Times New Roman" w:cs="Times New Roman"/>
      <w:b/>
      <w:bCs/>
      <w:color w:val="000000"/>
      <w:sz w:val="36"/>
      <w:szCs w:val="36"/>
      <w:lang w:eastAsia="hr-HR"/>
    </w:rPr>
  </w:style>
  <w:style w:type="paragraph" w:customStyle="1" w:styleId="xl152">
    <w:name w:val="xl152"/>
    <w:basedOn w:val="Normal"/>
    <w:rsid w:val="007F0B2A"/>
    <w:pPr>
      <w:pBdr>
        <w:top w:val="single" w:sz="8" w:space="0" w:color="auto"/>
        <w:left w:val="single" w:sz="8" w:space="0" w:color="auto"/>
        <w:bottom w:val="single" w:sz="8" w:space="0" w:color="auto"/>
      </w:pBdr>
      <w:shd w:val="clear" w:color="000000" w:fill="C0C0C0"/>
      <w:spacing w:before="100" w:beforeAutospacing="1" w:after="100" w:afterAutospacing="1" w:line="240" w:lineRule="auto"/>
    </w:pPr>
    <w:rPr>
      <w:rFonts w:ascii="Times New Roman" w:eastAsia="Times New Roman" w:hAnsi="Times New Roman" w:cs="Times New Roman"/>
      <w:b/>
      <w:bCs/>
      <w:color w:val="000000"/>
      <w:sz w:val="28"/>
      <w:szCs w:val="28"/>
      <w:lang w:eastAsia="hr-HR"/>
    </w:rPr>
  </w:style>
  <w:style w:type="paragraph" w:customStyle="1" w:styleId="xl153">
    <w:name w:val="xl153"/>
    <w:basedOn w:val="Normal"/>
    <w:rsid w:val="007F0B2A"/>
    <w:pPr>
      <w:pBdr>
        <w:top w:val="single" w:sz="8" w:space="0" w:color="auto"/>
        <w:left w:val="single" w:sz="4" w:space="0" w:color="auto"/>
        <w:bottom w:val="single" w:sz="8" w:space="0" w:color="auto"/>
        <w:right w:val="single" w:sz="4" w:space="0" w:color="auto"/>
      </w:pBdr>
      <w:shd w:val="clear" w:color="000000" w:fill="C0C0C0"/>
      <w:spacing w:before="100" w:beforeAutospacing="1" w:after="100" w:afterAutospacing="1" w:line="240" w:lineRule="auto"/>
    </w:pPr>
    <w:rPr>
      <w:rFonts w:ascii="Times New Roman" w:eastAsia="Times New Roman" w:hAnsi="Times New Roman" w:cs="Times New Roman"/>
      <w:b/>
      <w:bCs/>
      <w:color w:val="000000"/>
      <w:sz w:val="24"/>
      <w:szCs w:val="24"/>
      <w:lang w:eastAsia="hr-HR"/>
    </w:rPr>
  </w:style>
  <w:style w:type="paragraph" w:customStyle="1" w:styleId="xl154">
    <w:name w:val="xl154"/>
    <w:basedOn w:val="Normal"/>
    <w:rsid w:val="007F0B2A"/>
    <w:pPr>
      <w:pBdr>
        <w:top w:val="single" w:sz="8" w:space="0" w:color="auto"/>
      </w:pBdr>
      <w:shd w:val="clear" w:color="000000" w:fill="333399"/>
      <w:spacing w:before="100" w:beforeAutospacing="1" w:after="100" w:afterAutospacing="1" w:line="240" w:lineRule="auto"/>
    </w:pPr>
    <w:rPr>
      <w:rFonts w:ascii="Times New Roman" w:eastAsia="Times New Roman" w:hAnsi="Times New Roman" w:cs="Times New Roman"/>
      <w:b/>
      <w:bCs/>
      <w:color w:val="000000"/>
      <w:sz w:val="36"/>
      <w:szCs w:val="36"/>
      <w:lang w:eastAsia="hr-HR"/>
    </w:rPr>
  </w:style>
  <w:style w:type="paragraph" w:customStyle="1" w:styleId="xl155">
    <w:name w:val="xl155"/>
    <w:basedOn w:val="Normal"/>
    <w:rsid w:val="007F0B2A"/>
    <w:pPr>
      <w:pBdr>
        <w:top w:val="single" w:sz="8" w:space="0" w:color="auto"/>
        <w:left w:val="single" w:sz="4" w:space="0" w:color="auto"/>
        <w:bottom w:val="single" w:sz="8" w:space="0" w:color="auto"/>
        <w:right w:val="single" w:sz="4" w:space="0" w:color="auto"/>
      </w:pBdr>
      <w:shd w:val="clear" w:color="000000" w:fill="969696"/>
      <w:spacing w:before="100" w:beforeAutospacing="1" w:after="100" w:afterAutospacing="1" w:line="240" w:lineRule="auto"/>
    </w:pPr>
    <w:rPr>
      <w:rFonts w:ascii="Arial" w:eastAsia="Times New Roman" w:hAnsi="Arial" w:cs="Arial"/>
      <w:sz w:val="20"/>
      <w:szCs w:val="20"/>
      <w:lang w:eastAsia="hr-HR"/>
    </w:rPr>
  </w:style>
  <w:style w:type="paragraph" w:customStyle="1" w:styleId="xl156">
    <w:name w:val="xl156"/>
    <w:basedOn w:val="Normal"/>
    <w:rsid w:val="007F0B2A"/>
    <w:pPr>
      <w:pBdr>
        <w:top w:val="single" w:sz="4"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57">
    <w:name w:val="xl157"/>
    <w:basedOn w:val="Normal"/>
    <w:rsid w:val="007F0B2A"/>
    <w:pPr>
      <w:pBdr>
        <w:top w:val="single" w:sz="4"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58">
    <w:name w:val="xl15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59">
    <w:name w:val="xl15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160">
    <w:name w:val="xl160"/>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161">
    <w:name w:val="xl161"/>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162">
    <w:name w:val="xl162"/>
    <w:basedOn w:val="Normal"/>
    <w:rsid w:val="007F0B2A"/>
    <w:pPr>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163">
    <w:name w:val="xl163"/>
    <w:basedOn w:val="Normal"/>
    <w:rsid w:val="007F0B2A"/>
    <w:pPr>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164">
    <w:name w:val="xl164"/>
    <w:basedOn w:val="Normal"/>
    <w:rsid w:val="007F0B2A"/>
    <w:pPr>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line="240" w:lineRule="auto"/>
    </w:pPr>
    <w:rPr>
      <w:rFonts w:ascii="Arial" w:eastAsia="Times New Roman" w:hAnsi="Arial" w:cs="Arial"/>
      <w:sz w:val="20"/>
      <w:szCs w:val="20"/>
      <w:lang w:eastAsia="hr-HR"/>
    </w:rPr>
  </w:style>
  <w:style w:type="paragraph" w:customStyle="1" w:styleId="xl165">
    <w:name w:val="xl165"/>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sz w:val="20"/>
      <w:szCs w:val="20"/>
      <w:lang w:eastAsia="hr-HR"/>
    </w:rPr>
  </w:style>
  <w:style w:type="paragraph" w:customStyle="1" w:styleId="xl166">
    <w:name w:val="xl166"/>
    <w:basedOn w:val="Normal"/>
    <w:rsid w:val="007F0B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Arial" w:eastAsia="Times New Roman" w:hAnsi="Arial" w:cs="Arial"/>
      <w:b/>
      <w:bCs/>
      <w:color w:val="000000"/>
      <w:sz w:val="20"/>
      <w:szCs w:val="20"/>
      <w:lang w:eastAsia="hr-HR"/>
    </w:rPr>
  </w:style>
  <w:style w:type="paragraph" w:customStyle="1" w:styleId="xl167">
    <w:name w:val="xl167"/>
    <w:basedOn w:val="Normal"/>
    <w:rsid w:val="007F0B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20"/>
      <w:szCs w:val="20"/>
      <w:lang w:eastAsia="hr-HR"/>
    </w:rPr>
  </w:style>
  <w:style w:type="paragraph" w:customStyle="1" w:styleId="xl168">
    <w:name w:val="xl16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69">
    <w:name w:val="xl16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170">
    <w:name w:val="xl170"/>
    <w:basedOn w:val="Normal"/>
    <w:rsid w:val="007F0B2A"/>
    <w:pPr>
      <w:shd w:val="clear" w:color="000000" w:fill="CCCCFF"/>
      <w:spacing w:before="100" w:beforeAutospacing="1" w:after="100" w:afterAutospacing="1" w:line="240" w:lineRule="auto"/>
    </w:pPr>
    <w:rPr>
      <w:rFonts w:ascii="Arial" w:eastAsia="Times New Roman" w:hAnsi="Arial" w:cs="Arial"/>
      <w:sz w:val="20"/>
      <w:szCs w:val="20"/>
      <w:lang w:eastAsia="hr-HR"/>
    </w:rPr>
  </w:style>
  <w:style w:type="paragraph" w:customStyle="1" w:styleId="xl171">
    <w:name w:val="xl171"/>
    <w:basedOn w:val="Normal"/>
    <w:rsid w:val="007F0B2A"/>
    <w:pP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72">
    <w:name w:val="xl172"/>
    <w:basedOn w:val="Normal"/>
    <w:rsid w:val="007F0B2A"/>
    <w:pP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73">
    <w:name w:val="xl173"/>
    <w:basedOn w:val="Normal"/>
    <w:rsid w:val="007F0B2A"/>
    <w:pP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74">
    <w:name w:val="xl174"/>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175">
    <w:name w:val="xl175"/>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76">
    <w:name w:val="xl176"/>
    <w:basedOn w:val="Normal"/>
    <w:rsid w:val="007F0B2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77">
    <w:name w:val="xl177"/>
    <w:basedOn w:val="Normal"/>
    <w:rsid w:val="007F0B2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78">
    <w:name w:val="xl178"/>
    <w:basedOn w:val="Normal"/>
    <w:rsid w:val="007F0B2A"/>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79">
    <w:name w:val="xl179"/>
    <w:basedOn w:val="Normal"/>
    <w:rsid w:val="007F0B2A"/>
    <w:pPr>
      <w:pBdr>
        <w:bottom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80">
    <w:name w:val="xl180"/>
    <w:basedOn w:val="Normal"/>
    <w:rsid w:val="007F0B2A"/>
    <w:pPr>
      <w:pBdr>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81">
    <w:name w:val="xl181"/>
    <w:basedOn w:val="Normal"/>
    <w:rsid w:val="007F0B2A"/>
    <w:pPr>
      <w:pBdr>
        <w:bottom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82">
    <w:name w:val="xl182"/>
    <w:basedOn w:val="Normal"/>
    <w:rsid w:val="007F0B2A"/>
    <w:pPr>
      <w:pBdr>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83">
    <w:name w:val="xl183"/>
    <w:basedOn w:val="Normal"/>
    <w:rsid w:val="007F0B2A"/>
    <w:pPr>
      <w:pBdr>
        <w:bottom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84">
    <w:name w:val="xl184"/>
    <w:basedOn w:val="Normal"/>
    <w:rsid w:val="007F0B2A"/>
    <w:pPr>
      <w:pBdr>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85">
    <w:name w:val="xl185"/>
    <w:basedOn w:val="Normal"/>
    <w:rsid w:val="007F0B2A"/>
    <w:pPr>
      <w:pBdr>
        <w:top w:val="single" w:sz="4" w:space="0" w:color="auto"/>
        <w:bottom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86">
    <w:name w:val="xl186"/>
    <w:basedOn w:val="Normal"/>
    <w:rsid w:val="007F0B2A"/>
    <w:pPr>
      <w:pBdr>
        <w:top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87">
    <w:name w:val="xl187"/>
    <w:basedOn w:val="Normal"/>
    <w:rsid w:val="007F0B2A"/>
    <w:pPr>
      <w:pBdr>
        <w:bottom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88">
    <w:name w:val="xl188"/>
    <w:basedOn w:val="Normal"/>
    <w:rsid w:val="007F0B2A"/>
    <w:pPr>
      <w:pBdr>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89">
    <w:name w:val="xl189"/>
    <w:basedOn w:val="Normal"/>
    <w:rsid w:val="007F0B2A"/>
    <w:pPr>
      <w:pBdr>
        <w:bottom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90">
    <w:name w:val="xl190"/>
    <w:basedOn w:val="Normal"/>
    <w:rsid w:val="007F0B2A"/>
    <w:pPr>
      <w:pBdr>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91">
    <w:name w:val="xl191"/>
    <w:basedOn w:val="Normal"/>
    <w:rsid w:val="007F0B2A"/>
    <w:pPr>
      <w:pBdr>
        <w:top w:val="single" w:sz="4" w:space="0" w:color="auto"/>
        <w:bottom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92">
    <w:name w:val="xl192"/>
    <w:basedOn w:val="Normal"/>
    <w:rsid w:val="007F0B2A"/>
    <w:pPr>
      <w:pBdr>
        <w:top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93">
    <w:name w:val="xl193"/>
    <w:basedOn w:val="Normal"/>
    <w:rsid w:val="007F0B2A"/>
    <w:pPr>
      <w:pBdr>
        <w:top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194">
    <w:name w:val="xl194"/>
    <w:basedOn w:val="Normal"/>
    <w:rsid w:val="007F0B2A"/>
    <w:pPr>
      <w:pBdr>
        <w:bottom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95">
    <w:name w:val="xl195"/>
    <w:basedOn w:val="Normal"/>
    <w:rsid w:val="007F0B2A"/>
    <w:pPr>
      <w:pBdr>
        <w:top w:val="single" w:sz="4" w:space="0" w:color="auto"/>
        <w:bottom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196">
    <w:name w:val="xl196"/>
    <w:basedOn w:val="Normal"/>
    <w:rsid w:val="007F0B2A"/>
    <w:pPr>
      <w:pBdr>
        <w:top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sz w:val="20"/>
      <w:szCs w:val="20"/>
      <w:lang w:eastAsia="hr-HR"/>
    </w:rPr>
  </w:style>
  <w:style w:type="paragraph" w:customStyle="1" w:styleId="xl197">
    <w:name w:val="xl197"/>
    <w:basedOn w:val="Normal"/>
    <w:rsid w:val="007F0B2A"/>
    <w:pPr>
      <w:pBdr>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sz w:val="20"/>
      <w:szCs w:val="20"/>
      <w:lang w:eastAsia="hr-HR"/>
    </w:rPr>
  </w:style>
  <w:style w:type="paragraph" w:customStyle="1" w:styleId="xl198">
    <w:name w:val="xl198"/>
    <w:basedOn w:val="Normal"/>
    <w:rsid w:val="007F0B2A"/>
    <w:pPr>
      <w:pBdr>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sz w:val="20"/>
      <w:szCs w:val="20"/>
      <w:lang w:eastAsia="hr-HR"/>
    </w:rPr>
  </w:style>
  <w:style w:type="paragraph" w:customStyle="1" w:styleId="xl199">
    <w:name w:val="xl199"/>
    <w:basedOn w:val="Normal"/>
    <w:rsid w:val="007F0B2A"/>
    <w:pPr>
      <w:pBdr>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sz w:val="20"/>
      <w:szCs w:val="20"/>
      <w:lang w:eastAsia="hr-HR"/>
    </w:rPr>
  </w:style>
  <w:style w:type="paragraph" w:customStyle="1" w:styleId="xl200">
    <w:name w:val="xl200"/>
    <w:basedOn w:val="Normal"/>
    <w:rsid w:val="007F0B2A"/>
    <w:pPr>
      <w:pBdr>
        <w:top w:val="single" w:sz="8" w:space="0" w:color="auto"/>
        <w:bottom w:val="single" w:sz="4" w:space="0" w:color="auto"/>
      </w:pBdr>
      <w:shd w:val="clear" w:color="000000" w:fill="00000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201">
    <w:name w:val="xl201"/>
    <w:basedOn w:val="Normal"/>
    <w:rsid w:val="007F0B2A"/>
    <w:pPr>
      <w:pBdr>
        <w:top w:val="single" w:sz="8" w:space="0" w:color="auto"/>
        <w:bottom w:val="single" w:sz="4" w:space="0" w:color="auto"/>
        <w:right w:val="single" w:sz="4" w:space="0" w:color="auto"/>
      </w:pBdr>
      <w:shd w:val="clear" w:color="000000" w:fill="000000"/>
      <w:spacing w:before="100" w:beforeAutospacing="1" w:after="100" w:afterAutospacing="1" w:line="240" w:lineRule="auto"/>
    </w:pPr>
    <w:rPr>
      <w:rFonts w:ascii="Arial" w:eastAsia="Times New Roman" w:hAnsi="Arial" w:cs="Arial"/>
      <w:sz w:val="20"/>
      <w:szCs w:val="20"/>
      <w:lang w:eastAsia="hr-HR"/>
    </w:rPr>
  </w:style>
  <w:style w:type="paragraph" w:customStyle="1" w:styleId="xl202">
    <w:name w:val="xl202"/>
    <w:basedOn w:val="Normal"/>
    <w:rsid w:val="007F0B2A"/>
    <w:pPr>
      <w:pBdr>
        <w:top w:val="single" w:sz="4" w:space="0" w:color="auto"/>
        <w:left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Arial" w:eastAsia="Times New Roman" w:hAnsi="Arial" w:cs="Arial"/>
      <w:color w:val="FFFFFF"/>
      <w:sz w:val="20"/>
      <w:szCs w:val="20"/>
      <w:lang w:eastAsia="hr-HR"/>
    </w:rPr>
  </w:style>
  <w:style w:type="paragraph" w:customStyle="1" w:styleId="xl203">
    <w:name w:val="xl203"/>
    <w:basedOn w:val="Normal"/>
    <w:rsid w:val="007F0B2A"/>
    <w:pPr>
      <w:pBdr>
        <w:top w:val="single" w:sz="4" w:space="0" w:color="auto"/>
        <w:left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color w:val="FFFFFF"/>
      <w:sz w:val="20"/>
      <w:szCs w:val="20"/>
      <w:lang w:eastAsia="hr-HR"/>
    </w:rPr>
  </w:style>
  <w:style w:type="paragraph" w:customStyle="1" w:styleId="xl204">
    <w:name w:val="xl204"/>
    <w:basedOn w:val="Normal"/>
    <w:rsid w:val="007F0B2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color w:val="FFFFFF"/>
      <w:sz w:val="20"/>
      <w:szCs w:val="20"/>
      <w:lang w:eastAsia="hr-HR"/>
    </w:rPr>
  </w:style>
  <w:style w:type="paragraph" w:customStyle="1" w:styleId="xl205">
    <w:name w:val="xl205"/>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sz w:val="20"/>
      <w:szCs w:val="20"/>
      <w:lang w:eastAsia="hr-HR"/>
    </w:rPr>
  </w:style>
  <w:style w:type="paragraph" w:customStyle="1" w:styleId="xl206">
    <w:name w:val="xl206"/>
    <w:basedOn w:val="Normal"/>
    <w:rsid w:val="007F0B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sz w:val="20"/>
      <w:szCs w:val="20"/>
      <w:lang w:eastAsia="hr-HR"/>
    </w:rPr>
  </w:style>
  <w:style w:type="paragraph" w:customStyle="1" w:styleId="xl207">
    <w:name w:val="xl207"/>
    <w:basedOn w:val="Normal"/>
    <w:rsid w:val="007F0B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08">
    <w:name w:val="xl208"/>
    <w:basedOn w:val="Normal"/>
    <w:rsid w:val="007F0B2A"/>
    <w:pPr>
      <w:pBdr>
        <w:top w:val="single" w:sz="4" w:space="0" w:color="auto"/>
        <w:left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209">
    <w:name w:val="xl209"/>
    <w:basedOn w:val="Normal"/>
    <w:rsid w:val="007F0B2A"/>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210">
    <w:name w:val="xl210"/>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1">
    <w:name w:val="xl211"/>
    <w:basedOn w:val="Normal"/>
    <w:rsid w:val="007F0B2A"/>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212">
    <w:name w:val="xl212"/>
    <w:basedOn w:val="Normal"/>
    <w:rsid w:val="007F0B2A"/>
    <w:pP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3">
    <w:name w:val="xl213"/>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4">
    <w:name w:val="xl214"/>
    <w:basedOn w:val="Normal"/>
    <w:rsid w:val="007F0B2A"/>
    <w:pPr>
      <w:pBdr>
        <w:top w:val="single" w:sz="4" w:space="0" w:color="auto"/>
        <w:bottom w:val="single" w:sz="4" w:space="0" w:color="auto"/>
      </w:pBd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5">
    <w:name w:val="xl215"/>
    <w:basedOn w:val="Normal"/>
    <w:rsid w:val="007F0B2A"/>
    <w:pPr>
      <w:pBdr>
        <w:top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6">
    <w:name w:val="xl21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7">
    <w:name w:val="xl217"/>
    <w:basedOn w:val="Normal"/>
    <w:rsid w:val="007F0B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18">
    <w:name w:val="xl218"/>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219">
    <w:name w:val="xl21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220">
    <w:name w:val="xl220"/>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221">
    <w:name w:val="xl221"/>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0"/>
      <w:szCs w:val="20"/>
      <w:lang w:eastAsia="hr-HR"/>
    </w:rPr>
  </w:style>
  <w:style w:type="paragraph" w:customStyle="1" w:styleId="xl222">
    <w:name w:val="xl22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0"/>
      <w:szCs w:val="20"/>
      <w:lang w:eastAsia="hr-HR"/>
    </w:rPr>
  </w:style>
  <w:style w:type="paragraph" w:customStyle="1" w:styleId="xl223">
    <w:name w:val="xl223"/>
    <w:basedOn w:val="Normal"/>
    <w:rsid w:val="007F0B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color w:val="000000"/>
      <w:sz w:val="18"/>
      <w:szCs w:val="18"/>
      <w:lang w:eastAsia="hr-HR"/>
    </w:rPr>
  </w:style>
  <w:style w:type="paragraph" w:customStyle="1" w:styleId="xl224">
    <w:name w:val="xl224"/>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25">
    <w:name w:val="xl22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26">
    <w:name w:val="xl22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27">
    <w:name w:val="xl227"/>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28">
    <w:name w:val="xl228"/>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229">
    <w:name w:val="xl229"/>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30">
    <w:name w:val="xl230"/>
    <w:basedOn w:val="Normal"/>
    <w:rsid w:val="007F0B2A"/>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0"/>
      <w:szCs w:val="20"/>
      <w:lang w:eastAsia="hr-HR"/>
    </w:rPr>
  </w:style>
  <w:style w:type="paragraph" w:customStyle="1" w:styleId="xl231">
    <w:name w:val="xl231"/>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32">
    <w:name w:val="xl23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233">
    <w:name w:val="xl233"/>
    <w:basedOn w:val="Normal"/>
    <w:rsid w:val="007F0B2A"/>
    <w:pPr>
      <w:pBdr>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34">
    <w:name w:val="xl234"/>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35">
    <w:name w:val="xl235"/>
    <w:basedOn w:val="Normal"/>
    <w:rsid w:val="007F0B2A"/>
    <w:pPr>
      <w:pBdr>
        <w:top w:val="single" w:sz="4" w:space="0" w:color="auto"/>
        <w:left w:val="single" w:sz="4" w:space="0" w:color="auto"/>
        <w:bottom w:val="single" w:sz="4" w:space="0" w:color="auto"/>
        <w:right w:val="single" w:sz="4" w:space="0" w:color="auto"/>
      </w:pBdr>
      <w:shd w:val="clear" w:color="000000" w:fill="FF99CC"/>
      <w:spacing w:before="100" w:beforeAutospacing="1" w:after="100" w:afterAutospacing="1" w:line="240" w:lineRule="auto"/>
      <w:textAlignment w:val="center"/>
    </w:pPr>
    <w:rPr>
      <w:rFonts w:ascii="Arial" w:eastAsia="Times New Roman" w:hAnsi="Arial" w:cs="Arial"/>
      <w:b/>
      <w:bCs/>
      <w:color w:val="000000"/>
      <w:sz w:val="18"/>
      <w:szCs w:val="18"/>
      <w:lang w:eastAsia="hr-HR"/>
    </w:rPr>
  </w:style>
  <w:style w:type="paragraph" w:customStyle="1" w:styleId="xl236">
    <w:name w:val="xl23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37">
    <w:name w:val="xl237"/>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Arial" w:eastAsia="Times New Roman" w:hAnsi="Arial" w:cs="Arial"/>
      <w:b/>
      <w:bCs/>
      <w:color w:val="000000"/>
      <w:sz w:val="18"/>
      <w:szCs w:val="18"/>
      <w:lang w:eastAsia="hr-HR"/>
    </w:rPr>
  </w:style>
  <w:style w:type="paragraph" w:customStyle="1" w:styleId="xl238">
    <w:name w:val="xl238"/>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39">
    <w:name w:val="xl23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40">
    <w:name w:val="xl240"/>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1">
    <w:name w:val="xl241"/>
    <w:basedOn w:val="Normal"/>
    <w:rsid w:val="007F0B2A"/>
    <w:pPr>
      <w:pBdr>
        <w:top w:val="single" w:sz="4" w:space="0" w:color="auto"/>
        <w:left w:val="single" w:sz="4" w:space="0" w:color="auto"/>
        <w:bottom w:val="single" w:sz="4" w:space="0" w:color="auto"/>
        <w:right w:val="single" w:sz="4" w:space="0" w:color="auto"/>
      </w:pBdr>
      <w:shd w:val="clear" w:color="000000" w:fill="FF8080"/>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2">
    <w:name w:val="xl24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43">
    <w:name w:val="xl24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4">
    <w:name w:val="xl244"/>
    <w:basedOn w:val="Normal"/>
    <w:rsid w:val="007F0B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5">
    <w:name w:val="xl24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6">
    <w:name w:val="xl246"/>
    <w:basedOn w:val="Normal"/>
    <w:rsid w:val="007F0B2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7">
    <w:name w:val="xl247"/>
    <w:basedOn w:val="Normal"/>
    <w:rsid w:val="007F0B2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48">
    <w:name w:val="xl24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49">
    <w:name w:val="xl24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50">
    <w:name w:val="xl250"/>
    <w:basedOn w:val="Normal"/>
    <w:rsid w:val="007F0B2A"/>
    <w:pPr>
      <w:shd w:val="clear" w:color="000000" w:fill="CCCC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1">
    <w:name w:val="xl251"/>
    <w:basedOn w:val="Normal"/>
    <w:rsid w:val="007F0B2A"/>
    <w:pPr>
      <w:pBdr>
        <w:top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2">
    <w:name w:val="xl252"/>
    <w:basedOn w:val="Normal"/>
    <w:rsid w:val="007F0B2A"/>
    <w:pPr>
      <w:shd w:val="clear" w:color="000000" w:fill="CCCC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3">
    <w:name w:val="xl253"/>
    <w:basedOn w:val="Normal"/>
    <w:rsid w:val="007F0B2A"/>
    <w:pPr>
      <w:pBdr>
        <w:top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4">
    <w:name w:val="xl254"/>
    <w:basedOn w:val="Normal"/>
    <w:rsid w:val="007F0B2A"/>
    <w:pPr>
      <w:pBdr>
        <w:top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5">
    <w:name w:val="xl255"/>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6">
    <w:name w:val="xl256"/>
    <w:basedOn w:val="Normal"/>
    <w:rsid w:val="007F0B2A"/>
    <w:pPr>
      <w:pBdr>
        <w:top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57">
    <w:name w:val="xl257"/>
    <w:basedOn w:val="Normal"/>
    <w:rsid w:val="007F0B2A"/>
    <w:pPr>
      <w:pBdr>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58">
    <w:name w:val="xl258"/>
    <w:basedOn w:val="Normal"/>
    <w:rsid w:val="007F0B2A"/>
    <w:pPr>
      <w:pBdr>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59">
    <w:name w:val="xl259"/>
    <w:basedOn w:val="Normal"/>
    <w:rsid w:val="007F0B2A"/>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60">
    <w:name w:val="xl260"/>
    <w:basedOn w:val="Normal"/>
    <w:rsid w:val="007F0B2A"/>
    <w:pPr>
      <w:pBdr>
        <w:top w:val="single" w:sz="4" w:space="0" w:color="auto"/>
        <w:bottom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61">
    <w:name w:val="xl261"/>
    <w:basedOn w:val="Normal"/>
    <w:rsid w:val="007F0B2A"/>
    <w:pPr>
      <w:pBdr>
        <w:top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62">
    <w:name w:val="xl262"/>
    <w:basedOn w:val="Normal"/>
    <w:rsid w:val="007F0B2A"/>
    <w:pPr>
      <w:pBdr>
        <w:bottom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63">
    <w:name w:val="xl263"/>
    <w:basedOn w:val="Normal"/>
    <w:rsid w:val="007F0B2A"/>
    <w:pPr>
      <w:pBdr>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64">
    <w:name w:val="xl264"/>
    <w:basedOn w:val="Normal"/>
    <w:rsid w:val="007F0B2A"/>
    <w:pPr>
      <w:pBdr>
        <w:top w:val="single" w:sz="4" w:space="0" w:color="auto"/>
        <w:bottom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65">
    <w:name w:val="xl265"/>
    <w:basedOn w:val="Normal"/>
    <w:rsid w:val="007F0B2A"/>
    <w:pPr>
      <w:pBdr>
        <w:top w:val="single" w:sz="4" w:space="0" w:color="auto"/>
        <w:bottom w:val="single" w:sz="4" w:space="0" w:color="auto"/>
        <w:right w:val="single" w:sz="4" w:space="0" w:color="auto"/>
      </w:pBdr>
      <w:shd w:val="clear" w:color="000000" w:fill="333333"/>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66">
    <w:name w:val="xl266"/>
    <w:basedOn w:val="Normal"/>
    <w:rsid w:val="007F0B2A"/>
    <w:pPr>
      <w:pBdr>
        <w:bottom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67">
    <w:name w:val="xl267"/>
    <w:basedOn w:val="Normal"/>
    <w:rsid w:val="007F0B2A"/>
    <w:pPr>
      <w:pBdr>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18"/>
      <w:szCs w:val="18"/>
      <w:lang w:eastAsia="hr-HR"/>
    </w:rPr>
  </w:style>
  <w:style w:type="paragraph" w:customStyle="1" w:styleId="xl268">
    <w:name w:val="xl268"/>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69">
    <w:name w:val="xl26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70">
    <w:name w:val="xl270"/>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271">
    <w:name w:val="xl271"/>
    <w:basedOn w:val="Normal"/>
    <w:rsid w:val="007F0B2A"/>
    <w:pPr>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272">
    <w:name w:val="xl27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73">
    <w:name w:val="xl273"/>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20"/>
      <w:szCs w:val="20"/>
      <w:lang w:eastAsia="hr-HR"/>
    </w:rPr>
  </w:style>
  <w:style w:type="paragraph" w:customStyle="1" w:styleId="xl274">
    <w:name w:val="xl27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75">
    <w:name w:val="xl27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276">
    <w:name w:val="xl276"/>
    <w:basedOn w:val="Normal"/>
    <w:rsid w:val="007F0B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77">
    <w:name w:val="xl277"/>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278">
    <w:name w:val="xl278"/>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279">
    <w:name w:val="xl279"/>
    <w:basedOn w:val="Normal"/>
    <w:rsid w:val="007F0B2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280">
    <w:name w:val="xl280"/>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281">
    <w:name w:val="xl281"/>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282">
    <w:name w:val="xl282"/>
    <w:basedOn w:val="Normal"/>
    <w:rsid w:val="007F0B2A"/>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283">
    <w:name w:val="xl283"/>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sz w:val="20"/>
      <w:szCs w:val="20"/>
      <w:lang w:eastAsia="hr-HR"/>
    </w:rPr>
  </w:style>
  <w:style w:type="paragraph" w:customStyle="1" w:styleId="xl284">
    <w:name w:val="xl28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285">
    <w:name w:val="xl285"/>
    <w:basedOn w:val="Normal"/>
    <w:rsid w:val="007F0B2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286">
    <w:name w:val="xl28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87">
    <w:name w:val="xl287"/>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88">
    <w:name w:val="xl28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289">
    <w:name w:val="xl289"/>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top"/>
    </w:pPr>
    <w:rPr>
      <w:rFonts w:ascii="Arial" w:eastAsia="Times New Roman" w:hAnsi="Arial" w:cs="Arial"/>
      <w:b/>
      <w:bCs/>
      <w:color w:val="000000"/>
      <w:sz w:val="18"/>
      <w:szCs w:val="18"/>
      <w:lang w:eastAsia="hr-HR"/>
    </w:rPr>
  </w:style>
  <w:style w:type="paragraph" w:customStyle="1" w:styleId="xl290">
    <w:name w:val="xl290"/>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91">
    <w:name w:val="xl291"/>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92">
    <w:name w:val="xl292"/>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293">
    <w:name w:val="xl293"/>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94">
    <w:name w:val="xl294"/>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295">
    <w:name w:val="xl295"/>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eastAsia="Times New Roman" w:hAnsi="Arial" w:cs="Arial"/>
      <w:b/>
      <w:bCs/>
      <w:color w:val="000000"/>
      <w:sz w:val="18"/>
      <w:szCs w:val="18"/>
      <w:lang w:eastAsia="hr-HR"/>
    </w:rPr>
  </w:style>
  <w:style w:type="paragraph" w:customStyle="1" w:styleId="xl296">
    <w:name w:val="xl296"/>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97">
    <w:name w:val="xl297"/>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298">
    <w:name w:val="xl298"/>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299">
    <w:name w:val="xl299"/>
    <w:basedOn w:val="Normal"/>
    <w:rsid w:val="007F0B2A"/>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00">
    <w:name w:val="xl300"/>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01">
    <w:name w:val="xl30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02">
    <w:name w:val="xl30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03">
    <w:name w:val="xl30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04">
    <w:name w:val="xl30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305">
    <w:name w:val="xl30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06">
    <w:name w:val="xl30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07">
    <w:name w:val="xl307"/>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08">
    <w:name w:val="xl30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09">
    <w:name w:val="xl30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10">
    <w:name w:val="xl310"/>
    <w:basedOn w:val="Normal"/>
    <w:rsid w:val="007F0B2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311">
    <w:name w:val="xl311"/>
    <w:basedOn w:val="Normal"/>
    <w:rsid w:val="007F0B2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12">
    <w:name w:val="xl312"/>
    <w:basedOn w:val="Normal"/>
    <w:rsid w:val="007F0B2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13">
    <w:name w:val="xl31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314">
    <w:name w:val="xl314"/>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hr-HR"/>
    </w:rPr>
  </w:style>
  <w:style w:type="paragraph" w:customStyle="1" w:styleId="xl315">
    <w:name w:val="xl31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sz w:val="18"/>
      <w:szCs w:val="18"/>
      <w:lang w:eastAsia="hr-HR"/>
    </w:rPr>
  </w:style>
  <w:style w:type="paragraph" w:customStyle="1" w:styleId="xl316">
    <w:name w:val="xl316"/>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17">
    <w:name w:val="xl317"/>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18">
    <w:name w:val="xl318"/>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xl319">
    <w:name w:val="xl31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20">
    <w:name w:val="xl320"/>
    <w:basedOn w:val="Normal"/>
    <w:rsid w:val="007F0B2A"/>
    <w:pP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21">
    <w:name w:val="xl321"/>
    <w:basedOn w:val="Normal"/>
    <w:rsid w:val="007F0B2A"/>
    <w:pPr>
      <w:shd w:val="clear" w:color="000000" w:fill="FFFFFF"/>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322">
    <w:name w:val="xl322"/>
    <w:basedOn w:val="Normal"/>
    <w:rsid w:val="007F0B2A"/>
    <w:pPr>
      <w:shd w:val="clear" w:color="000000" w:fill="FFFFFF"/>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323">
    <w:name w:val="xl323"/>
    <w:basedOn w:val="Normal"/>
    <w:rsid w:val="007F0B2A"/>
    <w:pPr>
      <w:shd w:val="clear" w:color="000000" w:fill="FFFF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324">
    <w:name w:val="xl324"/>
    <w:basedOn w:val="Normal"/>
    <w:rsid w:val="007F0B2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25">
    <w:name w:val="xl325"/>
    <w:basedOn w:val="Normal"/>
    <w:rsid w:val="007F0B2A"/>
    <w:pP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26">
    <w:name w:val="xl326"/>
    <w:basedOn w:val="Normal"/>
    <w:rsid w:val="007F0B2A"/>
    <w:pP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27">
    <w:name w:val="xl327"/>
    <w:basedOn w:val="Normal"/>
    <w:rsid w:val="007F0B2A"/>
    <w:pP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28">
    <w:name w:val="xl328"/>
    <w:basedOn w:val="Normal"/>
    <w:rsid w:val="007F0B2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hr-HR"/>
    </w:rPr>
  </w:style>
  <w:style w:type="paragraph" w:customStyle="1" w:styleId="xl329">
    <w:name w:val="xl329"/>
    <w:basedOn w:val="Normal"/>
    <w:rsid w:val="007F0B2A"/>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hr-HR"/>
    </w:rPr>
  </w:style>
  <w:style w:type="paragraph" w:customStyle="1" w:styleId="xl330">
    <w:name w:val="xl330"/>
    <w:basedOn w:val="Normal"/>
    <w:rsid w:val="007F0B2A"/>
    <w:pPr>
      <w:pBdr>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0"/>
      <w:szCs w:val="20"/>
      <w:lang w:eastAsia="hr-HR"/>
    </w:rPr>
  </w:style>
  <w:style w:type="paragraph" w:customStyle="1" w:styleId="xl331">
    <w:name w:val="xl331"/>
    <w:basedOn w:val="Normal"/>
    <w:rsid w:val="007F0B2A"/>
    <w:pPr>
      <w:shd w:val="clear" w:color="000000" w:fill="FFFFFF"/>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332">
    <w:name w:val="xl332"/>
    <w:basedOn w:val="Normal"/>
    <w:rsid w:val="007F0B2A"/>
    <w:pPr>
      <w:pBdr>
        <w:top w:val="single" w:sz="8"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33">
    <w:name w:val="xl333"/>
    <w:basedOn w:val="Normal"/>
    <w:rsid w:val="007F0B2A"/>
    <w:pPr>
      <w:pBdr>
        <w:top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34">
    <w:name w:val="xl334"/>
    <w:basedOn w:val="Normal"/>
    <w:rsid w:val="007F0B2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335">
    <w:name w:val="xl335"/>
    <w:basedOn w:val="Normal"/>
    <w:rsid w:val="007F0B2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hr-HR"/>
    </w:rPr>
  </w:style>
  <w:style w:type="paragraph" w:customStyle="1" w:styleId="xl336">
    <w:name w:val="xl336"/>
    <w:basedOn w:val="Normal"/>
    <w:rsid w:val="007F0B2A"/>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hr-HR"/>
    </w:rPr>
  </w:style>
  <w:style w:type="paragraph" w:customStyle="1" w:styleId="xl337">
    <w:name w:val="xl337"/>
    <w:basedOn w:val="Normal"/>
    <w:rsid w:val="007F0B2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338">
    <w:name w:val="xl338"/>
    <w:basedOn w:val="Normal"/>
    <w:rsid w:val="007F0B2A"/>
    <w:pP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39">
    <w:name w:val="xl33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340">
    <w:name w:val="xl340"/>
    <w:basedOn w:val="Normal"/>
    <w:rsid w:val="007F0B2A"/>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41">
    <w:name w:val="xl341"/>
    <w:basedOn w:val="Normal"/>
    <w:rsid w:val="007F0B2A"/>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42">
    <w:name w:val="xl342"/>
    <w:basedOn w:val="Normal"/>
    <w:rsid w:val="007F0B2A"/>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343">
    <w:name w:val="xl343"/>
    <w:basedOn w:val="Normal"/>
    <w:rsid w:val="007F0B2A"/>
    <w:pPr>
      <w:pBdr>
        <w:top w:val="single" w:sz="8" w:space="0" w:color="auto"/>
      </w:pBdr>
      <w:shd w:val="clear" w:color="000000" w:fill="0000CC"/>
      <w:spacing w:before="100" w:beforeAutospacing="1" w:after="100" w:afterAutospacing="1" w:line="240" w:lineRule="auto"/>
    </w:pPr>
    <w:rPr>
      <w:rFonts w:ascii="Arial" w:eastAsia="Times New Roman" w:hAnsi="Arial" w:cs="Arial"/>
      <w:sz w:val="20"/>
      <w:szCs w:val="20"/>
      <w:lang w:eastAsia="hr-HR"/>
    </w:rPr>
  </w:style>
  <w:style w:type="paragraph" w:customStyle="1" w:styleId="xl344">
    <w:name w:val="xl34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45">
    <w:name w:val="xl34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46">
    <w:name w:val="xl34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47">
    <w:name w:val="xl347"/>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348">
    <w:name w:val="xl348"/>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349">
    <w:name w:val="xl34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350">
    <w:name w:val="xl350"/>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351">
    <w:name w:val="xl35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352">
    <w:name w:val="xl35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53">
    <w:name w:val="xl353"/>
    <w:basedOn w:val="Normal"/>
    <w:rsid w:val="007F0B2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textAlignment w:val="top"/>
    </w:pPr>
    <w:rPr>
      <w:rFonts w:ascii="Arial" w:eastAsia="Times New Roman" w:hAnsi="Arial" w:cs="Arial"/>
      <w:b/>
      <w:bCs/>
      <w:color w:val="000000"/>
      <w:sz w:val="18"/>
      <w:szCs w:val="18"/>
      <w:lang w:eastAsia="hr-HR"/>
    </w:rPr>
  </w:style>
  <w:style w:type="paragraph" w:customStyle="1" w:styleId="xl354">
    <w:name w:val="xl354"/>
    <w:basedOn w:val="Normal"/>
    <w:rsid w:val="007F0B2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355">
    <w:name w:val="xl355"/>
    <w:basedOn w:val="Normal"/>
    <w:rsid w:val="007F0B2A"/>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Arial" w:eastAsia="Times New Roman" w:hAnsi="Arial" w:cs="Arial"/>
      <w:b/>
      <w:bCs/>
      <w:sz w:val="18"/>
      <w:szCs w:val="18"/>
      <w:lang w:eastAsia="hr-HR"/>
    </w:rPr>
  </w:style>
  <w:style w:type="paragraph" w:customStyle="1" w:styleId="xl356">
    <w:name w:val="xl356"/>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57">
    <w:name w:val="xl357"/>
    <w:basedOn w:val="Normal"/>
    <w:rsid w:val="007F0B2A"/>
    <w:pP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58">
    <w:name w:val="xl358"/>
    <w:basedOn w:val="Normal"/>
    <w:rsid w:val="007F0B2A"/>
    <w:pPr>
      <w:pBdr>
        <w:top w:val="single" w:sz="4" w:space="0" w:color="auto"/>
        <w:bottom w:val="single" w:sz="4" w:space="0" w:color="auto"/>
      </w:pBdr>
      <w:shd w:val="clear" w:color="000000" w:fill="9999CB"/>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59">
    <w:name w:val="xl359"/>
    <w:basedOn w:val="Normal"/>
    <w:rsid w:val="007F0B2A"/>
    <w:pPr>
      <w:pBdr>
        <w:top w:val="single" w:sz="4" w:space="0" w:color="auto"/>
        <w:bottom w:val="single" w:sz="4" w:space="0" w:color="auto"/>
        <w:right w:val="single" w:sz="4" w:space="0" w:color="auto"/>
      </w:pBdr>
      <w:shd w:val="clear" w:color="000000" w:fill="9999CB"/>
      <w:spacing w:before="100" w:beforeAutospacing="1" w:after="100" w:afterAutospacing="1" w:line="240" w:lineRule="auto"/>
    </w:pPr>
    <w:rPr>
      <w:rFonts w:ascii="Arial" w:eastAsia="Times New Roman" w:hAnsi="Arial" w:cs="Arial"/>
      <w:b/>
      <w:bCs/>
      <w:sz w:val="18"/>
      <w:szCs w:val="18"/>
      <w:lang w:eastAsia="hr-HR"/>
    </w:rPr>
  </w:style>
  <w:style w:type="paragraph" w:customStyle="1" w:styleId="xl360">
    <w:name w:val="xl360"/>
    <w:basedOn w:val="Normal"/>
    <w:rsid w:val="007F0B2A"/>
    <w:pPr>
      <w:pBdr>
        <w:top w:val="single" w:sz="4" w:space="0" w:color="auto"/>
        <w:left w:val="single" w:sz="4" w:space="0" w:color="auto"/>
        <w:bottom w:val="single" w:sz="4" w:space="0" w:color="auto"/>
        <w:right w:val="single" w:sz="4" w:space="0" w:color="auto"/>
      </w:pBdr>
      <w:shd w:val="clear" w:color="000000" w:fill="9999CB"/>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61">
    <w:name w:val="xl361"/>
    <w:basedOn w:val="Normal"/>
    <w:rsid w:val="007F0B2A"/>
    <w:pPr>
      <w:pBdr>
        <w:top w:val="single" w:sz="4" w:space="0" w:color="auto"/>
        <w:bottom w:val="single" w:sz="4" w:space="0" w:color="auto"/>
        <w:right w:val="single" w:sz="4" w:space="0" w:color="auto"/>
      </w:pBdr>
      <w:shd w:val="clear" w:color="000000" w:fill="9999CB"/>
      <w:spacing w:before="100" w:beforeAutospacing="1" w:after="100" w:afterAutospacing="1" w:line="240" w:lineRule="auto"/>
    </w:pPr>
    <w:rPr>
      <w:rFonts w:ascii="Arial" w:eastAsia="Times New Roman" w:hAnsi="Arial" w:cs="Arial"/>
      <w:b/>
      <w:bCs/>
      <w:sz w:val="18"/>
      <w:szCs w:val="18"/>
      <w:lang w:eastAsia="hr-HR"/>
    </w:rPr>
  </w:style>
  <w:style w:type="paragraph" w:customStyle="1" w:styleId="xl362">
    <w:name w:val="xl36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63">
    <w:name w:val="xl36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64">
    <w:name w:val="xl36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365">
    <w:name w:val="xl365"/>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66">
    <w:name w:val="xl36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67">
    <w:name w:val="xl367"/>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368">
    <w:name w:val="xl368"/>
    <w:basedOn w:val="Normal"/>
    <w:rsid w:val="007F0B2A"/>
    <w:pPr>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369">
    <w:name w:val="xl369"/>
    <w:basedOn w:val="Normal"/>
    <w:rsid w:val="007F0B2A"/>
    <w:pPr>
      <w:shd w:val="clear" w:color="000000" w:fill="FFFFFF"/>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370">
    <w:name w:val="xl370"/>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71">
    <w:name w:val="xl37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372">
    <w:name w:val="xl37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20"/>
      <w:szCs w:val="20"/>
      <w:lang w:eastAsia="hr-HR"/>
    </w:rPr>
  </w:style>
  <w:style w:type="paragraph" w:customStyle="1" w:styleId="xl373">
    <w:name w:val="xl37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color w:val="FF0000"/>
      <w:sz w:val="20"/>
      <w:szCs w:val="20"/>
      <w:lang w:eastAsia="hr-HR"/>
    </w:rPr>
  </w:style>
  <w:style w:type="paragraph" w:customStyle="1" w:styleId="xl374">
    <w:name w:val="xl374"/>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20"/>
      <w:szCs w:val="20"/>
      <w:lang w:eastAsia="hr-HR"/>
    </w:rPr>
  </w:style>
  <w:style w:type="paragraph" w:customStyle="1" w:styleId="xl375">
    <w:name w:val="xl375"/>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376">
    <w:name w:val="xl376"/>
    <w:basedOn w:val="Normal"/>
    <w:rsid w:val="007F0B2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377">
    <w:name w:val="xl377"/>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378">
    <w:name w:val="xl378"/>
    <w:basedOn w:val="Normal"/>
    <w:rsid w:val="007F0B2A"/>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20"/>
      <w:szCs w:val="20"/>
      <w:lang w:eastAsia="hr-HR"/>
    </w:rPr>
  </w:style>
  <w:style w:type="paragraph" w:customStyle="1" w:styleId="xl379">
    <w:name w:val="xl379"/>
    <w:basedOn w:val="Normal"/>
    <w:rsid w:val="007F0B2A"/>
    <w:pPr>
      <w:pBdr>
        <w:top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80">
    <w:name w:val="xl380"/>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pPr>
    <w:rPr>
      <w:rFonts w:ascii="Arial" w:eastAsia="Times New Roman" w:hAnsi="Arial" w:cs="Arial"/>
      <w:b/>
      <w:bCs/>
      <w:color w:val="000000"/>
      <w:sz w:val="18"/>
      <w:szCs w:val="18"/>
      <w:lang w:eastAsia="hr-HR"/>
    </w:rPr>
  </w:style>
  <w:style w:type="paragraph" w:customStyle="1" w:styleId="xl381">
    <w:name w:val="xl381"/>
    <w:basedOn w:val="Normal"/>
    <w:rsid w:val="007F0B2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82">
    <w:name w:val="xl382"/>
    <w:basedOn w:val="Normal"/>
    <w:rsid w:val="007F0B2A"/>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383">
    <w:name w:val="xl383"/>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384">
    <w:name w:val="xl384"/>
    <w:basedOn w:val="Normal"/>
    <w:rsid w:val="007F0B2A"/>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385">
    <w:name w:val="xl385"/>
    <w:basedOn w:val="Normal"/>
    <w:rsid w:val="007F0B2A"/>
    <w:pPr>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386">
    <w:name w:val="xl386"/>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87">
    <w:name w:val="xl387"/>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18"/>
      <w:szCs w:val="18"/>
      <w:lang w:eastAsia="hr-HR"/>
    </w:rPr>
  </w:style>
  <w:style w:type="paragraph" w:customStyle="1" w:styleId="xl388">
    <w:name w:val="xl38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389">
    <w:name w:val="xl38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hr-HR"/>
    </w:rPr>
  </w:style>
  <w:style w:type="paragraph" w:customStyle="1" w:styleId="xl390">
    <w:name w:val="xl390"/>
    <w:basedOn w:val="Normal"/>
    <w:rsid w:val="007F0B2A"/>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18"/>
      <w:szCs w:val="18"/>
      <w:lang w:eastAsia="hr-HR"/>
    </w:rPr>
  </w:style>
  <w:style w:type="paragraph" w:customStyle="1" w:styleId="xl391">
    <w:name w:val="xl391"/>
    <w:basedOn w:val="Normal"/>
    <w:rsid w:val="007F0B2A"/>
    <w:pPr>
      <w:pBdr>
        <w:top w:val="single" w:sz="4" w:space="0" w:color="auto"/>
        <w:left w:val="single" w:sz="8" w:space="0" w:color="auto"/>
        <w:bottom w:val="double" w:sz="6" w:space="0" w:color="auto"/>
        <w:right w:val="single" w:sz="8"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6"/>
      <w:szCs w:val="16"/>
      <w:lang w:eastAsia="hr-HR"/>
    </w:rPr>
  </w:style>
  <w:style w:type="paragraph" w:customStyle="1" w:styleId="xl392">
    <w:name w:val="xl392"/>
    <w:basedOn w:val="Normal"/>
    <w:rsid w:val="007F0B2A"/>
    <w:pP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393">
    <w:name w:val="xl393"/>
    <w:basedOn w:val="Normal"/>
    <w:rsid w:val="007F0B2A"/>
    <w:pPr>
      <w:shd w:val="clear" w:color="000000" w:fill="FFFF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394">
    <w:name w:val="xl394"/>
    <w:basedOn w:val="Normal"/>
    <w:rsid w:val="007F0B2A"/>
    <w:pPr>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395">
    <w:name w:val="xl395"/>
    <w:basedOn w:val="Normal"/>
    <w:rsid w:val="007F0B2A"/>
    <w:pPr>
      <w:shd w:val="clear" w:color="000000" w:fill="FFFFFF"/>
      <w:spacing w:before="100" w:beforeAutospacing="1" w:after="100" w:afterAutospacing="1" w:line="240" w:lineRule="auto"/>
    </w:pPr>
    <w:rPr>
      <w:rFonts w:ascii="Arial" w:eastAsia="Times New Roman" w:hAnsi="Arial" w:cs="Arial"/>
      <w:b/>
      <w:bCs/>
      <w:sz w:val="24"/>
      <w:szCs w:val="24"/>
      <w:lang w:eastAsia="hr-HR"/>
    </w:rPr>
  </w:style>
  <w:style w:type="paragraph" w:customStyle="1" w:styleId="xl396">
    <w:name w:val="xl396"/>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hr-HR"/>
    </w:rPr>
  </w:style>
  <w:style w:type="paragraph" w:customStyle="1" w:styleId="xl397">
    <w:name w:val="xl397"/>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hr-HR"/>
    </w:rPr>
  </w:style>
  <w:style w:type="paragraph" w:customStyle="1" w:styleId="xl398">
    <w:name w:val="xl39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hr-HR"/>
    </w:rPr>
  </w:style>
  <w:style w:type="paragraph" w:customStyle="1" w:styleId="xl399">
    <w:name w:val="xl399"/>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hr-HR"/>
    </w:rPr>
  </w:style>
  <w:style w:type="paragraph" w:customStyle="1" w:styleId="xl400">
    <w:name w:val="xl400"/>
    <w:basedOn w:val="Normal"/>
    <w:rsid w:val="007F0B2A"/>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401">
    <w:name w:val="xl40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000000"/>
      <w:sz w:val="18"/>
      <w:szCs w:val="18"/>
      <w:lang w:eastAsia="hr-HR"/>
    </w:rPr>
  </w:style>
  <w:style w:type="paragraph" w:customStyle="1" w:styleId="xl402">
    <w:name w:val="xl402"/>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403">
    <w:name w:val="xl403"/>
    <w:basedOn w:val="Normal"/>
    <w:rsid w:val="007F0B2A"/>
    <w:pPr>
      <w:spacing w:before="100" w:beforeAutospacing="1" w:after="100" w:afterAutospacing="1" w:line="240" w:lineRule="auto"/>
      <w:jc w:val="center"/>
    </w:pPr>
    <w:rPr>
      <w:rFonts w:ascii="Arial" w:eastAsia="Times New Roman" w:hAnsi="Arial" w:cs="Arial"/>
      <w:color w:val="FF0000"/>
      <w:sz w:val="18"/>
      <w:szCs w:val="18"/>
      <w:lang w:eastAsia="hr-HR"/>
    </w:rPr>
  </w:style>
  <w:style w:type="paragraph" w:customStyle="1" w:styleId="xl404">
    <w:name w:val="xl40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sz w:val="20"/>
      <w:szCs w:val="20"/>
      <w:lang w:eastAsia="hr-HR"/>
    </w:rPr>
  </w:style>
  <w:style w:type="paragraph" w:customStyle="1" w:styleId="xl405">
    <w:name w:val="xl405"/>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406">
    <w:name w:val="xl406"/>
    <w:basedOn w:val="Normal"/>
    <w:rsid w:val="007F0B2A"/>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407">
    <w:name w:val="xl407"/>
    <w:basedOn w:val="Normal"/>
    <w:rsid w:val="007F0B2A"/>
    <w:pPr>
      <w:pBdr>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08">
    <w:name w:val="xl408"/>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09">
    <w:name w:val="xl409"/>
    <w:basedOn w:val="Normal"/>
    <w:rsid w:val="007F0B2A"/>
    <w:pPr>
      <w:pBdr>
        <w:top w:val="single" w:sz="4" w:space="0" w:color="auto"/>
        <w:left w:val="single" w:sz="4" w:space="0" w:color="auto"/>
        <w:bottom w:val="single" w:sz="4" w:space="0" w:color="auto"/>
        <w:right w:val="single" w:sz="4" w:space="0" w:color="auto"/>
      </w:pBdr>
      <w:shd w:val="clear" w:color="000000" w:fill="CCCCFF"/>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10">
    <w:name w:val="xl410"/>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xl411">
    <w:name w:val="xl411"/>
    <w:basedOn w:val="Normal"/>
    <w:rsid w:val="007F0B2A"/>
    <w:pP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412">
    <w:name w:val="xl412"/>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xl413">
    <w:name w:val="xl413"/>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xl414">
    <w:name w:val="xl414"/>
    <w:basedOn w:val="Normal"/>
    <w:rsid w:val="007F0B2A"/>
    <w:pPr>
      <w:pBdr>
        <w:bottom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15">
    <w:name w:val="xl415"/>
    <w:basedOn w:val="Normal"/>
    <w:rsid w:val="007F0B2A"/>
    <w:pPr>
      <w:pBdr>
        <w:bottom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16">
    <w:name w:val="xl416"/>
    <w:basedOn w:val="Normal"/>
    <w:rsid w:val="007F0B2A"/>
    <w:pPr>
      <w:spacing w:before="100" w:beforeAutospacing="1" w:after="100" w:afterAutospacing="1" w:line="240" w:lineRule="auto"/>
      <w:jc w:val="center"/>
    </w:pPr>
    <w:rPr>
      <w:rFonts w:ascii="Arial" w:eastAsia="Times New Roman" w:hAnsi="Arial" w:cs="Arial"/>
      <w:sz w:val="18"/>
      <w:szCs w:val="18"/>
      <w:lang w:eastAsia="hr-HR"/>
    </w:rPr>
  </w:style>
  <w:style w:type="paragraph" w:customStyle="1" w:styleId="xl417">
    <w:name w:val="xl417"/>
    <w:basedOn w:val="Normal"/>
    <w:rsid w:val="007F0B2A"/>
    <w:pPr>
      <w:spacing w:before="100" w:beforeAutospacing="1" w:after="100" w:afterAutospacing="1" w:line="240" w:lineRule="auto"/>
    </w:pPr>
    <w:rPr>
      <w:rFonts w:ascii="Arial" w:eastAsia="Times New Roman" w:hAnsi="Arial" w:cs="Arial"/>
      <w:sz w:val="18"/>
      <w:szCs w:val="18"/>
      <w:lang w:eastAsia="hr-HR"/>
    </w:rPr>
  </w:style>
  <w:style w:type="paragraph" w:customStyle="1" w:styleId="xl418">
    <w:name w:val="xl418"/>
    <w:basedOn w:val="Normal"/>
    <w:rsid w:val="007F0B2A"/>
    <w:pPr>
      <w:pBdr>
        <w:bottom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19">
    <w:name w:val="xl419"/>
    <w:basedOn w:val="Normal"/>
    <w:rsid w:val="007F0B2A"/>
    <w:pPr>
      <w:pBdr>
        <w:bottom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20">
    <w:name w:val="xl420"/>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18"/>
      <w:szCs w:val="18"/>
      <w:lang w:eastAsia="hr-HR"/>
    </w:rPr>
  </w:style>
  <w:style w:type="paragraph" w:customStyle="1" w:styleId="xl421">
    <w:name w:val="xl421"/>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sz w:val="18"/>
      <w:szCs w:val="18"/>
      <w:lang w:eastAsia="hr-HR"/>
    </w:rPr>
  </w:style>
  <w:style w:type="paragraph" w:customStyle="1" w:styleId="xl422">
    <w:name w:val="xl422"/>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18"/>
      <w:szCs w:val="18"/>
      <w:lang w:eastAsia="hr-HR"/>
    </w:rPr>
  </w:style>
  <w:style w:type="paragraph" w:customStyle="1" w:styleId="xl423">
    <w:name w:val="xl423"/>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424">
    <w:name w:val="xl424"/>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w:eastAsia="Times New Roman" w:hAnsi="Arial" w:cs="Arial"/>
      <w:b/>
      <w:bCs/>
      <w:color w:val="FF0000"/>
      <w:sz w:val="18"/>
      <w:szCs w:val="18"/>
      <w:lang w:eastAsia="hr-HR"/>
    </w:rPr>
  </w:style>
  <w:style w:type="paragraph" w:customStyle="1" w:styleId="xl425">
    <w:name w:val="xl425"/>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18"/>
      <w:szCs w:val="18"/>
      <w:lang w:eastAsia="hr-HR"/>
    </w:rPr>
  </w:style>
  <w:style w:type="paragraph" w:customStyle="1" w:styleId="xl426">
    <w:name w:val="xl426"/>
    <w:basedOn w:val="Normal"/>
    <w:rsid w:val="007F0B2A"/>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Arial" w:eastAsia="Times New Roman" w:hAnsi="Arial" w:cs="Arial"/>
      <w:b/>
      <w:bCs/>
      <w:color w:val="FF0000"/>
      <w:sz w:val="24"/>
      <w:szCs w:val="24"/>
      <w:lang w:eastAsia="hr-HR"/>
    </w:rPr>
  </w:style>
  <w:style w:type="paragraph" w:customStyle="1" w:styleId="xl427">
    <w:name w:val="xl427"/>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FF0000"/>
      <w:sz w:val="18"/>
      <w:szCs w:val="18"/>
      <w:lang w:eastAsia="hr-HR"/>
    </w:rPr>
  </w:style>
  <w:style w:type="paragraph" w:customStyle="1" w:styleId="xl428">
    <w:name w:val="xl428"/>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18"/>
      <w:szCs w:val="18"/>
      <w:lang w:eastAsia="hr-HR"/>
    </w:rPr>
  </w:style>
  <w:style w:type="paragraph" w:customStyle="1" w:styleId="xl429">
    <w:name w:val="xl429"/>
    <w:basedOn w:val="Normal"/>
    <w:rsid w:val="007F0B2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430">
    <w:name w:val="xl430"/>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FF0000"/>
      <w:sz w:val="18"/>
      <w:szCs w:val="18"/>
      <w:lang w:eastAsia="hr-HR"/>
    </w:rPr>
  </w:style>
  <w:style w:type="paragraph" w:customStyle="1" w:styleId="xl431">
    <w:name w:val="xl431"/>
    <w:basedOn w:val="Normal"/>
    <w:rsid w:val="007F0B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32">
    <w:name w:val="xl432"/>
    <w:basedOn w:val="Normal"/>
    <w:rsid w:val="007F0B2A"/>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433">
    <w:name w:val="xl433"/>
    <w:basedOn w:val="Normal"/>
    <w:rsid w:val="007F0B2A"/>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pPr>
    <w:rPr>
      <w:rFonts w:ascii="Arial" w:eastAsia="Times New Roman" w:hAnsi="Arial" w:cs="Arial"/>
      <w:b/>
      <w:bCs/>
      <w:sz w:val="18"/>
      <w:szCs w:val="18"/>
      <w:lang w:eastAsia="hr-HR"/>
    </w:rPr>
  </w:style>
  <w:style w:type="paragraph" w:customStyle="1" w:styleId="xl434">
    <w:name w:val="xl434"/>
    <w:basedOn w:val="Normal"/>
    <w:rsid w:val="007F0B2A"/>
    <w:pPr>
      <w:pBdr>
        <w:top w:val="single" w:sz="4" w:space="0" w:color="auto"/>
        <w:left w:val="single" w:sz="4" w:space="0" w:color="auto"/>
        <w:bottom w:val="single" w:sz="4" w:space="0" w:color="auto"/>
        <w:right w:val="single" w:sz="4" w:space="0" w:color="auto"/>
      </w:pBdr>
      <w:shd w:val="clear" w:color="000000" w:fill="FF7C80"/>
      <w:spacing w:before="100" w:beforeAutospacing="1" w:after="100" w:afterAutospacing="1" w:line="240" w:lineRule="auto"/>
    </w:pPr>
    <w:rPr>
      <w:rFonts w:ascii="Arial" w:eastAsia="Times New Roman" w:hAnsi="Arial" w:cs="Arial"/>
      <w:sz w:val="20"/>
      <w:szCs w:val="20"/>
      <w:lang w:eastAsia="hr-HR"/>
    </w:rPr>
  </w:style>
  <w:style w:type="paragraph" w:customStyle="1" w:styleId="xl435">
    <w:name w:val="xl435"/>
    <w:basedOn w:val="Normal"/>
    <w:rsid w:val="007F0B2A"/>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436">
    <w:name w:val="xl436"/>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437">
    <w:name w:val="xl437"/>
    <w:basedOn w:val="Normal"/>
    <w:rsid w:val="007F0B2A"/>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438">
    <w:name w:val="xl438"/>
    <w:basedOn w:val="Normal"/>
    <w:rsid w:val="007F0B2A"/>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hr-HR"/>
    </w:rPr>
  </w:style>
  <w:style w:type="paragraph" w:customStyle="1" w:styleId="xl439">
    <w:name w:val="xl439"/>
    <w:basedOn w:val="Normal"/>
    <w:rsid w:val="007F0B2A"/>
    <w:pPr>
      <w:pBdr>
        <w:top w:val="single" w:sz="4" w:space="0" w:color="auto"/>
        <w:bottom w:val="single" w:sz="4" w:space="0" w:color="auto"/>
      </w:pBdr>
      <w:shd w:val="clear" w:color="000000" w:fill="00000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440">
    <w:name w:val="xl440"/>
    <w:basedOn w:val="Normal"/>
    <w:rsid w:val="007F0B2A"/>
    <w:pPr>
      <w:pBdr>
        <w:top w:val="single" w:sz="4" w:space="0" w:color="auto"/>
        <w:bottom w:val="single" w:sz="4" w:space="0" w:color="auto"/>
        <w:right w:val="single" w:sz="4" w:space="0" w:color="auto"/>
      </w:pBdr>
      <w:shd w:val="clear" w:color="000000" w:fill="00000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441">
    <w:name w:val="xl441"/>
    <w:basedOn w:val="Normal"/>
    <w:rsid w:val="007F0B2A"/>
    <w:pPr>
      <w:pBdr>
        <w:top w:val="single" w:sz="4" w:space="0" w:color="auto"/>
        <w:bottom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442">
    <w:name w:val="xl442"/>
    <w:basedOn w:val="Normal"/>
    <w:rsid w:val="007F0B2A"/>
    <w:pPr>
      <w:pBdr>
        <w:top w:val="single" w:sz="4" w:space="0" w:color="auto"/>
        <w:bottom w:val="single" w:sz="4" w:space="0" w:color="auto"/>
        <w:right w:val="single" w:sz="4" w:space="0" w:color="auto"/>
      </w:pBdr>
      <w:shd w:val="clear" w:color="000000" w:fill="808080"/>
      <w:spacing w:before="100" w:beforeAutospacing="1" w:after="100" w:afterAutospacing="1" w:line="240" w:lineRule="auto"/>
    </w:pPr>
    <w:rPr>
      <w:rFonts w:ascii="Arial" w:eastAsia="Times New Roman" w:hAnsi="Arial" w:cs="Arial"/>
      <w:b/>
      <w:bCs/>
      <w:color w:val="FFFFFF"/>
      <w:sz w:val="20"/>
      <w:szCs w:val="20"/>
      <w:lang w:eastAsia="hr-HR"/>
    </w:rPr>
  </w:style>
  <w:style w:type="paragraph" w:customStyle="1" w:styleId="xl443">
    <w:name w:val="xl443"/>
    <w:basedOn w:val="Normal"/>
    <w:rsid w:val="007F0B2A"/>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444">
    <w:name w:val="xl444"/>
    <w:basedOn w:val="Normal"/>
    <w:rsid w:val="007F0B2A"/>
    <w:pPr>
      <w:pBdr>
        <w:top w:val="single" w:sz="4" w:space="0" w:color="auto"/>
        <w:bottom w:val="single" w:sz="4" w:space="0" w:color="auto"/>
      </w:pBdr>
      <w:shd w:val="clear" w:color="000000" w:fill="FFFFCC"/>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45">
    <w:name w:val="xl445"/>
    <w:basedOn w:val="Normal"/>
    <w:rsid w:val="007F0B2A"/>
    <w:pPr>
      <w:spacing w:before="100" w:beforeAutospacing="1" w:after="100" w:afterAutospacing="1" w:line="240" w:lineRule="auto"/>
      <w:jc w:val="center"/>
    </w:pPr>
    <w:rPr>
      <w:rFonts w:ascii="Arial" w:eastAsia="Times New Roman" w:hAnsi="Arial" w:cs="Arial"/>
      <w:b/>
      <w:bCs/>
      <w:sz w:val="18"/>
      <w:szCs w:val="18"/>
      <w:lang w:eastAsia="hr-HR"/>
    </w:rPr>
  </w:style>
  <w:style w:type="paragraph" w:customStyle="1" w:styleId="xl446">
    <w:name w:val="xl446"/>
    <w:basedOn w:val="Normal"/>
    <w:rsid w:val="007F0B2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47">
    <w:name w:val="xl447"/>
    <w:basedOn w:val="Normal"/>
    <w:rsid w:val="007F0B2A"/>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48">
    <w:name w:val="xl448"/>
    <w:basedOn w:val="Normal"/>
    <w:rsid w:val="007F0B2A"/>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0"/>
      <w:szCs w:val="20"/>
      <w:lang w:eastAsia="hr-HR"/>
    </w:rPr>
  </w:style>
  <w:style w:type="paragraph" w:customStyle="1" w:styleId="xl449">
    <w:name w:val="xl449"/>
    <w:basedOn w:val="Normal"/>
    <w:rsid w:val="007F0B2A"/>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50">
    <w:name w:val="xl450"/>
    <w:basedOn w:val="Normal"/>
    <w:rsid w:val="007F0B2A"/>
    <w:pPr>
      <w:spacing w:before="100" w:beforeAutospacing="1" w:after="100" w:afterAutospacing="1" w:line="240" w:lineRule="auto"/>
    </w:pPr>
    <w:rPr>
      <w:rFonts w:ascii="Arial" w:eastAsia="Times New Roman" w:hAnsi="Arial" w:cs="Arial"/>
      <w:color w:val="000000"/>
      <w:sz w:val="20"/>
      <w:szCs w:val="20"/>
      <w:lang w:eastAsia="hr-HR"/>
    </w:rPr>
  </w:style>
  <w:style w:type="paragraph" w:customStyle="1" w:styleId="xl451">
    <w:name w:val="xl451"/>
    <w:basedOn w:val="Normal"/>
    <w:rsid w:val="007F0B2A"/>
    <w:pPr>
      <w:pBdr>
        <w:top w:val="single" w:sz="4" w:space="0" w:color="auto"/>
        <w:left w:val="single" w:sz="4" w:space="0" w:color="auto"/>
        <w:bottom w:val="single" w:sz="4" w:space="0" w:color="auto"/>
      </w:pBdr>
      <w:shd w:val="clear" w:color="000000" w:fill="C5D9F1"/>
      <w:spacing w:before="100" w:beforeAutospacing="1" w:after="100" w:afterAutospacing="1" w:line="240" w:lineRule="auto"/>
    </w:pPr>
    <w:rPr>
      <w:rFonts w:ascii="Arial" w:eastAsia="Times New Roman" w:hAnsi="Arial" w:cs="Arial"/>
      <w:sz w:val="20"/>
      <w:szCs w:val="20"/>
      <w:lang w:eastAsia="hr-HR"/>
    </w:rPr>
  </w:style>
  <w:style w:type="paragraph" w:customStyle="1" w:styleId="xl452">
    <w:name w:val="xl452"/>
    <w:basedOn w:val="Normal"/>
    <w:rsid w:val="007F0B2A"/>
    <w:pPr>
      <w:pBdr>
        <w:top w:val="single" w:sz="4" w:space="0" w:color="auto"/>
        <w:bottom w:val="single" w:sz="4" w:space="0" w:color="auto"/>
        <w:right w:val="single" w:sz="4" w:space="0" w:color="auto"/>
      </w:pBdr>
      <w:shd w:val="clear" w:color="000000" w:fill="C5D9F1"/>
      <w:spacing w:before="100" w:beforeAutospacing="1" w:after="100" w:afterAutospacing="1" w:line="240" w:lineRule="auto"/>
    </w:pPr>
    <w:rPr>
      <w:rFonts w:ascii="Arial" w:eastAsia="Times New Roman" w:hAnsi="Arial" w:cs="Arial"/>
      <w:sz w:val="20"/>
      <w:szCs w:val="20"/>
      <w:lang w:eastAsia="hr-HR"/>
    </w:rPr>
  </w:style>
  <w:style w:type="paragraph" w:customStyle="1" w:styleId="xl453">
    <w:name w:val="xl453"/>
    <w:basedOn w:val="Normal"/>
    <w:rsid w:val="007F0B2A"/>
    <w:pPr>
      <w:pBdr>
        <w:top w:val="single" w:sz="4" w:space="0" w:color="auto"/>
      </w:pBd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54">
    <w:name w:val="xl454"/>
    <w:basedOn w:val="Normal"/>
    <w:rsid w:val="007F0B2A"/>
    <w:pPr>
      <w:spacing w:before="100" w:beforeAutospacing="1" w:after="100" w:afterAutospacing="1" w:line="240" w:lineRule="auto"/>
    </w:pPr>
    <w:rPr>
      <w:rFonts w:ascii="Arial" w:eastAsia="Times New Roman" w:hAnsi="Arial" w:cs="Arial"/>
      <w:b/>
      <w:bCs/>
      <w:sz w:val="20"/>
      <w:szCs w:val="20"/>
      <w:lang w:eastAsia="hr-HR"/>
    </w:rPr>
  </w:style>
  <w:style w:type="paragraph" w:customStyle="1" w:styleId="xl455">
    <w:name w:val="xl455"/>
    <w:basedOn w:val="Normal"/>
    <w:rsid w:val="007F0B2A"/>
    <w:pPr>
      <w:pBdr>
        <w:top w:val="single" w:sz="8" w:space="0" w:color="auto"/>
        <w:left w:val="single" w:sz="8" w:space="0" w:color="auto"/>
        <w:bottom w:val="single" w:sz="8" w:space="0" w:color="auto"/>
      </w:pBdr>
      <w:spacing w:before="100" w:beforeAutospacing="1" w:after="100" w:afterAutospacing="1" w:line="240" w:lineRule="auto"/>
    </w:pPr>
    <w:rPr>
      <w:rFonts w:ascii="Arial" w:eastAsia="Times New Roman" w:hAnsi="Arial" w:cs="Arial"/>
      <w:b/>
      <w:bCs/>
      <w:i/>
      <w:iCs/>
      <w:sz w:val="20"/>
      <w:szCs w:val="20"/>
      <w:lang w:eastAsia="hr-HR"/>
    </w:rPr>
  </w:style>
  <w:style w:type="paragraph" w:customStyle="1" w:styleId="xl456">
    <w:name w:val="xl456"/>
    <w:basedOn w:val="Normal"/>
    <w:rsid w:val="007F0B2A"/>
    <w:pPr>
      <w:pBdr>
        <w:top w:val="single" w:sz="8"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b/>
      <w:bCs/>
      <w:i/>
      <w:iCs/>
      <w:sz w:val="20"/>
      <w:szCs w:val="20"/>
      <w:lang w:eastAsia="hr-HR"/>
    </w:rPr>
  </w:style>
  <w:style w:type="paragraph" w:customStyle="1" w:styleId="xl457">
    <w:name w:val="xl457"/>
    <w:basedOn w:val="Normal"/>
    <w:rsid w:val="007F0B2A"/>
    <w:pPr>
      <w:spacing w:before="100" w:beforeAutospacing="1" w:after="100" w:afterAutospacing="1" w:line="240" w:lineRule="auto"/>
    </w:pPr>
    <w:rPr>
      <w:rFonts w:ascii="Arial" w:eastAsia="Times New Roman" w:hAnsi="Arial" w:cs="Arial"/>
      <w:sz w:val="20"/>
      <w:szCs w:val="20"/>
      <w:lang w:eastAsia="hr-HR"/>
    </w:rPr>
  </w:style>
  <w:style w:type="paragraph" w:customStyle="1" w:styleId="xl458">
    <w:name w:val="xl458"/>
    <w:basedOn w:val="Normal"/>
    <w:rsid w:val="007F0B2A"/>
    <w:pPr>
      <w:spacing w:before="100" w:beforeAutospacing="1" w:after="100" w:afterAutospacing="1" w:line="240" w:lineRule="auto"/>
      <w:jc w:val="center"/>
      <w:textAlignment w:val="center"/>
    </w:pPr>
    <w:rPr>
      <w:rFonts w:ascii="Arial" w:eastAsia="Times New Roman" w:hAnsi="Arial" w:cs="Arial"/>
      <w:b/>
      <w:bCs/>
      <w:sz w:val="24"/>
      <w:szCs w:val="24"/>
      <w:lang w:eastAsia="hr-HR"/>
    </w:rPr>
  </w:style>
  <w:style w:type="paragraph" w:customStyle="1" w:styleId="xl459">
    <w:name w:val="xl459"/>
    <w:basedOn w:val="Normal"/>
    <w:rsid w:val="007F0B2A"/>
    <w:pPr>
      <w:pBdr>
        <w:top w:val="single" w:sz="4" w:space="0" w:color="auto"/>
      </w:pBdr>
      <w:spacing w:before="100" w:beforeAutospacing="1" w:after="100" w:afterAutospacing="1" w:line="240" w:lineRule="auto"/>
      <w:jc w:val="center"/>
    </w:pPr>
    <w:rPr>
      <w:rFonts w:ascii="Arial" w:eastAsia="Times New Roman" w:hAnsi="Arial" w:cs="Arial"/>
      <w:b/>
      <w:bCs/>
      <w:sz w:val="20"/>
      <w:szCs w:val="20"/>
      <w:lang w:eastAsia="hr-HR"/>
    </w:rPr>
  </w:style>
  <w:style w:type="paragraph" w:customStyle="1" w:styleId="xl460">
    <w:name w:val="xl460"/>
    <w:basedOn w:val="Normal"/>
    <w:rsid w:val="007F0B2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461">
    <w:name w:val="xl461"/>
    <w:basedOn w:val="Normal"/>
    <w:rsid w:val="007F0B2A"/>
    <w:pPr>
      <w:pBdr>
        <w:top w:val="single" w:sz="8" w:space="0" w:color="auto"/>
        <w:left w:val="single" w:sz="8" w:space="0" w:color="auto"/>
        <w:bottom w:val="single" w:sz="8" w:space="0" w:color="auto"/>
      </w:pBdr>
      <w:shd w:val="clear" w:color="000000" w:fill="969696"/>
      <w:spacing w:before="100" w:beforeAutospacing="1" w:after="100" w:afterAutospacing="1" w:line="240" w:lineRule="auto"/>
    </w:pPr>
    <w:rPr>
      <w:rFonts w:ascii="Arial" w:eastAsia="Times New Roman" w:hAnsi="Arial" w:cs="Arial"/>
      <w:b/>
      <w:bCs/>
      <w:i/>
      <w:iCs/>
      <w:sz w:val="20"/>
      <w:szCs w:val="20"/>
      <w:lang w:eastAsia="hr-HR"/>
    </w:rPr>
  </w:style>
  <w:style w:type="paragraph" w:customStyle="1" w:styleId="xl462">
    <w:name w:val="xl462"/>
    <w:basedOn w:val="Normal"/>
    <w:rsid w:val="007F0B2A"/>
    <w:pPr>
      <w:pBdr>
        <w:top w:val="single" w:sz="8" w:space="0" w:color="auto"/>
        <w:bottom w:val="single" w:sz="8" w:space="0" w:color="auto"/>
        <w:right w:val="single" w:sz="4" w:space="0" w:color="auto"/>
      </w:pBdr>
      <w:shd w:val="clear" w:color="000000" w:fill="969696"/>
      <w:spacing w:before="100" w:beforeAutospacing="1" w:after="100" w:afterAutospacing="1" w:line="240" w:lineRule="auto"/>
    </w:pPr>
    <w:rPr>
      <w:rFonts w:ascii="Arial" w:eastAsia="Times New Roman" w:hAnsi="Arial" w:cs="Arial"/>
      <w:b/>
      <w:bCs/>
      <w:i/>
      <w:iCs/>
      <w:sz w:val="20"/>
      <w:szCs w:val="20"/>
      <w:lang w:eastAsia="hr-HR"/>
    </w:rPr>
  </w:style>
  <w:style w:type="character" w:customStyle="1" w:styleId="BezproredaChar">
    <w:name w:val="Bez proreda Char"/>
    <w:aliases w:val="POPIS GRAFOVA Char"/>
    <w:basedOn w:val="Zadanifontodlomka"/>
    <w:link w:val="Bezproreda"/>
    <w:qFormat/>
    <w:locked/>
    <w:rsid w:val="002217A2"/>
  </w:style>
  <w:style w:type="paragraph" w:styleId="Bezproreda">
    <w:name w:val="No Spacing"/>
    <w:aliases w:val="POPIS GRAFOVA"/>
    <w:link w:val="BezproredaChar"/>
    <w:uiPriority w:val="1"/>
    <w:qFormat/>
    <w:rsid w:val="002217A2"/>
    <w:pPr>
      <w:suppressAutoHyphens/>
      <w:spacing w:after="0" w:line="240" w:lineRule="auto"/>
    </w:pPr>
  </w:style>
  <w:style w:type="table" w:styleId="Reetkatablice">
    <w:name w:val="Table Grid"/>
    <w:basedOn w:val="Obinatablica"/>
    <w:uiPriority w:val="39"/>
    <w:qFormat/>
    <w:rsid w:val="002217A2"/>
    <w:pPr>
      <w:spacing w:after="0" w:line="240" w:lineRule="auto"/>
    </w:pPr>
    <w:rPr>
      <w:rFonts w:ascii="Calibri" w:eastAsia="Times New Roman" w:hAnsi="Calibri" w:cs="Times New Roman"/>
      <w:kern w:val="0"/>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qFormat/>
    <w:rsid w:val="002217A2"/>
    <w:pPr>
      <w:autoSpaceDE w:val="0"/>
      <w:autoSpaceDN w:val="0"/>
      <w:adjustRightInd w:val="0"/>
      <w:spacing w:after="0" w:line="240" w:lineRule="auto"/>
    </w:pPr>
    <w:rPr>
      <w:rFonts w:ascii="Arial" w:eastAsia="Calibri" w:hAnsi="Arial" w:cs="Arial"/>
      <w:color w:val="000000"/>
      <w:kern w:val="0"/>
      <w:sz w:val="24"/>
      <w:szCs w:val="24"/>
      <w:lang w:eastAsia="hr-HR"/>
    </w:rPr>
  </w:style>
  <w:style w:type="paragraph" w:customStyle="1" w:styleId="xl463">
    <w:name w:val="xl463"/>
    <w:basedOn w:val="Normal"/>
    <w:rsid w:val="002217A2"/>
    <w:pPr>
      <w:pBdr>
        <w:top w:val="single" w:sz="4" w:space="0" w:color="auto"/>
        <w:left w:val="single" w:sz="4" w:space="0" w:color="auto"/>
        <w:right w:val="single" w:sz="4" w:space="0" w:color="auto"/>
      </w:pBdr>
      <w:shd w:val="clear" w:color="000000" w:fill="FFFFCC"/>
      <w:spacing w:before="100" w:beforeAutospacing="1" w:after="100" w:afterAutospacing="1" w:line="240" w:lineRule="auto"/>
      <w:jc w:val="right"/>
      <w:textAlignment w:val="center"/>
    </w:pPr>
    <w:rPr>
      <w:rFonts w:ascii="Arial" w:eastAsia="Times New Roman" w:hAnsi="Arial" w:cs="Arial"/>
      <w:sz w:val="18"/>
      <w:szCs w:val="18"/>
      <w:lang w:eastAsia="hr-HR"/>
    </w:rPr>
  </w:style>
  <w:style w:type="paragraph" w:customStyle="1" w:styleId="xl464">
    <w:name w:val="xl464"/>
    <w:basedOn w:val="Normal"/>
    <w:rsid w:val="002217A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sz w:val="24"/>
      <w:szCs w:val="24"/>
      <w:lang w:eastAsia="hr-HR"/>
    </w:rPr>
  </w:style>
  <w:style w:type="paragraph" w:customStyle="1" w:styleId="xl465">
    <w:name w:val="xl465"/>
    <w:basedOn w:val="Normal"/>
    <w:rsid w:val="002217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sz w:val="18"/>
      <w:szCs w:val="18"/>
      <w:lang w:eastAsia="hr-HR"/>
    </w:rPr>
  </w:style>
  <w:style w:type="paragraph" w:customStyle="1" w:styleId="xl466">
    <w:name w:val="xl466"/>
    <w:basedOn w:val="Normal"/>
    <w:rsid w:val="002217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Arial" w:eastAsia="Times New Roman" w:hAnsi="Arial" w:cs="Arial"/>
      <w:b/>
      <w:bCs/>
      <w:color w:val="000000"/>
      <w:lang w:eastAsia="hr-HR"/>
    </w:rPr>
  </w:style>
  <w:style w:type="paragraph" w:customStyle="1" w:styleId="xl467">
    <w:name w:val="xl467"/>
    <w:basedOn w:val="Normal"/>
    <w:rsid w:val="002217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hr-HR"/>
    </w:rPr>
  </w:style>
  <w:style w:type="paragraph" w:customStyle="1" w:styleId="xl468">
    <w:name w:val="xl468"/>
    <w:basedOn w:val="Normal"/>
    <w:rsid w:val="00221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69">
    <w:name w:val="xl469"/>
    <w:basedOn w:val="Normal"/>
    <w:rsid w:val="00221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lang w:eastAsia="hr-HR"/>
    </w:rPr>
  </w:style>
  <w:style w:type="paragraph" w:customStyle="1" w:styleId="xl470">
    <w:name w:val="xl470"/>
    <w:basedOn w:val="Normal"/>
    <w:rsid w:val="002217A2"/>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471">
    <w:name w:val="xl471"/>
    <w:basedOn w:val="Normal"/>
    <w:rsid w:val="002217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472">
    <w:name w:val="xl472"/>
    <w:basedOn w:val="Normal"/>
    <w:rsid w:val="002217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lang w:eastAsia="hr-HR"/>
    </w:rPr>
  </w:style>
  <w:style w:type="paragraph" w:customStyle="1" w:styleId="xl473">
    <w:name w:val="xl473"/>
    <w:basedOn w:val="Normal"/>
    <w:rsid w:val="002217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18"/>
      <w:szCs w:val="18"/>
      <w:lang w:eastAsia="hr-HR"/>
    </w:rPr>
  </w:style>
  <w:style w:type="paragraph" w:customStyle="1" w:styleId="xl474">
    <w:name w:val="xl474"/>
    <w:basedOn w:val="Normal"/>
    <w:rsid w:val="002217A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color w:val="000000"/>
      <w:lang w:eastAsia="hr-HR"/>
    </w:rPr>
  </w:style>
  <w:style w:type="paragraph" w:customStyle="1" w:styleId="xl475">
    <w:name w:val="xl475"/>
    <w:basedOn w:val="Normal"/>
    <w:rsid w:val="002217A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textAlignment w:val="center"/>
    </w:pPr>
    <w:rPr>
      <w:rFonts w:ascii="Arial" w:eastAsia="Times New Roman" w:hAnsi="Arial" w:cs="Arial"/>
      <w:b/>
      <w:bCs/>
      <w:color w:val="000000"/>
      <w:lang w:eastAsia="hr-HR"/>
    </w:rPr>
  </w:style>
  <w:style w:type="paragraph" w:customStyle="1" w:styleId="xl476">
    <w:name w:val="xl476"/>
    <w:basedOn w:val="Normal"/>
    <w:rsid w:val="002217A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pPr>
    <w:rPr>
      <w:rFonts w:ascii="Arial" w:eastAsia="Times New Roman" w:hAnsi="Arial" w:cs="Arial"/>
      <w:b/>
      <w:bCs/>
      <w:color w:val="000000"/>
      <w:lang w:eastAsia="hr-HR"/>
    </w:rPr>
  </w:style>
  <w:style w:type="paragraph" w:customStyle="1" w:styleId="xl477">
    <w:name w:val="xl477"/>
    <w:basedOn w:val="Normal"/>
    <w:rsid w:val="002217A2"/>
    <w:pPr>
      <w:pBdr>
        <w:left w:val="single" w:sz="4" w:space="0" w:color="auto"/>
        <w:right w:val="single" w:sz="4" w:space="0" w:color="auto"/>
      </w:pBdr>
      <w:shd w:val="clear" w:color="FFFFFF" w:fill="FFFFFF"/>
      <w:spacing w:before="100" w:beforeAutospacing="1" w:after="100" w:afterAutospacing="1" w:line="240" w:lineRule="auto"/>
      <w:textAlignment w:val="center"/>
    </w:pPr>
    <w:rPr>
      <w:rFonts w:ascii="Arial" w:eastAsia="Times New Roman" w:hAnsi="Arial" w:cs="Arial"/>
      <w:sz w:val="18"/>
      <w:szCs w:val="18"/>
      <w:lang w:eastAsia="hr-HR"/>
    </w:rPr>
  </w:style>
  <w:style w:type="paragraph" w:customStyle="1" w:styleId="xl478">
    <w:name w:val="xl478"/>
    <w:basedOn w:val="Normal"/>
    <w:rsid w:val="002217A2"/>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line="240" w:lineRule="auto"/>
      <w:textAlignment w:val="center"/>
    </w:pPr>
    <w:rPr>
      <w:rFonts w:ascii="Arial" w:eastAsia="Times New Roman" w:hAnsi="Arial" w:cs="Arial"/>
      <w:sz w:val="24"/>
      <w:szCs w:val="24"/>
      <w:lang w:eastAsia="hr-HR"/>
    </w:rPr>
  </w:style>
  <w:style w:type="paragraph" w:customStyle="1" w:styleId="xl479">
    <w:name w:val="xl479"/>
    <w:basedOn w:val="Normal"/>
    <w:rsid w:val="002217A2"/>
    <w:pPr>
      <w:pBdr>
        <w:top w:val="single" w:sz="4" w:space="0" w:color="auto"/>
        <w:left w:val="single" w:sz="4" w:space="0" w:color="auto"/>
        <w:bottom w:val="single" w:sz="4" w:space="0" w:color="auto"/>
        <w:right w:val="single" w:sz="4" w:space="0" w:color="auto"/>
      </w:pBdr>
      <w:shd w:val="clear" w:color="993300" w:fill="FFFFFF"/>
      <w:spacing w:before="100" w:beforeAutospacing="1" w:after="100" w:afterAutospacing="1" w:line="240" w:lineRule="auto"/>
      <w:textAlignment w:val="top"/>
    </w:pPr>
    <w:rPr>
      <w:rFonts w:ascii="Arial" w:eastAsia="Times New Roman" w:hAnsi="Arial" w:cs="Arial"/>
      <w:b/>
      <w:bCs/>
      <w:color w:val="000000"/>
      <w:lang w:eastAsia="hr-HR"/>
    </w:rPr>
  </w:style>
  <w:style w:type="paragraph" w:customStyle="1" w:styleId="xl480">
    <w:name w:val="xl480"/>
    <w:basedOn w:val="Normal"/>
    <w:rsid w:val="002217A2"/>
    <w:pPr>
      <w:pBdr>
        <w:top w:val="single" w:sz="4" w:space="0" w:color="auto"/>
        <w:left w:val="single" w:sz="4" w:space="0" w:color="auto"/>
        <w:bottom w:val="single" w:sz="4" w:space="0" w:color="auto"/>
        <w:right w:val="single" w:sz="4" w:space="0" w:color="auto"/>
      </w:pBdr>
      <w:shd w:val="clear" w:color="993300" w:fill="FFFFFF"/>
      <w:spacing w:before="100" w:beforeAutospacing="1" w:after="100" w:afterAutospacing="1" w:line="240" w:lineRule="auto"/>
      <w:jc w:val="both"/>
      <w:textAlignment w:val="top"/>
    </w:pPr>
    <w:rPr>
      <w:rFonts w:ascii="Arial" w:eastAsia="Times New Roman" w:hAnsi="Arial" w:cs="Arial"/>
      <w:b/>
      <w:bCs/>
      <w:sz w:val="18"/>
      <w:szCs w:val="18"/>
      <w:lang w:eastAsia="hr-HR"/>
    </w:rPr>
  </w:style>
  <w:style w:type="paragraph" w:customStyle="1" w:styleId="xl481">
    <w:name w:val="xl481"/>
    <w:basedOn w:val="Normal"/>
    <w:rsid w:val="002217A2"/>
    <w:pPr>
      <w:pBdr>
        <w:top w:val="single" w:sz="4" w:space="0" w:color="auto"/>
        <w:left w:val="single" w:sz="4" w:space="0" w:color="auto"/>
        <w:bottom w:val="single" w:sz="4" w:space="0" w:color="auto"/>
        <w:right w:val="single" w:sz="4" w:space="0" w:color="auto"/>
      </w:pBdr>
      <w:shd w:val="clear" w:color="993300" w:fill="FFFFFF"/>
      <w:spacing w:before="100" w:beforeAutospacing="1" w:after="100" w:afterAutospacing="1" w:line="240" w:lineRule="auto"/>
      <w:jc w:val="right"/>
      <w:textAlignment w:val="center"/>
    </w:pPr>
    <w:rPr>
      <w:rFonts w:ascii="Arial" w:eastAsia="Times New Roman" w:hAnsi="Arial" w:cs="Arial"/>
      <w:b/>
      <w:bCs/>
      <w:color w:val="000000"/>
      <w:lang w:eastAsia="hr-HR"/>
    </w:rPr>
  </w:style>
  <w:style w:type="paragraph" w:customStyle="1" w:styleId="xl482">
    <w:name w:val="xl482"/>
    <w:basedOn w:val="Normal"/>
    <w:rsid w:val="002217A2"/>
    <w:pPr>
      <w:pBdr>
        <w:top w:val="single" w:sz="4" w:space="0" w:color="auto"/>
        <w:left w:val="single" w:sz="4" w:space="0" w:color="auto"/>
        <w:bottom w:val="single" w:sz="4" w:space="0" w:color="auto"/>
        <w:right w:val="single" w:sz="4" w:space="0" w:color="auto"/>
      </w:pBdr>
      <w:shd w:val="clear" w:color="993300" w:fill="FFFFCC"/>
      <w:spacing w:before="100" w:beforeAutospacing="1" w:after="100" w:afterAutospacing="1" w:line="240" w:lineRule="auto"/>
      <w:textAlignment w:val="top"/>
    </w:pPr>
    <w:rPr>
      <w:rFonts w:ascii="Arial" w:eastAsia="Times New Roman" w:hAnsi="Arial" w:cs="Arial"/>
      <w:b/>
      <w:bCs/>
      <w:lang w:eastAsia="hr-HR"/>
    </w:rPr>
  </w:style>
  <w:style w:type="paragraph" w:customStyle="1" w:styleId="xl483">
    <w:name w:val="xl483"/>
    <w:basedOn w:val="Normal"/>
    <w:rsid w:val="002217A2"/>
    <w:pPr>
      <w:pBdr>
        <w:top w:val="single" w:sz="4" w:space="0" w:color="auto"/>
        <w:left w:val="single" w:sz="4" w:space="0" w:color="auto"/>
        <w:bottom w:val="single" w:sz="4" w:space="0" w:color="auto"/>
        <w:right w:val="single" w:sz="4" w:space="0" w:color="auto"/>
      </w:pBdr>
      <w:shd w:val="clear" w:color="993300" w:fill="FFFFCC"/>
      <w:spacing w:before="100" w:beforeAutospacing="1" w:after="100" w:afterAutospacing="1" w:line="240" w:lineRule="auto"/>
      <w:jc w:val="both"/>
      <w:textAlignment w:val="top"/>
    </w:pPr>
    <w:rPr>
      <w:rFonts w:ascii="Arial" w:eastAsia="Times New Roman" w:hAnsi="Arial" w:cs="Arial"/>
      <w:b/>
      <w:bCs/>
      <w:sz w:val="18"/>
      <w:szCs w:val="18"/>
      <w:lang w:eastAsia="hr-HR"/>
    </w:rPr>
  </w:style>
  <w:style w:type="paragraph" w:customStyle="1" w:styleId="xl484">
    <w:name w:val="xl484"/>
    <w:basedOn w:val="Normal"/>
    <w:rsid w:val="002217A2"/>
    <w:pPr>
      <w:pBdr>
        <w:top w:val="single" w:sz="4"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textAlignment w:val="center"/>
    </w:pPr>
    <w:rPr>
      <w:rFonts w:ascii="Arial" w:eastAsia="Times New Roman" w:hAnsi="Arial" w:cs="Arial"/>
      <w:b/>
      <w:bCs/>
      <w:sz w:val="24"/>
      <w:szCs w:val="24"/>
      <w:lang w:eastAsia="hr-HR"/>
    </w:rPr>
  </w:style>
  <w:style w:type="paragraph" w:customStyle="1" w:styleId="xl485">
    <w:name w:val="xl485"/>
    <w:basedOn w:val="Normal"/>
    <w:rsid w:val="002217A2"/>
    <w:pPr>
      <w:pBdr>
        <w:top w:val="single" w:sz="4" w:space="0" w:color="auto"/>
        <w:left w:val="single" w:sz="4" w:space="0" w:color="auto"/>
        <w:bottom w:val="single" w:sz="4" w:space="0" w:color="auto"/>
        <w:right w:val="single" w:sz="4" w:space="0" w:color="auto"/>
      </w:pBdr>
      <w:shd w:val="clear" w:color="993300" w:fill="FFFFCC"/>
      <w:spacing w:before="100" w:beforeAutospacing="1" w:after="100" w:afterAutospacing="1" w:line="240" w:lineRule="auto"/>
      <w:jc w:val="right"/>
      <w:textAlignment w:val="center"/>
    </w:pPr>
    <w:rPr>
      <w:rFonts w:ascii="Arial" w:eastAsia="Times New Roman" w:hAnsi="Arial" w:cs="Arial"/>
      <w:b/>
      <w:bCs/>
      <w:lang w:eastAsia="hr-HR"/>
    </w:rPr>
  </w:style>
  <w:style w:type="paragraph" w:customStyle="1" w:styleId="xl486">
    <w:name w:val="xl486"/>
    <w:basedOn w:val="Normal"/>
    <w:rsid w:val="002217A2"/>
    <w:pPr>
      <w:pBdr>
        <w:top w:val="single" w:sz="4" w:space="0" w:color="auto"/>
        <w:left w:val="single" w:sz="4" w:space="0" w:color="auto"/>
        <w:bottom w:val="single" w:sz="4" w:space="0" w:color="auto"/>
        <w:right w:val="single" w:sz="4" w:space="0" w:color="auto"/>
      </w:pBdr>
      <w:shd w:val="clear" w:color="993300" w:fill="FFFFCC"/>
      <w:spacing w:before="100" w:beforeAutospacing="1" w:after="100" w:afterAutospacing="1" w:line="240" w:lineRule="auto"/>
      <w:jc w:val="right"/>
      <w:textAlignment w:val="center"/>
    </w:pPr>
    <w:rPr>
      <w:rFonts w:ascii="Arial" w:eastAsia="Times New Roman" w:hAnsi="Arial" w:cs="Arial"/>
      <w:lang w:eastAsia="hr-HR"/>
    </w:rPr>
  </w:style>
  <w:style w:type="paragraph" w:customStyle="1" w:styleId="xl487">
    <w:name w:val="xl487"/>
    <w:basedOn w:val="Normal"/>
    <w:rsid w:val="002217A2"/>
    <w:pPr>
      <w:pBdr>
        <w:left w:val="single" w:sz="4" w:space="0" w:color="auto"/>
        <w:bottom w:val="single" w:sz="4" w:space="0" w:color="auto"/>
        <w:right w:val="single" w:sz="4" w:space="0" w:color="auto"/>
      </w:pBdr>
      <w:shd w:val="clear" w:color="FFFFFF" w:fill="FFFFCC"/>
      <w:spacing w:before="100" w:beforeAutospacing="1" w:after="100" w:afterAutospacing="1" w:line="240" w:lineRule="auto"/>
      <w:jc w:val="right"/>
      <w:textAlignment w:val="center"/>
    </w:pPr>
    <w:rPr>
      <w:rFonts w:ascii="Arial" w:eastAsia="Times New Roman" w:hAnsi="Arial" w:cs="Arial"/>
      <w:color w:val="000000"/>
      <w:sz w:val="24"/>
      <w:szCs w:val="24"/>
      <w:lang w:eastAsia="hr-HR"/>
    </w:rPr>
  </w:style>
  <w:style w:type="paragraph" w:customStyle="1" w:styleId="xl488">
    <w:name w:val="xl488"/>
    <w:basedOn w:val="Normal"/>
    <w:rsid w:val="002217A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489">
    <w:name w:val="xl489"/>
    <w:basedOn w:val="Normal"/>
    <w:rsid w:val="002217A2"/>
    <w:pPr>
      <w:pBdr>
        <w:top w:val="single" w:sz="4" w:space="0" w:color="auto"/>
        <w:left w:val="single" w:sz="4" w:space="0" w:color="auto"/>
        <w:bottom w:val="single" w:sz="4" w:space="0" w:color="auto"/>
        <w:right w:val="single" w:sz="4" w:space="0" w:color="auto"/>
      </w:pBdr>
      <w:shd w:val="clear" w:color="FF00FF" w:fill="FF00FF"/>
      <w:spacing w:before="100" w:beforeAutospacing="1" w:after="100" w:afterAutospacing="1" w:line="240" w:lineRule="auto"/>
      <w:jc w:val="center"/>
    </w:pPr>
    <w:rPr>
      <w:rFonts w:ascii="Times New Roman" w:eastAsia="Times New Roman" w:hAnsi="Times New Roman" w:cs="Times New Roman"/>
      <w:b/>
      <w:bCs/>
      <w:color w:val="000000"/>
      <w:sz w:val="36"/>
      <w:szCs w:val="36"/>
      <w:lang w:eastAsia="hr-HR"/>
    </w:rPr>
  </w:style>
  <w:style w:type="paragraph" w:customStyle="1" w:styleId="xl490">
    <w:name w:val="xl490"/>
    <w:basedOn w:val="Normal"/>
    <w:rsid w:val="002217A2"/>
    <w:pPr>
      <w:pBdr>
        <w:top w:val="single" w:sz="4" w:space="0" w:color="auto"/>
        <w:left w:val="single" w:sz="4" w:space="0" w:color="auto"/>
        <w:bottom w:val="single" w:sz="4" w:space="0" w:color="auto"/>
      </w:pBdr>
      <w:shd w:val="clear" w:color="CCFFFF" w:fill="CCFFCC"/>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491">
    <w:name w:val="xl491"/>
    <w:basedOn w:val="Normal"/>
    <w:rsid w:val="002217A2"/>
    <w:pPr>
      <w:pBdr>
        <w:top w:val="single" w:sz="4" w:space="0" w:color="auto"/>
        <w:left w:val="single" w:sz="4" w:space="0" w:color="auto"/>
        <w:bottom w:val="single" w:sz="4" w:space="0" w:color="auto"/>
      </w:pBdr>
      <w:shd w:val="clear" w:color="CCCCFF" w:fill="99CCFF"/>
      <w:spacing w:before="100" w:beforeAutospacing="1" w:after="100" w:afterAutospacing="1" w:line="240" w:lineRule="auto"/>
      <w:jc w:val="center"/>
    </w:pPr>
    <w:rPr>
      <w:rFonts w:ascii="Arial" w:eastAsia="Times New Roman" w:hAnsi="Arial" w:cs="Arial"/>
      <w:b/>
      <w:bCs/>
      <w:color w:val="000000"/>
      <w:sz w:val="24"/>
      <w:szCs w:val="24"/>
      <w:lang w:eastAsia="hr-HR"/>
    </w:rPr>
  </w:style>
  <w:style w:type="paragraph" w:customStyle="1" w:styleId="xl492">
    <w:name w:val="xl492"/>
    <w:basedOn w:val="Normal"/>
    <w:rsid w:val="002217A2"/>
    <w:pPr>
      <w:pBdr>
        <w:top w:val="single" w:sz="4" w:space="0" w:color="auto"/>
        <w:left w:val="single" w:sz="4" w:space="0" w:color="auto"/>
        <w:bottom w:val="single" w:sz="8" w:space="0" w:color="auto"/>
      </w:pBdr>
      <w:shd w:val="clear" w:color="CCCCFF" w:fill="99CCFF"/>
      <w:spacing w:before="100" w:beforeAutospacing="1" w:after="100" w:afterAutospacing="1" w:line="240" w:lineRule="auto"/>
      <w:jc w:val="center"/>
      <w:textAlignment w:val="top"/>
    </w:pPr>
    <w:rPr>
      <w:rFonts w:ascii="Arial" w:eastAsia="Times New Roman" w:hAnsi="Arial" w:cs="Arial"/>
      <w:b/>
      <w:bCs/>
      <w:color w:val="000000"/>
      <w:sz w:val="24"/>
      <w:szCs w:val="24"/>
      <w:lang w:eastAsia="hr-HR"/>
    </w:rPr>
  </w:style>
  <w:style w:type="paragraph" w:customStyle="1" w:styleId="xl493">
    <w:name w:val="xl493"/>
    <w:basedOn w:val="Normal"/>
    <w:rsid w:val="002217A2"/>
    <w:pPr>
      <w:pBdr>
        <w:left w:val="single" w:sz="4" w:space="0" w:color="auto"/>
        <w:bottom w:val="single" w:sz="4" w:space="0" w:color="auto"/>
      </w:pBdr>
      <w:shd w:val="clear" w:color="993300" w:fill="FF0000"/>
      <w:spacing w:before="100" w:beforeAutospacing="1" w:after="100" w:afterAutospacing="1" w:line="240" w:lineRule="auto"/>
      <w:jc w:val="center"/>
    </w:pPr>
    <w:rPr>
      <w:rFonts w:ascii="Arial" w:eastAsia="Times New Roman" w:hAnsi="Arial" w:cs="Arial"/>
      <w:b/>
      <w:bCs/>
      <w:color w:val="000000"/>
      <w:sz w:val="24"/>
      <w:szCs w:val="24"/>
      <w:lang w:eastAsia="hr-HR"/>
    </w:rPr>
  </w:style>
  <w:style w:type="paragraph" w:customStyle="1" w:styleId="xl494">
    <w:name w:val="xl494"/>
    <w:basedOn w:val="Normal"/>
    <w:rsid w:val="002217A2"/>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b/>
      <w:bCs/>
      <w:sz w:val="24"/>
      <w:szCs w:val="24"/>
      <w:lang w:eastAsia="hr-HR"/>
    </w:rPr>
  </w:style>
  <w:style w:type="paragraph" w:customStyle="1" w:styleId="xl495">
    <w:name w:val="xl495"/>
    <w:basedOn w:val="Normal"/>
    <w:rsid w:val="002217A2"/>
    <w:pPr>
      <w:pBdr>
        <w:left w:val="single" w:sz="8" w:space="0" w:color="auto"/>
        <w:bottom w:val="single" w:sz="8" w:space="0" w:color="auto"/>
        <w:right w:val="single" w:sz="4" w:space="0" w:color="auto"/>
      </w:pBdr>
      <w:shd w:val="clear" w:color="993300" w:fill="FF0000"/>
      <w:spacing w:before="100" w:beforeAutospacing="1" w:after="100" w:afterAutospacing="1" w:line="240" w:lineRule="auto"/>
      <w:jc w:val="center"/>
      <w:textAlignment w:val="top"/>
    </w:pPr>
    <w:rPr>
      <w:rFonts w:ascii="Arial" w:eastAsia="Times New Roman" w:hAnsi="Arial" w:cs="Arial"/>
      <w:b/>
      <w:bCs/>
      <w:sz w:val="16"/>
      <w:szCs w:val="16"/>
      <w:lang w:eastAsia="hr-HR"/>
    </w:rPr>
  </w:style>
  <w:style w:type="paragraph" w:styleId="Tijeloteksta">
    <w:name w:val="Body Text"/>
    <w:basedOn w:val="Normal"/>
    <w:link w:val="TijelotekstaChar"/>
    <w:qFormat/>
    <w:rsid w:val="00A620C5"/>
    <w:pPr>
      <w:spacing w:after="0" w:line="240" w:lineRule="auto"/>
    </w:pPr>
    <w:rPr>
      <w:rFonts w:ascii="Arial" w:eastAsia="Times New Roman" w:hAnsi="Arial" w:cs="Arial"/>
      <w:szCs w:val="24"/>
      <w:lang w:eastAsia="hr-HR"/>
    </w:rPr>
  </w:style>
  <w:style w:type="character" w:customStyle="1" w:styleId="TijelotekstaChar">
    <w:name w:val="Tijelo teksta Char"/>
    <w:basedOn w:val="Zadanifontodlomka"/>
    <w:link w:val="Tijeloteksta"/>
    <w:qFormat/>
    <w:rsid w:val="00A620C5"/>
    <w:rPr>
      <w:rFonts w:ascii="Arial" w:eastAsia="Times New Roman" w:hAnsi="Arial" w:cs="Arial"/>
      <w:kern w:val="0"/>
      <w:szCs w:val="24"/>
      <w:lang w:eastAsia="hr-HR"/>
    </w:rPr>
  </w:style>
  <w:style w:type="paragraph" w:styleId="Tijeloteksta2">
    <w:name w:val="Body Text 2"/>
    <w:basedOn w:val="Normal"/>
    <w:link w:val="Tijeloteksta2Char"/>
    <w:uiPriority w:val="99"/>
    <w:qFormat/>
    <w:rsid w:val="00A620C5"/>
    <w:pPr>
      <w:spacing w:after="0" w:line="240" w:lineRule="auto"/>
      <w:jc w:val="both"/>
    </w:pPr>
    <w:rPr>
      <w:rFonts w:ascii="Arial" w:eastAsia="Times New Roman" w:hAnsi="Arial" w:cs="Arial"/>
      <w:szCs w:val="24"/>
      <w:lang w:eastAsia="hr-HR"/>
    </w:rPr>
  </w:style>
  <w:style w:type="character" w:customStyle="1" w:styleId="Tijeloteksta2Char">
    <w:name w:val="Tijelo teksta 2 Char"/>
    <w:basedOn w:val="Zadanifontodlomka"/>
    <w:link w:val="Tijeloteksta2"/>
    <w:uiPriority w:val="99"/>
    <w:qFormat/>
    <w:rsid w:val="00A620C5"/>
    <w:rPr>
      <w:rFonts w:ascii="Arial" w:eastAsia="Times New Roman" w:hAnsi="Arial" w:cs="Arial"/>
      <w:kern w:val="0"/>
      <w:szCs w:val="24"/>
      <w:lang w:eastAsia="hr-HR"/>
    </w:rPr>
  </w:style>
  <w:style w:type="paragraph" w:styleId="Tekstbalonia">
    <w:name w:val="Balloon Text"/>
    <w:basedOn w:val="Normal"/>
    <w:link w:val="TekstbaloniaChar"/>
    <w:semiHidden/>
    <w:unhideWhenUsed/>
    <w:qFormat/>
    <w:rsid w:val="00B675C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B675CA"/>
    <w:rPr>
      <w:rFonts w:ascii="Tahoma" w:hAnsi="Tahoma" w:cs="Tahoma"/>
      <w:kern w:val="0"/>
      <w:sz w:val="16"/>
      <w:szCs w:val="16"/>
    </w:rPr>
  </w:style>
  <w:style w:type="paragraph" w:styleId="Uvuenotijeloteksta">
    <w:name w:val="Body Text Indent"/>
    <w:basedOn w:val="Normal"/>
    <w:link w:val="UvuenotijelotekstaChar"/>
    <w:uiPriority w:val="99"/>
    <w:unhideWhenUsed/>
    <w:qFormat/>
    <w:rsid w:val="00B675CA"/>
    <w:pPr>
      <w:spacing w:after="120"/>
      <w:ind w:left="283"/>
    </w:pPr>
  </w:style>
  <w:style w:type="character" w:customStyle="1" w:styleId="UvuenotijelotekstaChar">
    <w:name w:val="Uvučeno tijelo teksta Char"/>
    <w:basedOn w:val="Zadanifontodlomka"/>
    <w:link w:val="Uvuenotijeloteksta"/>
    <w:uiPriority w:val="99"/>
    <w:qFormat/>
    <w:rsid w:val="00B675CA"/>
    <w:rPr>
      <w:kern w:val="0"/>
    </w:rPr>
  </w:style>
  <w:style w:type="paragraph" w:customStyle="1" w:styleId="TabNormTabCrta">
    <w:name w:val="TabNormTabCrta"/>
    <w:basedOn w:val="Normal"/>
    <w:uiPriority w:val="99"/>
    <w:rsid w:val="00B675CA"/>
    <w:pPr>
      <w:keepNext/>
      <w:tabs>
        <w:tab w:val="left" w:pos="567"/>
        <w:tab w:val="right" w:leader="hyphen" w:pos="9072"/>
      </w:tabs>
      <w:spacing w:after="0" w:line="240" w:lineRule="auto"/>
      <w:jc w:val="both"/>
    </w:pPr>
    <w:rPr>
      <w:rFonts w:ascii="Century Schoolbook" w:eastAsia="Times New Roman" w:hAnsi="Century Schoolbook" w:cs="Times New Roman"/>
      <w:b/>
      <w:sz w:val="24"/>
      <w:szCs w:val="20"/>
      <w:lang w:val="en-GB"/>
    </w:rPr>
  </w:style>
  <w:style w:type="paragraph" w:customStyle="1" w:styleId="t-9-8">
    <w:name w:val="t-9-8"/>
    <w:basedOn w:val="Normal"/>
    <w:qFormat/>
    <w:rsid w:val="00B675CA"/>
    <w:pPr>
      <w:suppressAutoHyphens/>
      <w:spacing w:before="280" w:after="280" w:line="100" w:lineRule="atLeast"/>
    </w:pPr>
    <w:rPr>
      <w:rFonts w:ascii="Times New Roman" w:eastAsia="Times New Roman" w:hAnsi="Times New Roman" w:cs="Times New Roman"/>
      <w:color w:val="00000A"/>
      <w:sz w:val="24"/>
      <w:szCs w:val="24"/>
      <w:lang w:eastAsia="hr-HR"/>
    </w:rPr>
  </w:style>
  <w:style w:type="paragraph" w:customStyle="1" w:styleId="ZTekst1">
    <w:name w:val="ZTekst1"/>
    <w:basedOn w:val="Normal"/>
    <w:rsid w:val="00B675CA"/>
    <w:pPr>
      <w:suppressAutoHyphens/>
      <w:spacing w:after="140" w:line="240" w:lineRule="auto"/>
      <w:jc w:val="both"/>
    </w:pPr>
    <w:rPr>
      <w:rFonts w:ascii="Aldine401 BT" w:eastAsia="Times New Roman" w:hAnsi="Aldine401 BT" w:cs="Arial"/>
      <w:color w:val="000000"/>
      <w:sz w:val="20"/>
      <w:szCs w:val="24"/>
      <w:lang w:eastAsia="zh-CN"/>
    </w:rPr>
  </w:style>
  <w:style w:type="paragraph" w:customStyle="1" w:styleId="tekst">
    <w:name w:val="tekst"/>
    <w:basedOn w:val="Normal"/>
    <w:rsid w:val="00B675CA"/>
    <w:pPr>
      <w:tabs>
        <w:tab w:val="left" w:pos="2410"/>
      </w:tabs>
      <w:suppressAutoHyphens/>
      <w:spacing w:after="0" w:line="240" w:lineRule="auto"/>
    </w:pPr>
    <w:rPr>
      <w:rFonts w:ascii="Arial" w:eastAsia="Times New Roman" w:hAnsi="Arial" w:cs="Arial"/>
      <w:bCs/>
      <w:color w:val="000000"/>
      <w:szCs w:val="24"/>
      <w:lang w:eastAsia="zh-CN"/>
    </w:rPr>
  </w:style>
  <w:style w:type="paragraph" w:customStyle="1" w:styleId="ZNaslov2">
    <w:name w:val="ZNaslov2"/>
    <w:basedOn w:val="Normal"/>
    <w:rsid w:val="00B675CA"/>
    <w:pPr>
      <w:suppressAutoHyphens/>
      <w:spacing w:before="240" w:after="240" w:line="240" w:lineRule="auto"/>
      <w:jc w:val="both"/>
    </w:pPr>
    <w:rPr>
      <w:rFonts w:ascii="Futura Md BT" w:eastAsia="Times New Roman" w:hAnsi="Futura Md BT" w:cs="Arial"/>
      <w:b/>
      <w:bCs/>
      <w:color w:val="000000"/>
      <w:sz w:val="28"/>
      <w:szCs w:val="24"/>
      <w:lang w:eastAsia="zh-CN"/>
    </w:rPr>
  </w:style>
  <w:style w:type="paragraph" w:customStyle="1" w:styleId="Tablicasadraj2">
    <w:name w:val="Tablica sadržaj2"/>
    <w:basedOn w:val="Normal"/>
    <w:rsid w:val="00B675CA"/>
    <w:pPr>
      <w:tabs>
        <w:tab w:val="left" w:pos="1091"/>
        <w:tab w:val="left" w:pos="1553"/>
      </w:tabs>
      <w:suppressAutoHyphens/>
      <w:spacing w:after="0" w:line="240" w:lineRule="auto"/>
      <w:jc w:val="center"/>
    </w:pPr>
    <w:rPr>
      <w:rFonts w:ascii="Aldine401 BT" w:eastAsia="Times New Roman" w:hAnsi="Aldine401 BT" w:cs="Arial"/>
      <w:color w:val="000000"/>
      <w:sz w:val="20"/>
      <w:szCs w:val="24"/>
      <w:lang w:eastAsia="zh-CN"/>
    </w:rPr>
  </w:style>
  <w:style w:type="paragraph" w:customStyle="1" w:styleId="NGLAVNI">
    <w:name w:val="N_GLAVNI"/>
    <w:basedOn w:val="Normal"/>
    <w:next w:val="Normal"/>
    <w:rsid w:val="00B675CA"/>
    <w:pPr>
      <w:tabs>
        <w:tab w:val="left" w:pos="6096"/>
      </w:tabs>
      <w:suppressAutoHyphens/>
      <w:spacing w:after="0" w:line="240" w:lineRule="auto"/>
    </w:pPr>
    <w:rPr>
      <w:rFonts w:ascii="Arial Black" w:eastAsia="Times New Roman" w:hAnsi="Arial Black" w:cs="Arial"/>
      <w:b/>
      <w:i/>
      <w:color w:val="000000"/>
      <w:sz w:val="24"/>
      <w:szCs w:val="28"/>
      <w:u w:val="single"/>
      <w:lang w:eastAsia="zh-CN"/>
    </w:rPr>
  </w:style>
  <w:style w:type="paragraph" w:customStyle="1" w:styleId="N1Char">
    <w:name w:val="N1 Char"/>
    <w:basedOn w:val="Normal"/>
    <w:rsid w:val="00B675CA"/>
    <w:pPr>
      <w:numPr>
        <w:numId w:val="4"/>
      </w:numPr>
      <w:tabs>
        <w:tab w:val="left" w:pos="6096"/>
      </w:tabs>
      <w:suppressAutoHyphens/>
      <w:spacing w:after="0" w:line="240" w:lineRule="auto"/>
    </w:pPr>
    <w:rPr>
      <w:rFonts w:ascii="Arial Black" w:eastAsia="Times New Roman" w:hAnsi="Arial Black" w:cs="Arial Black"/>
      <w:color w:val="000000"/>
      <w:sz w:val="24"/>
      <w:szCs w:val="24"/>
      <w:lang w:eastAsia="zh-CN"/>
    </w:rPr>
  </w:style>
  <w:style w:type="paragraph" w:customStyle="1" w:styleId="N4">
    <w:name w:val="N4"/>
    <w:basedOn w:val="Normal"/>
    <w:rsid w:val="00B675CA"/>
    <w:pPr>
      <w:tabs>
        <w:tab w:val="left" w:pos="6096"/>
      </w:tabs>
      <w:suppressAutoHyphens/>
      <w:spacing w:after="0" w:line="240" w:lineRule="auto"/>
      <w:ind w:left="720" w:hanging="360"/>
    </w:pPr>
    <w:rPr>
      <w:rFonts w:ascii="Arial Black" w:eastAsia="Times New Roman" w:hAnsi="Arial Black" w:cs="Arial Black"/>
      <w:color w:val="000000"/>
      <w:sz w:val="20"/>
      <w:szCs w:val="24"/>
      <w:lang w:eastAsia="zh-CN"/>
    </w:rPr>
  </w:style>
  <w:style w:type="paragraph" w:customStyle="1" w:styleId="TEXT">
    <w:name w:val="TEXT"/>
    <w:basedOn w:val="Normal"/>
    <w:rsid w:val="00B675CA"/>
    <w:pPr>
      <w:tabs>
        <w:tab w:val="left" w:pos="357"/>
        <w:tab w:val="left" w:pos="6096"/>
      </w:tabs>
      <w:suppressAutoHyphens/>
      <w:spacing w:after="0" w:line="240" w:lineRule="auto"/>
    </w:pPr>
    <w:rPr>
      <w:rFonts w:ascii="Arial" w:eastAsia="Times New Roman" w:hAnsi="Arial" w:cs="Arial"/>
      <w:color w:val="000000"/>
      <w:sz w:val="20"/>
      <w:szCs w:val="24"/>
      <w:lang w:eastAsia="zh-CN"/>
    </w:rPr>
  </w:style>
  <w:style w:type="paragraph" w:customStyle="1" w:styleId="ZNaslov3">
    <w:name w:val="ZNaslov3"/>
    <w:basedOn w:val="Normal"/>
    <w:rsid w:val="00B675CA"/>
    <w:pPr>
      <w:suppressAutoHyphens/>
      <w:spacing w:line="240" w:lineRule="auto"/>
      <w:ind w:left="284"/>
    </w:pPr>
    <w:rPr>
      <w:rFonts w:ascii="Futura Md BT" w:eastAsia="Times New Roman" w:hAnsi="Futura Md BT" w:cs="Arial"/>
      <w:b/>
      <w:color w:val="000000"/>
      <w:sz w:val="24"/>
      <w:szCs w:val="24"/>
      <w:lang w:eastAsia="zh-CN"/>
    </w:rPr>
  </w:style>
  <w:style w:type="paragraph" w:customStyle="1" w:styleId="N1">
    <w:name w:val="N1"/>
    <w:basedOn w:val="Normal"/>
    <w:rsid w:val="00B675CA"/>
    <w:pPr>
      <w:tabs>
        <w:tab w:val="left" w:pos="6096"/>
      </w:tabs>
      <w:suppressAutoHyphens/>
      <w:spacing w:after="0" w:line="240" w:lineRule="auto"/>
      <w:ind w:left="284" w:hanging="284"/>
    </w:pPr>
    <w:rPr>
      <w:rFonts w:ascii="Arial Black" w:eastAsia="Times New Roman" w:hAnsi="Arial Black" w:cs="Arial Black"/>
      <w:color w:val="000000"/>
      <w:sz w:val="24"/>
      <w:szCs w:val="24"/>
      <w:lang w:eastAsia="zh-CN"/>
    </w:rPr>
  </w:style>
  <w:style w:type="paragraph" w:customStyle="1" w:styleId="N2">
    <w:name w:val="N2"/>
    <w:basedOn w:val="Normal"/>
    <w:rsid w:val="00B675CA"/>
    <w:pPr>
      <w:tabs>
        <w:tab w:val="left" w:pos="6096"/>
      </w:tabs>
      <w:suppressAutoHyphens/>
      <w:spacing w:after="0" w:line="240" w:lineRule="auto"/>
      <w:ind w:left="851" w:hanging="491"/>
    </w:pPr>
    <w:rPr>
      <w:rFonts w:ascii="Arial Black" w:eastAsia="Times New Roman" w:hAnsi="Arial Black" w:cs="Arial Black"/>
      <w:color w:val="000000"/>
      <w:szCs w:val="24"/>
      <w:lang w:eastAsia="zh-CN"/>
    </w:rPr>
  </w:style>
  <w:style w:type="paragraph" w:customStyle="1" w:styleId="xl64">
    <w:name w:val="xl64"/>
    <w:basedOn w:val="Normal"/>
    <w:rsid w:val="002B4C75"/>
    <w:pPr>
      <w:spacing w:before="100" w:beforeAutospacing="1" w:after="100" w:afterAutospacing="1" w:line="240" w:lineRule="auto"/>
    </w:pPr>
    <w:rPr>
      <w:rFonts w:ascii="Arial" w:eastAsia="Times New Roman" w:hAnsi="Arial" w:cs="Arial"/>
      <w:sz w:val="20"/>
      <w:szCs w:val="20"/>
      <w:lang w:eastAsia="hr-HR"/>
    </w:rPr>
  </w:style>
  <w:style w:type="paragraph" w:customStyle="1" w:styleId="xl65">
    <w:name w:val="xl65"/>
    <w:basedOn w:val="Normal"/>
    <w:rsid w:val="002B4C75"/>
    <w:pPr>
      <w:spacing w:before="100" w:beforeAutospacing="1" w:after="100" w:afterAutospacing="1" w:line="240" w:lineRule="auto"/>
    </w:pPr>
    <w:rPr>
      <w:rFonts w:ascii="Arial" w:eastAsia="Times New Roman" w:hAnsi="Arial" w:cs="Arial"/>
      <w:color w:val="000000"/>
      <w:sz w:val="18"/>
      <w:szCs w:val="18"/>
      <w:lang w:eastAsia="hr-HR"/>
    </w:rPr>
  </w:style>
  <w:style w:type="character" w:customStyle="1" w:styleId="fontstyle01">
    <w:name w:val="fontstyle01"/>
    <w:basedOn w:val="Zadanifontodlomka"/>
    <w:qFormat/>
    <w:rsid w:val="00C162A0"/>
    <w:rPr>
      <w:rFonts w:ascii="TimesNewRomanPSMT" w:hAnsi="TimesNewRomanPSMT" w:hint="default"/>
      <w:b w:val="0"/>
      <w:bCs w:val="0"/>
      <w:i w:val="0"/>
      <w:iCs w:val="0"/>
      <w:color w:val="000000"/>
      <w:sz w:val="22"/>
      <w:szCs w:val="22"/>
    </w:rPr>
  </w:style>
  <w:style w:type="character" w:customStyle="1" w:styleId="Bodytext5">
    <w:name w:val="Body text (5)_"/>
    <w:basedOn w:val="Zadanifontodlomka"/>
    <w:link w:val="Bodytext50"/>
    <w:uiPriority w:val="99"/>
    <w:rsid w:val="00C162A0"/>
    <w:rPr>
      <w:rFonts w:cs="Calibri"/>
      <w:shd w:val="clear" w:color="auto" w:fill="FFFFFF"/>
    </w:rPr>
  </w:style>
  <w:style w:type="paragraph" w:customStyle="1" w:styleId="Bodytext50">
    <w:name w:val="Body text (5)"/>
    <w:basedOn w:val="Normal"/>
    <w:link w:val="Bodytext5"/>
    <w:uiPriority w:val="99"/>
    <w:rsid w:val="00C162A0"/>
    <w:pPr>
      <w:widowControl w:val="0"/>
      <w:shd w:val="clear" w:color="auto" w:fill="FFFFFF"/>
      <w:spacing w:after="240" w:line="254" w:lineRule="exact"/>
      <w:ind w:hanging="340"/>
    </w:pPr>
    <w:rPr>
      <w:rFonts w:cs="Calibri"/>
      <w:kern w:val="2"/>
    </w:rPr>
  </w:style>
  <w:style w:type="character" w:customStyle="1" w:styleId="Heading1Char">
    <w:name w:val="Heading 1 Char"/>
    <w:basedOn w:val="Zadanifontodlomka"/>
    <w:qFormat/>
    <w:rsid w:val="00677F66"/>
    <w:rPr>
      <w:rFonts w:ascii="Arial" w:eastAsia="Arial" w:hAnsi="Arial" w:cs="Arial"/>
      <w:color w:val="2F5496" w:themeColor="accent1" w:themeShade="BF"/>
      <w:sz w:val="40"/>
      <w:szCs w:val="40"/>
    </w:rPr>
  </w:style>
  <w:style w:type="character" w:customStyle="1" w:styleId="Heading2Char">
    <w:name w:val="Heading 2 Char"/>
    <w:basedOn w:val="Zadanifontodlomka"/>
    <w:qFormat/>
    <w:rsid w:val="00677F66"/>
    <w:rPr>
      <w:rFonts w:ascii="Arial" w:eastAsia="Arial" w:hAnsi="Arial" w:cs="Arial"/>
      <w:color w:val="2F5496" w:themeColor="accent1" w:themeShade="BF"/>
      <w:sz w:val="32"/>
      <w:szCs w:val="32"/>
    </w:rPr>
  </w:style>
  <w:style w:type="character" w:customStyle="1" w:styleId="Heading3Char">
    <w:name w:val="Heading 3 Char"/>
    <w:basedOn w:val="Zadanifontodlomka"/>
    <w:qFormat/>
    <w:rsid w:val="00677F66"/>
    <w:rPr>
      <w:rFonts w:ascii="Arial" w:eastAsia="Arial" w:hAnsi="Arial" w:cs="Arial"/>
      <w:color w:val="2F5496" w:themeColor="accent1" w:themeShade="BF"/>
      <w:sz w:val="28"/>
      <w:szCs w:val="28"/>
    </w:rPr>
  </w:style>
  <w:style w:type="character" w:customStyle="1" w:styleId="Heading4Char">
    <w:name w:val="Heading 4 Char"/>
    <w:basedOn w:val="Zadanifontodlomka"/>
    <w:qFormat/>
    <w:rsid w:val="00677F66"/>
    <w:rPr>
      <w:rFonts w:ascii="Arial" w:eastAsia="Arial" w:hAnsi="Arial" w:cs="Arial"/>
      <w:i/>
      <w:iCs/>
      <w:color w:val="2F5496" w:themeColor="accent1" w:themeShade="BF"/>
    </w:rPr>
  </w:style>
  <w:style w:type="character" w:customStyle="1" w:styleId="Heading5Char">
    <w:name w:val="Heading 5 Char"/>
    <w:basedOn w:val="Zadanifontodlomka"/>
    <w:qFormat/>
    <w:rsid w:val="00677F66"/>
    <w:rPr>
      <w:rFonts w:ascii="Arial" w:eastAsia="Arial" w:hAnsi="Arial" w:cs="Arial"/>
      <w:color w:val="2F5496" w:themeColor="accent1" w:themeShade="BF"/>
    </w:rPr>
  </w:style>
  <w:style w:type="character" w:customStyle="1" w:styleId="Heading6Char">
    <w:name w:val="Heading 6 Char"/>
    <w:basedOn w:val="Zadanifontodlomka"/>
    <w:qFormat/>
    <w:rsid w:val="00677F66"/>
    <w:rPr>
      <w:rFonts w:ascii="Arial" w:eastAsia="Arial" w:hAnsi="Arial" w:cs="Arial"/>
      <w:i/>
      <w:iCs/>
      <w:color w:val="595959" w:themeColor="text1" w:themeTint="A6"/>
    </w:rPr>
  </w:style>
  <w:style w:type="character" w:customStyle="1" w:styleId="Heading7Char">
    <w:name w:val="Heading 7 Char"/>
    <w:basedOn w:val="Zadanifontodlomka"/>
    <w:qFormat/>
    <w:rsid w:val="00677F66"/>
    <w:rPr>
      <w:rFonts w:ascii="Arial" w:eastAsia="Arial" w:hAnsi="Arial" w:cs="Arial"/>
      <w:color w:val="595959" w:themeColor="text1" w:themeTint="A6"/>
    </w:rPr>
  </w:style>
  <w:style w:type="character" w:customStyle="1" w:styleId="Heading8Char">
    <w:name w:val="Heading 8 Char"/>
    <w:basedOn w:val="Zadanifontodlomka"/>
    <w:qFormat/>
    <w:rsid w:val="00677F66"/>
    <w:rPr>
      <w:rFonts w:ascii="Arial" w:eastAsia="Arial" w:hAnsi="Arial" w:cs="Arial"/>
      <w:i/>
      <w:iCs/>
      <w:color w:val="272727" w:themeColor="text1" w:themeTint="D8"/>
    </w:rPr>
  </w:style>
  <w:style w:type="character" w:customStyle="1" w:styleId="Heading9Char">
    <w:name w:val="Heading 9 Char"/>
    <w:basedOn w:val="Zadanifontodlomka"/>
    <w:qFormat/>
    <w:rsid w:val="00677F66"/>
    <w:rPr>
      <w:rFonts w:ascii="Arial" w:eastAsia="Arial" w:hAnsi="Arial" w:cs="Arial"/>
      <w:i/>
      <w:iCs/>
      <w:color w:val="272727" w:themeColor="text1" w:themeTint="D8"/>
    </w:rPr>
  </w:style>
  <w:style w:type="character" w:customStyle="1" w:styleId="TitleChar">
    <w:name w:val="Title Char"/>
    <w:basedOn w:val="Zadanifontodlomka"/>
    <w:uiPriority w:val="10"/>
    <w:rsid w:val="00677F66"/>
    <w:rPr>
      <w:rFonts w:ascii="Arial" w:eastAsia="Arial" w:hAnsi="Arial" w:cs="Arial"/>
      <w:spacing w:val="-10"/>
      <w:sz w:val="56"/>
      <w:szCs w:val="56"/>
    </w:rPr>
  </w:style>
  <w:style w:type="character" w:customStyle="1" w:styleId="SubtitleChar">
    <w:name w:val="Subtitle Char"/>
    <w:basedOn w:val="Zadanifontodlomka"/>
    <w:uiPriority w:val="11"/>
    <w:rsid w:val="00677F66"/>
    <w:rPr>
      <w:color w:val="595959" w:themeColor="text1" w:themeTint="A6"/>
      <w:spacing w:val="15"/>
      <w:sz w:val="28"/>
      <w:szCs w:val="28"/>
    </w:rPr>
  </w:style>
  <w:style w:type="character" w:customStyle="1" w:styleId="QuoteChar">
    <w:name w:val="Quote Char"/>
    <w:basedOn w:val="Zadanifontodlomka"/>
    <w:uiPriority w:val="29"/>
    <w:rsid w:val="00677F66"/>
    <w:rPr>
      <w:i/>
      <w:iCs/>
      <w:color w:val="404040" w:themeColor="text1" w:themeTint="BF"/>
    </w:rPr>
  </w:style>
  <w:style w:type="character" w:customStyle="1" w:styleId="IntenseQuoteChar">
    <w:name w:val="Intense Quote Char"/>
    <w:basedOn w:val="Zadanifontodlomka"/>
    <w:uiPriority w:val="30"/>
    <w:rsid w:val="00677F66"/>
    <w:rPr>
      <w:i/>
      <w:iCs/>
      <w:color w:val="2F5496" w:themeColor="accent1" w:themeShade="BF"/>
    </w:rPr>
  </w:style>
  <w:style w:type="paragraph" w:styleId="Naslov">
    <w:name w:val="Title"/>
    <w:basedOn w:val="Normal"/>
    <w:next w:val="Normal"/>
    <w:link w:val="NaslovChar"/>
    <w:uiPriority w:val="10"/>
    <w:qFormat/>
    <w:rsid w:val="00677F66"/>
    <w:pPr>
      <w:spacing w:after="80" w:line="240" w:lineRule="auto"/>
      <w:contextualSpacing/>
    </w:pPr>
    <w:rPr>
      <w:rFonts w:ascii="Arial" w:eastAsia="Arial" w:hAnsi="Arial" w:cs="Arial"/>
      <w:spacing w:val="-10"/>
      <w:sz w:val="56"/>
      <w:szCs w:val="56"/>
    </w:rPr>
  </w:style>
  <w:style w:type="character" w:customStyle="1" w:styleId="NaslovChar">
    <w:name w:val="Naslov Char"/>
    <w:basedOn w:val="Zadanifontodlomka"/>
    <w:link w:val="Naslov"/>
    <w:uiPriority w:val="10"/>
    <w:qFormat/>
    <w:rsid w:val="00677F66"/>
    <w:rPr>
      <w:rFonts w:ascii="Arial" w:eastAsia="Arial" w:hAnsi="Arial" w:cs="Arial"/>
      <w:spacing w:val="-10"/>
      <w:kern w:val="0"/>
      <w:sz w:val="56"/>
      <w:szCs w:val="56"/>
    </w:rPr>
  </w:style>
  <w:style w:type="paragraph" w:styleId="Podnaslov0">
    <w:name w:val="Subtitle"/>
    <w:basedOn w:val="Normal"/>
    <w:next w:val="Normal"/>
    <w:link w:val="PodnaslovChar"/>
    <w:uiPriority w:val="11"/>
    <w:qFormat/>
    <w:rsid w:val="00677F66"/>
    <w:pPr>
      <w:numPr>
        <w:ilvl w:val="1"/>
      </w:numPr>
      <w:spacing w:after="200" w:line="276" w:lineRule="auto"/>
    </w:pPr>
    <w:rPr>
      <w:rFonts w:ascii="Times New Roman" w:hAnsi="Times New Roman"/>
      <w:color w:val="595959" w:themeColor="text1" w:themeTint="A6"/>
      <w:spacing w:val="15"/>
      <w:sz w:val="28"/>
      <w:szCs w:val="28"/>
    </w:rPr>
  </w:style>
  <w:style w:type="character" w:customStyle="1" w:styleId="PodnaslovChar">
    <w:name w:val="Podnaslov Char"/>
    <w:basedOn w:val="Zadanifontodlomka"/>
    <w:link w:val="Podnaslov0"/>
    <w:uiPriority w:val="11"/>
    <w:qFormat/>
    <w:rsid w:val="00677F66"/>
    <w:rPr>
      <w:rFonts w:ascii="Times New Roman" w:hAnsi="Times New Roman"/>
      <w:color w:val="595959" w:themeColor="text1" w:themeTint="A6"/>
      <w:spacing w:val="15"/>
      <w:kern w:val="0"/>
      <w:sz w:val="28"/>
      <w:szCs w:val="28"/>
    </w:rPr>
  </w:style>
  <w:style w:type="paragraph" w:styleId="Citat">
    <w:name w:val="Quote"/>
    <w:basedOn w:val="Normal"/>
    <w:next w:val="Normal"/>
    <w:link w:val="CitatChar"/>
    <w:uiPriority w:val="29"/>
    <w:qFormat/>
    <w:rsid w:val="00677F66"/>
    <w:pPr>
      <w:spacing w:before="160" w:after="200" w:line="276" w:lineRule="auto"/>
      <w:jc w:val="center"/>
    </w:pPr>
    <w:rPr>
      <w:rFonts w:ascii="Times New Roman" w:hAnsi="Times New Roman"/>
      <w:i/>
      <w:iCs/>
      <w:color w:val="404040" w:themeColor="text1" w:themeTint="BF"/>
      <w:sz w:val="20"/>
    </w:rPr>
  </w:style>
  <w:style w:type="character" w:customStyle="1" w:styleId="CitatChar">
    <w:name w:val="Citat Char"/>
    <w:basedOn w:val="Zadanifontodlomka"/>
    <w:link w:val="Citat"/>
    <w:uiPriority w:val="29"/>
    <w:qFormat/>
    <w:rsid w:val="00677F66"/>
    <w:rPr>
      <w:rFonts w:ascii="Times New Roman" w:hAnsi="Times New Roman"/>
      <w:i/>
      <w:iCs/>
      <w:color w:val="404040" w:themeColor="text1" w:themeTint="BF"/>
      <w:kern w:val="0"/>
      <w:sz w:val="20"/>
    </w:rPr>
  </w:style>
  <w:style w:type="character" w:styleId="Jakoisticanje">
    <w:name w:val="Intense Emphasis"/>
    <w:basedOn w:val="Zadanifontodlomka"/>
    <w:uiPriority w:val="21"/>
    <w:qFormat/>
    <w:rsid w:val="00677F66"/>
    <w:rPr>
      <w:i/>
      <w:iCs/>
      <w:color w:val="2F5496" w:themeColor="accent1" w:themeShade="BF"/>
    </w:rPr>
  </w:style>
  <w:style w:type="paragraph" w:styleId="Naglaencitat">
    <w:name w:val="Intense Quote"/>
    <w:basedOn w:val="Normal"/>
    <w:next w:val="Normal"/>
    <w:link w:val="NaglaencitatChar"/>
    <w:uiPriority w:val="30"/>
    <w:qFormat/>
    <w:rsid w:val="00677F66"/>
    <w:pPr>
      <w:pBdr>
        <w:top w:val="single" w:sz="4" w:space="10" w:color="2F5496" w:themeColor="accent1" w:themeShade="BF"/>
        <w:bottom w:val="single" w:sz="4" w:space="10" w:color="2F5496" w:themeColor="accent1" w:themeShade="BF"/>
      </w:pBdr>
      <w:spacing w:before="360" w:after="360" w:line="276" w:lineRule="auto"/>
      <w:ind w:left="864" w:right="864"/>
      <w:jc w:val="center"/>
    </w:pPr>
    <w:rPr>
      <w:rFonts w:ascii="Times New Roman" w:hAnsi="Times New Roman"/>
      <w:i/>
      <w:iCs/>
      <w:color w:val="2F5496" w:themeColor="accent1" w:themeShade="BF"/>
      <w:sz w:val="20"/>
    </w:rPr>
  </w:style>
  <w:style w:type="character" w:customStyle="1" w:styleId="NaglaencitatChar">
    <w:name w:val="Naglašen citat Char"/>
    <w:basedOn w:val="Zadanifontodlomka"/>
    <w:link w:val="Naglaencitat"/>
    <w:uiPriority w:val="30"/>
    <w:qFormat/>
    <w:rsid w:val="00677F66"/>
    <w:rPr>
      <w:rFonts w:ascii="Times New Roman" w:hAnsi="Times New Roman"/>
      <w:i/>
      <w:iCs/>
      <w:color w:val="2F5496" w:themeColor="accent1" w:themeShade="BF"/>
      <w:kern w:val="0"/>
      <w:sz w:val="20"/>
    </w:rPr>
  </w:style>
  <w:style w:type="character" w:styleId="Istaknutareferenca">
    <w:name w:val="Intense Reference"/>
    <w:basedOn w:val="Zadanifontodlomka"/>
    <w:uiPriority w:val="32"/>
    <w:qFormat/>
    <w:rsid w:val="00677F66"/>
    <w:rPr>
      <w:b/>
      <w:bCs/>
      <w:smallCaps/>
      <w:color w:val="2F5496" w:themeColor="accent1" w:themeShade="BF"/>
      <w:spacing w:val="5"/>
    </w:rPr>
  </w:style>
  <w:style w:type="character" w:styleId="Neupadljivoisticanje">
    <w:name w:val="Subtle Emphasis"/>
    <w:basedOn w:val="Zadanifontodlomka"/>
    <w:uiPriority w:val="19"/>
    <w:qFormat/>
    <w:rsid w:val="00677F66"/>
    <w:rPr>
      <w:i/>
      <w:iCs/>
      <w:color w:val="404040" w:themeColor="text1" w:themeTint="BF"/>
    </w:rPr>
  </w:style>
  <w:style w:type="character" w:styleId="Istaknuto">
    <w:name w:val="Emphasis"/>
    <w:basedOn w:val="Zadanifontodlomka"/>
    <w:uiPriority w:val="20"/>
    <w:qFormat/>
    <w:rsid w:val="00677F66"/>
    <w:rPr>
      <w:i/>
      <w:iCs/>
    </w:rPr>
  </w:style>
  <w:style w:type="character" w:styleId="Naglaeno">
    <w:name w:val="Strong"/>
    <w:basedOn w:val="Zadanifontodlomka"/>
    <w:uiPriority w:val="22"/>
    <w:qFormat/>
    <w:rsid w:val="00677F66"/>
    <w:rPr>
      <w:b/>
      <w:bCs/>
    </w:rPr>
  </w:style>
  <w:style w:type="character" w:styleId="Neupadljivareferenca">
    <w:name w:val="Subtle Reference"/>
    <w:basedOn w:val="Zadanifontodlomka"/>
    <w:uiPriority w:val="31"/>
    <w:qFormat/>
    <w:rsid w:val="00677F66"/>
    <w:rPr>
      <w:smallCaps/>
      <w:color w:val="5A5A5A" w:themeColor="text1" w:themeTint="A5"/>
    </w:rPr>
  </w:style>
  <w:style w:type="character" w:styleId="Naslovknjige">
    <w:name w:val="Book Title"/>
    <w:basedOn w:val="Zadanifontodlomka"/>
    <w:uiPriority w:val="33"/>
    <w:qFormat/>
    <w:rsid w:val="00677F66"/>
    <w:rPr>
      <w:b/>
      <w:bCs/>
      <w:i/>
      <w:iCs/>
      <w:spacing w:val="5"/>
    </w:rPr>
  </w:style>
  <w:style w:type="character" w:customStyle="1" w:styleId="HeaderChar">
    <w:name w:val="Header Char"/>
    <w:basedOn w:val="Zadanifontodlomka"/>
    <w:qFormat/>
    <w:rsid w:val="00677F66"/>
  </w:style>
  <w:style w:type="character" w:customStyle="1" w:styleId="FooterChar">
    <w:name w:val="Footer Char"/>
    <w:basedOn w:val="Zadanifontodlomka"/>
    <w:uiPriority w:val="99"/>
    <w:qFormat/>
    <w:rsid w:val="00677F66"/>
  </w:style>
  <w:style w:type="paragraph" w:styleId="Opisslike">
    <w:name w:val="caption"/>
    <w:basedOn w:val="Normal"/>
    <w:next w:val="Normal"/>
    <w:link w:val="OpisslikeChar"/>
    <w:uiPriority w:val="35"/>
    <w:unhideWhenUsed/>
    <w:qFormat/>
    <w:rsid w:val="00677F66"/>
    <w:pPr>
      <w:spacing w:after="200" w:line="240" w:lineRule="auto"/>
    </w:pPr>
    <w:rPr>
      <w:rFonts w:ascii="Times New Roman" w:hAnsi="Times New Roman"/>
      <w:i/>
      <w:iCs/>
      <w:color w:val="44546A" w:themeColor="text2"/>
      <w:sz w:val="18"/>
      <w:szCs w:val="18"/>
    </w:rPr>
  </w:style>
  <w:style w:type="character" w:customStyle="1" w:styleId="TekstfusnoteChar">
    <w:name w:val="Tekst fusnote Char"/>
    <w:basedOn w:val="Zadanifontodlomka"/>
    <w:link w:val="Tekstfusnote"/>
    <w:qFormat/>
    <w:rsid w:val="00677F66"/>
    <w:rPr>
      <w:rFonts w:ascii="Times New Roman" w:hAnsi="Times New Roman"/>
      <w:kern w:val="0"/>
      <w:sz w:val="20"/>
      <w:szCs w:val="20"/>
    </w:rPr>
  </w:style>
  <w:style w:type="paragraph" w:styleId="Tekstfusnote">
    <w:name w:val="footnote text"/>
    <w:basedOn w:val="Normal"/>
    <w:link w:val="TekstfusnoteChar"/>
    <w:unhideWhenUsed/>
    <w:qFormat/>
    <w:rsid w:val="00677F66"/>
    <w:pPr>
      <w:spacing w:after="0" w:line="240" w:lineRule="auto"/>
    </w:pPr>
    <w:rPr>
      <w:rFonts w:ascii="Times New Roman" w:hAnsi="Times New Roman"/>
      <w:sz w:val="20"/>
      <w:szCs w:val="20"/>
    </w:rPr>
  </w:style>
  <w:style w:type="character" w:customStyle="1" w:styleId="TekstkrajnjebiljekeChar">
    <w:name w:val="Tekst krajnje bilješke Char"/>
    <w:basedOn w:val="Zadanifontodlomka"/>
    <w:link w:val="Tekstkrajnjebiljeke"/>
    <w:uiPriority w:val="99"/>
    <w:semiHidden/>
    <w:qFormat/>
    <w:rsid w:val="00677F66"/>
    <w:rPr>
      <w:rFonts w:ascii="Times New Roman" w:hAnsi="Times New Roman"/>
      <w:kern w:val="0"/>
      <w:sz w:val="20"/>
      <w:szCs w:val="20"/>
    </w:rPr>
  </w:style>
  <w:style w:type="paragraph" w:styleId="Tekstkrajnjebiljeke">
    <w:name w:val="endnote text"/>
    <w:basedOn w:val="Normal"/>
    <w:link w:val="TekstkrajnjebiljekeChar"/>
    <w:uiPriority w:val="99"/>
    <w:semiHidden/>
    <w:unhideWhenUsed/>
    <w:qFormat/>
    <w:rsid w:val="00677F66"/>
    <w:pPr>
      <w:spacing w:after="0" w:line="240" w:lineRule="auto"/>
    </w:pPr>
    <w:rPr>
      <w:rFonts w:ascii="Times New Roman" w:hAnsi="Times New Roman"/>
      <w:sz w:val="20"/>
      <w:szCs w:val="20"/>
    </w:rPr>
  </w:style>
  <w:style w:type="paragraph" w:styleId="TOCNaslov">
    <w:name w:val="TOC Heading"/>
    <w:uiPriority w:val="39"/>
    <w:unhideWhenUsed/>
    <w:rsid w:val="00677F66"/>
    <w:pPr>
      <w:spacing w:after="200" w:line="276" w:lineRule="auto"/>
    </w:pPr>
    <w:rPr>
      <w:kern w:val="0"/>
    </w:rPr>
  </w:style>
  <w:style w:type="paragraph" w:styleId="Tablicaslika">
    <w:name w:val="table of figures"/>
    <w:basedOn w:val="Normal"/>
    <w:next w:val="Normal"/>
    <w:uiPriority w:val="99"/>
    <w:unhideWhenUsed/>
    <w:qFormat/>
    <w:rsid w:val="00677F66"/>
    <w:pPr>
      <w:spacing w:after="0" w:line="276" w:lineRule="auto"/>
    </w:pPr>
    <w:rPr>
      <w:rFonts w:ascii="Times New Roman" w:hAnsi="Times New Roman"/>
      <w:sz w:val="20"/>
    </w:rPr>
  </w:style>
  <w:style w:type="paragraph" w:styleId="Zaglavlje">
    <w:name w:val="header"/>
    <w:basedOn w:val="Normal"/>
    <w:link w:val="ZaglavljeChar"/>
    <w:uiPriority w:val="99"/>
    <w:unhideWhenUsed/>
    <w:qFormat/>
    <w:rsid w:val="00677F66"/>
    <w:pPr>
      <w:tabs>
        <w:tab w:val="center" w:pos="4536"/>
        <w:tab w:val="right" w:pos="9072"/>
      </w:tabs>
      <w:spacing w:after="0" w:line="240" w:lineRule="auto"/>
    </w:pPr>
    <w:rPr>
      <w:rFonts w:ascii="Times New Roman" w:hAnsi="Times New Roman"/>
      <w:sz w:val="20"/>
    </w:rPr>
  </w:style>
  <w:style w:type="character" w:customStyle="1" w:styleId="ZaglavljeChar">
    <w:name w:val="Zaglavlje Char"/>
    <w:basedOn w:val="Zadanifontodlomka"/>
    <w:link w:val="Zaglavlje"/>
    <w:uiPriority w:val="99"/>
    <w:qFormat/>
    <w:rsid w:val="00677F66"/>
    <w:rPr>
      <w:rFonts w:ascii="Times New Roman" w:hAnsi="Times New Roman"/>
      <w:kern w:val="0"/>
      <w:sz w:val="20"/>
    </w:rPr>
  </w:style>
  <w:style w:type="paragraph" w:styleId="Podnoje">
    <w:name w:val="footer"/>
    <w:basedOn w:val="Normal"/>
    <w:link w:val="PodnojeChar"/>
    <w:uiPriority w:val="99"/>
    <w:unhideWhenUsed/>
    <w:qFormat/>
    <w:rsid w:val="00677F66"/>
    <w:pPr>
      <w:tabs>
        <w:tab w:val="center" w:pos="4536"/>
        <w:tab w:val="right" w:pos="9072"/>
      </w:tabs>
      <w:spacing w:after="0" w:line="240" w:lineRule="auto"/>
    </w:pPr>
    <w:rPr>
      <w:rFonts w:ascii="Times New Roman" w:hAnsi="Times New Roman"/>
      <w:sz w:val="20"/>
    </w:rPr>
  </w:style>
  <w:style w:type="character" w:customStyle="1" w:styleId="PodnojeChar">
    <w:name w:val="Podnožje Char"/>
    <w:basedOn w:val="Zadanifontodlomka"/>
    <w:link w:val="Podnoje"/>
    <w:uiPriority w:val="99"/>
    <w:qFormat/>
    <w:rsid w:val="00677F66"/>
    <w:rPr>
      <w:rFonts w:ascii="Times New Roman" w:hAnsi="Times New Roman"/>
      <w:kern w:val="0"/>
      <w:sz w:val="20"/>
    </w:rPr>
  </w:style>
  <w:style w:type="paragraph" w:customStyle="1" w:styleId="Sadrajitablice">
    <w:name w:val="Sadržaji tablice"/>
    <w:basedOn w:val="Normal"/>
    <w:qFormat/>
    <w:rsid w:val="00677F66"/>
    <w:pPr>
      <w:suppressLineNumbers/>
      <w:suppressAutoHyphens/>
      <w:spacing w:after="0" w:line="240" w:lineRule="auto"/>
    </w:pPr>
    <w:rPr>
      <w:rFonts w:ascii="Times New Roman" w:eastAsia="Times New Roman" w:hAnsi="Times New Roman" w:cs="Times New Roman"/>
      <w:sz w:val="20"/>
      <w:szCs w:val="20"/>
      <w:lang w:val="en-GB" w:eastAsia="ar-SA"/>
    </w:rPr>
  </w:style>
  <w:style w:type="character" w:customStyle="1" w:styleId="apple-converted-space">
    <w:name w:val="apple-converted-space"/>
    <w:basedOn w:val="Zadanifontodlomka"/>
    <w:qFormat/>
    <w:rsid w:val="00677F66"/>
  </w:style>
  <w:style w:type="paragraph" w:customStyle="1" w:styleId="Tijeloteksta21">
    <w:name w:val="Tijelo teksta 21"/>
    <w:basedOn w:val="Normal"/>
    <w:rsid w:val="00677F66"/>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Tijeloteksta22">
    <w:name w:val="Tijelo teksta 22"/>
    <w:basedOn w:val="Normal"/>
    <w:rsid w:val="00501CA7"/>
    <w:pPr>
      <w:suppressAutoHyphens/>
      <w:spacing w:after="0" w:line="240" w:lineRule="auto"/>
      <w:jc w:val="both"/>
    </w:pPr>
    <w:rPr>
      <w:rFonts w:ascii="Times New Roman" w:eastAsia="Times New Roman" w:hAnsi="Times New Roman" w:cs="Times New Roman"/>
      <w:sz w:val="24"/>
      <w:szCs w:val="20"/>
      <w:lang w:eastAsia="ar-SA"/>
    </w:rPr>
  </w:style>
  <w:style w:type="paragraph" w:customStyle="1" w:styleId="paragraph">
    <w:name w:val="paragraph"/>
    <w:basedOn w:val="Normal"/>
    <w:qFormat/>
    <w:rsid w:val="00C2081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ormaltextrun">
    <w:name w:val="normaltextrun"/>
    <w:basedOn w:val="Zadanifontodlomka"/>
    <w:qFormat/>
    <w:rsid w:val="00C20815"/>
  </w:style>
  <w:style w:type="character" w:customStyle="1" w:styleId="FootnoteTextChar">
    <w:name w:val="Footnote Text Char"/>
    <w:basedOn w:val="Zadanifontodlomka"/>
    <w:qFormat/>
    <w:rsid w:val="00C20815"/>
    <w:rPr>
      <w:sz w:val="20"/>
      <w:szCs w:val="20"/>
    </w:rPr>
  </w:style>
  <w:style w:type="character" w:customStyle="1" w:styleId="EndnoteTextChar">
    <w:name w:val="Endnote Text Char"/>
    <w:basedOn w:val="Zadanifontodlomka"/>
    <w:uiPriority w:val="99"/>
    <w:semiHidden/>
    <w:rsid w:val="00C20815"/>
    <w:rPr>
      <w:sz w:val="20"/>
      <w:szCs w:val="20"/>
    </w:rPr>
  </w:style>
  <w:style w:type="table" w:customStyle="1" w:styleId="TableGridLight">
    <w:name w:val="Table Grid Light"/>
    <w:basedOn w:val="Obinatablica"/>
    <w:uiPriority w:val="59"/>
    <w:qFormat/>
    <w:rsid w:val="00C20815"/>
    <w:pPr>
      <w:spacing w:after="0" w:line="240" w:lineRule="auto"/>
    </w:pPr>
    <w:rPr>
      <w:kern w:val="0"/>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Obinatablica11">
    <w:name w:val="Obična tablica 11"/>
    <w:basedOn w:val="Obinatablica"/>
    <w:uiPriority w:val="59"/>
    <w:qFormat/>
    <w:rsid w:val="00C20815"/>
    <w:pPr>
      <w:spacing w:after="0" w:line="240" w:lineRule="auto"/>
    </w:pPr>
    <w:rPr>
      <w:kern w:val="0"/>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Obinatablica21">
    <w:name w:val="Obična tablica 21"/>
    <w:basedOn w:val="Obinatablica"/>
    <w:uiPriority w:val="59"/>
    <w:qFormat/>
    <w:rsid w:val="00C20815"/>
    <w:pPr>
      <w:spacing w:after="0" w:line="240" w:lineRule="auto"/>
    </w:pPr>
    <w:rPr>
      <w:kern w:val="0"/>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inatablica31">
    <w:name w:val="Obična tablica 31"/>
    <w:basedOn w:val="Obinatablica"/>
    <w:uiPriority w:val="99"/>
    <w:qFormat/>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Obinatablica41">
    <w:name w:val="Obična tablica 41"/>
    <w:basedOn w:val="Obinatablica"/>
    <w:uiPriority w:val="99"/>
    <w:qFormat/>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Obinatablica51">
    <w:name w:val="Obična tablica 51"/>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Svijetlatablicareetke11">
    <w:name w:val="Svijetla tablica rešetke 11"/>
    <w:basedOn w:val="Obinatablica"/>
    <w:uiPriority w:val="99"/>
    <w:rsid w:val="00C20815"/>
    <w:pPr>
      <w:spacing w:after="0" w:line="240" w:lineRule="auto"/>
    </w:pPr>
    <w:rPr>
      <w:kern w:val="0"/>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Obinatablica"/>
    <w:uiPriority w:val="99"/>
    <w:rsid w:val="00C20815"/>
    <w:pPr>
      <w:spacing w:after="0" w:line="240" w:lineRule="auto"/>
    </w:pPr>
    <w:rPr>
      <w:kern w:val="0"/>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Obinatablica"/>
    <w:uiPriority w:val="99"/>
    <w:qFormat/>
    <w:rsid w:val="00C20815"/>
    <w:pPr>
      <w:spacing w:after="0" w:line="240" w:lineRule="auto"/>
    </w:pPr>
    <w:rPr>
      <w:kern w:val="0"/>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Obinatablica"/>
    <w:uiPriority w:val="99"/>
    <w:qFormat/>
    <w:rsid w:val="00C20815"/>
    <w:pPr>
      <w:spacing w:after="0" w:line="240" w:lineRule="auto"/>
    </w:pPr>
    <w:rPr>
      <w:kern w:val="0"/>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Obinatablica"/>
    <w:uiPriority w:val="99"/>
    <w:qFormat/>
    <w:rsid w:val="00C20815"/>
    <w:pPr>
      <w:spacing w:after="0" w:line="240" w:lineRule="auto"/>
    </w:pPr>
    <w:rPr>
      <w:kern w:val="0"/>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Obinatablica"/>
    <w:uiPriority w:val="99"/>
    <w:qFormat/>
    <w:rsid w:val="00C20815"/>
    <w:pPr>
      <w:spacing w:after="0" w:line="240" w:lineRule="auto"/>
    </w:pPr>
    <w:rPr>
      <w:kern w:val="0"/>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Obinatablica"/>
    <w:uiPriority w:val="99"/>
    <w:qFormat/>
    <w:rsid w:val="00C20815"/>
    <w:pPr>
      <w:spacing w:after="0" w:line="240" w:lineRule="auto"/>
    </w:pPr>
    <w:rPr>
      <w:kern w:val="0"/>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licareetke21">
    <w:name w:val="Tablica rešetke 21"/>
    <w:basedOn w:val="Obinatablica"/>
    <w:uiPriority w:val="99"/>
    <w:qFormat/>
    <w:rsid w:val="00C20815"/>
    <w:pPr>
      <w:spacing w:after="0" w:line="240" w:lineRule="auto"/>
    </w:pPr>
    <w:rPr>
      <w:kern w:val="0"/>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Obinatablica"/>
    <w:uiPriority w:val="99"/>
    <w:qFormat/>
    <w:rsid w:val="00C20815"/>
    <w:pPr>
      <w:spacing w:after="0" w:line="240" w:lineRule="auto"/>
    </w:pPr>
    <w:rPr>
      <w:kern w:val="0"/>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Obinatablica"/>
    <w:uiPriority w:val="99"/>
    <w:qFormat/>
    <w:rsid w:val="00C20815"/>
    <w:pPr>
      <w:spacing w:after="0" w:line="240" w:lineRule="auto"/>
    </w:pPr>
    <w:rPr>
      <w:kern w:val="0"/>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Obinatablica"/>
    <w:uiPriority w:val="99"/>
    <w:qFormat/>
    <w:rsid w:val="00C20815"/>
    <w:pPr>
      <w:spacing w:after="0" w:line="240" w:lineRule="auto"/>
    </w:pPr>
    <w:rPr>
      <w:kern w:val="0"/>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Obinatablica"/>
    <w:uiPriority w:val="99"/>
    <w:qFormat/>
    <w:rsid w:val="00C20815"/>
    <w:pPr>
      <w:spacing w:after="0" w:line="240" w:lineRule="auto"/>
    </w:pPr>
    <w:rPr>
      <w:kern w:val="0"/>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Obinatablica"/>
    <w:uiPriority w:val="99"/>
    <w:rsid w:val="00C20815"/>
    <w:pPr>
      <w:spacing w:after="0" w:line="240" w:lineRule="auto"/>
    </w:pPr>
    <w:rPr>
      <w:kern w:val="0"/>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Obinatablica"/>
    <w:uiPriority w:val="99"/>
    <w:qFormat/>
    <w:rsid w:val="00C20815"/>
    <w:pPr>
      <w:spacing w:after="0" w:line="240" w:lineRule="auto"/>
    </w:pPr>
    <w:rPr>
      <w:kern w:val="0"/>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icareetke31">
    <w:name w:val="Tablica rešetke 31"/>
    <w:basedOn w:val="Obinatablica"/>
    <w:uiPriority w:val="99"/>
    <w:rsid w:val="00C20815"/>
    <w:pPr>
      <w:spacing w:after="0" w:line="240" w:lineRule="auto"/>
    </w:pPr>
    <w:rPr>
      <w:kern w:val="0"/>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Obinatablica"/>
    <w:uiPriority w:val="99"/>
    <w:qFormat/>
    <w:rsid w:val="00C20815"/>
    <w:pPr>
      <w:spacing w:after="0" w:line="240" w:lineRule="auto"/>
    </w:pPr>
    <w:rPr>
      <w:kern w:val="0"/>
    </w:r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Obinatablica"/>
    <w:uiPriority w:val="99"/>
    <w:qFormat/>
    <w:rsid w:val="00C20815"/>
    <w:pPr>
      <w:spacing w:after="0" w:line="240" w:lineRule="auto"/>
    </w:pPr>
    <w:rPr>
      <w:kern w:val="0"/>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Obinatablica"/>
    <w:uiPriority w:val="99"/>
    <w:qFormat/>
    <w:rsid w:val="00C20815"/>
    <w:pPr>
      <w:spacing w:after="0" w:line="240" w:lineRule="auto"/>
    </w:pPr>
    <w:rPr>
      <w:kern w:val="0"/>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Obinatablica"/>
    <w:uiPriority w:val="99"/>
    <w:qFormat/>
    <w:rsid w:val="00C20815"/>
    <w:pPr>
      <w:spacing w:after="0" w:line="240" w:lineRule="auto"/>
    </w:pPr>
    <w:rPr>
      <w:kern w:val="0"/>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Obinatablica"/>
    <w:uiPriority w:val="99"/>
    <w:qFormat/>
    <w:rsid w:val="00C20815"/>
    <w:pPr>
      <w:spacing w:after="0" w:line="240" w:lineRule="auto"/>
    </w:pPr>
    <w:rPr>
      <w:kern w:val="0"/>
    </w:r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Obinatablica"/>
    <w:uiPriority w:val="99"/>
    <w:qFormat/>
    <w:rsid w:val="00C20815"/>
    <w:pPr>
      <w:spacing w:after="0" w:line="240" w:lineRule="auto"/>
    </w:pPr>
    <w:rPr>
      <w:kern w:val="0"/>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licareetke41">
    <w:name w:val="Tablica rešetke 41"/>
    <w:basedOn w:val="Obinatablica"/>
    <w:uiPriority w:val="59"/>
    <w:qFormat/>
    <w:rsid w:val="00C20815"/>
    <w:pPr>
      <w:spacing w:after="0" w:line="240" w:lineRule="auto"/>
    </w:pPr>
    <w:rPr>
      <w:kern w:val="0"/>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Obinatablica"/>
    <w:uiPriority w:val="59"/>
    <w:qFormat/>
    <w:rsid w:val="00C20815"/>
    <w:pPr>
      <w:spacing w:after="0" w:line="240" w:lineRule="auto"/>
    </w:pPr>
    <w:rPr>
      <w:kern w:val="0"/>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Obinatablica"/>
    <w:uiPriority w:val="59"/>
    <w:qFormat/>
    <w:rsid w:val="00C20815"/>
    <w:pPr>
      <w:spacing w:after="0" w:line="240" w:lineRule="auto"/>
    </w:pPr>
    <w:rPr>
      <w:kern w:val="0"/>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Obinatablica"/>
    <w:uiPriority w:val="59"/>
    <w:qFormat/>
    <w:rsid w:val="00C20815"/>
    <w:pPr>
      <w:spacing w:after="0" w:line="240" w:lineRule="auto"/>
    </w:pPr>
    <w:rPr>
      <w:kern w:val="0"/>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Obinatablica"/>
    <w:uiPriority w:val="59"/>
    <w:qFormat/>
    <w:rsid w:val="00C20815"/>
    <w:pPr>
      <w:spacing w:after="0" w:line="240" w:lineRule="auto"/>
    </w:pPr>
    <w:rPr>
      <w:kern w:val="0"/>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Obinatablica"/>
    <w:uiPriority w:val="59"/>
    <w:qFormat/>
    <w:rsid w:val="00C20815"/>
    <w:pPr>
      <w:spacing w:after="0" w:line="240" w:lineRule="auto"/>
    </w:pPr>
    <w:rPr>
      <w:kern w:val="0"/>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Obinatablica"/>
    <w:uiPriority w:val="59"/>
    <w:rsid w:val="00C20815"/>
    <w:pPr>
      <w:spacing w:after="0" w:line="240" w:lineRule="auto"/>
    </w:pPr>
    <w:rPr>
      <w:kern w:val="0"/>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mnatablicareetke51">
    <w:name w:val="Tamna tablica rešetke 51"/>
    <w:basedOn w:val="Obinatablica"/>
    <w:uiPriority w:val="99"/>
    <w:qFormat/>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Obinatablica"/>
    <w:uiPriority w:val="99"/>
    <w:qFormat/>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Obinatablica"/>
    <w:uiPriority w:val="99"/>
    <w:qFormat/>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Obinatablica"/>
    <w:uiPriority w:val="99"/>
    <w:qFormat/>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Obinatablica"/>
    <w:uiPriority w:val="99"/>
    <w:qFormat/>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Obinatablica"/>
    <w:uiPriority w:val="99"/>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Obinatablica"/>
    <w:uiPriority w:val="99"/>
    <w:rsid w:val="00C20815"/>
    <w:pPr>
      <w:spacing w:after="0" w:line="240" w:lineRule="auto"/>
    </w:pPr>
    <w:rPr>
      <w:kern w:val="0"/>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ivopisnatablicareetke61">
    <w:name w:val="Živopisna tablica rešetke 61"/>
    <w:basedOn w:val="Obinatablica"/>
    <w:uiPriority w:val="99"/>
    <w:rsid w:val="00C20815"/>
    <w:pPr>
      <w:spacing w:after="0" w:line="240" w:lineRule="auto"/>
    </w:pPr>
    <w:rPr>
      <w:kern w:val="0"/>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Obinatablica"/>
    <w:uiPriority w:val="99"/>
    <w:qFormat/>
    <w:rsid w:val="00C20815"/>
    <w:pPr>
      <w:spacing w:after="0" w:line="240" w:lineRule="auto"/>
    </w:pPr>
    <w:rPr>
      <w:kern w:val="0"/>
    </w:r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Obinatablica"/>
    <w:uiPriority w:val="99"/>
    <w:qFormat/>
    <w:rsid w:val="00C20815"/>
    <w:pPr>
      <w:spacing w:after="0" w:line="240" w:lineRule="auto"/>
    </w:pPr>
    <w:rPr>
      <w:kern w:val="0"/>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Obinatablica"/>
    <w:uiPriority w:val="99"/>
    <w:rsid w:val="00C20815"/>
    <w:pPr>
      <w:spacing w:after="0" w:line="240" w:lineRule="auto"/>
    </w:pPr>
    <w:rPr>
      <w:kern w:val="0"/>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Obinatablica"/>
    <w:uiPriority w:val="99"/>
    <w:rsid w:val="00C20815"/>
    <w:pPr>
      <w:spacing w:after="0" w:line="240" w:lineRule="auto"/>
    </w:pPr>
    <w:rPr>
      <w:kern w:val="0"/>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Obinatablica"/>
    <w:uiPriority w:val="99"/>
    <w:rsid w:val="00C20815"/>
    <w:pPr>
      <w:spacing w:after="0" w:line="240" w:lineRule="auto"/>
    </w:pPr>
    <w:rPr>
      <w:kern w:val="0"/>
    </w:r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Obinatablica"/>
    <w:uiPriority w:val="99"/>
    <w:qFormat/>
    <w:rsid w:val="00C20815"/>
    <w:pPr>
      <w:spacing w:after="0" w:line="240" w:lineRule="auto"/>
    </w:pPr>
    <w:rPr>
      <w:kern w:val="0"/>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ivopisnatablicareetke71">
    <w:name w:val="Živopisna tablica rešetke 71"/>
    <w:basedOn w:val="Obinatablica"/>
    <w:uiPriority w:val="99"/>
    <w:qFormat/>
    <w:rsid w:val="00C20815"/>
    <w:pPr>
      <w:spacing w:after="0" w:line="240" w:lineRule="auto"/>
    </w:pPr>
    <w:rPr>
      <w:kern w:val="0"/>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Obinatablica"/>
    <w:uiPriority w:val="99"/>
    <w:qFormat/>
    <w:rsid w:val="00C20815"/>
    <w:pPr>
      <w:spacing w:after="0" w:line="240" w:lineRule="auto"/>
    </w:pPr>
    <w:rPr>
      <w:kern w:val="0"/>
    </w:r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000000"/>
          <w:left w:val="none" w:sz="0" w:space="0" w:color="000000"/>
          <w:bottom w:val="single" w:sz="4" w:space="0" w:color="A0B7E1" w:themeColor="accent1" w:themeTint="80"/>
          <w:right w:val="none" w:sz="0"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000000"/>
          <w:left w:val="none" w:sz="0" w:space="0" w:color="000000"/>
          <w:bottom w:val="none" w:sz="0"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000000"/>
          <w:left w:val="single" w:sz="4" w:space="0" w:color="A0B7E1" w:themeColor="accent1" w:themeTint="80"/>
          <w:bottom w:val="none" w:sz="0" w:space="0" w:color="000000"/>
          <w:right w:val="none" w:sz="0"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Obinatablica"/>
    <w:uiPriority w:val="99"/>
    <w:rsid w:val="00C20815"/>
    <w:pPr>
      <w:spacing w:after="0" w:line="240" w:lineRule="auto"/>
    </w:pPr>
    <w:rPr>
      <w:kern w:val="0"/>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Obinatablica"/>
    <w:uiPriority w:val="99"/>
    <w:rsid w:val="00C20815"/>
    <w:pPr>
      <w:spacing w:after="0" w:line="240" w:lineRule="auto"/>
    </w:pPr>
    <w:rPr>
      <w:kern w:val="0"/>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Obinatablica"/>
    <w:uiPriority w:val="99"/>
    <w:qFormat/>
    <w:rsid w:val="00C20815"/>
    <w:pPr>
      <w:spacing w:after="0" w:line="240" w:lineRule="auto"/>
    </w:pPr>
    <w:rPr>
      <w:kern w:val="0"/>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Obinatablica"/>
    <w:uiPriority w:val="99"/>
    <w:qFormat/>
    <w:rsid w:val="00C20815"/>
    <w:pPr>
      <w:spacing w:after="0" w:line="240" w:lineRule="auto"/>
    </w:pPr>
    <w:rPr>
      <w:kern w:val="0"/>
    </w:r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000000"/>
          <w:left w:val="none" w:sz="0" w:space="0" w:color="000000"/>
          <w:bottom w:val="single" w:sz="4" w:space="0" w:color="A2C6E7" w:themeColor="accent5" w:themeTint="90"/>
          <w:right w:val="none" w:sz="0"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000000"/>
          <w:left w:val="none" w:sz="0" w:space="0" w:color="000000"/>
          <w:bottom w:val="none" w:sz="0"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000000"/>
          <w:left w:val="single" w:sz="4" w:space="0" w:color="A2C6E7" w:themeColor="accent5" w:themeTint="90"/>
          <w:bottom w:val="none" w:sz="0" w:space="0" w:color="000000"/>
          <w:right w:val="none" w:sz="0"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Obinatablica"/>
    <w:uiPriority w:val="99"/>
    <w:rsid w:val="00C20815"/>
    <w:pPr>
      <w:spacing w:after="0" w:line="240" w:lineRule="auto"/>
    </w:pPr>
    <w:rPr>
      <w:kern w:val="0"/>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Svijetlatablicapopisa11">
    <w:name w:val="Svijetla tablica popisa 11"/>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Obinatablica"/>
    <w:uiPriority w:val="99"/>
    <w:qFormat/>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Obinatablica"/>
    <w:uiPriority w:val="99"/>
    <w:rsid w:val="00C20815"/>
    <w:pPr>
      <w:spacing w:after="0" w:line="240" w:lineRule="auto"/>
    </w:pPr>
    <w:rPr>
      <w:kern w:val="0"/>
    </w:r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licapopisa21">
    <w:name w:val="Tablica popisa 21"/>
    <w:basedOn w:val="Obinatablica"/>
    <w:uiPriority w:val="99"/>
    <w:qFormat/>
    <w:rsid w:val="00C20815"/>
    <w:pPr>
      <w:spacing w:after="0" w:line="240" w:lineRule="auto"/>
    </w:pPr>
    <w:rPr>
      <w:kern w:val="0"/>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Obinatablica"/>
    <w:uiPriority w:val="99"/>
    <w:qFormat/>
    <w:rsid w:val="00C20815"/>
    <w:pPr>
      <w:spacing w:after="0" w:line="240" w:lineRule="auto"/>
    </w:pPr>
    <w:rPr>
      <w:kern w:val="0"/>
    </w:r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Obinatablica"/>
    <w:uiPriority w:val="99"/>
    <w:rsid w:val="00C20815"/>
    <w:pPr>
      <w:spacing w:after="0" w:line="240" w:lineRule="auto"/>
    </w:pPr>
    <w:rPr>
      <w:kern w:val="0"/>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Obinatablica"/>
    <w:uiPriority w:val="99"/>
    <w:rsid w:val="00C20815"/>
    <w:pPr>
      <w:spacing w:after="0" w:line="240" w:lineRule="auto"/>
    </w:pPr>
    <w:rPr>
      <w:kern w:val="0"/>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Obinatablica"/>
    <w:uiPriority w:val="99"/>
    <w:rsid w:val="00C20815"/>
    <w:pPr>
      <w:spacing w:after="0" w:line="240" w:lineRule="auto"/>
    </w:pPr>
    <w:rPr>
      <w:kern w:val="0"/>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Obinatablica"/>
    <w:uiPriority w:val="99"/>
    <w:rsid w:val="00C20815"/>
    <w:pPr>
      <w:spacing w:after="0" w:line="240" w:lineRule="auto"/>
    </w:pPr>
    <w:rPr>
      <w:kern w:val="0"/>
    </w:r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Obinatablica"/>
    <w:uiPriority w:val="99"/>
    <w:qFormat/>
    <w:rsid w:val="00C20815"/>
    <w:pPr>
      <w:spacing w:after="0" w:line="240" w:lineRule="auto"/>
    </w:pPr>
    <w:rPr>
      <w:kern w:val="0"/>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licapopisa31">
    <w:name w:val="Tablica popisa 31"/>
    <w:basedOn w:val="Obinatablica"/>
    <w:uiPriority w:val="48"/>
    <w:rsid w:val="00C20815"/>
    <w:pPr>
      <w:spacing w:after="0" w:line="240" w:lineRule="auto"/>
    </w:pPr>
    <w:rPr>
      <w:kern w:val="0"/>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Obinatablica"/>
    <w:uiPriority w:val="99"/>
    <w:rsid w:val="00C20815"/>
    <w:pPr>
      <w:spacing w:after="0" w:line="240" w:lineRule="auto"/>
    </w:pPr>
    <w:rPr>
      <w:kern w:val="0"/>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Obinatablica"/>
    <w:uiPriority w:val="99"/>
    <w:rsid w:val="00C20815"/>
    <w:pPr>
      <w:spacing w:after="0" w:line="240" w:lineRule="auto"/>
    </w:pPr>
    <w:rPr>
      <w:kern w:val="0"/>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Obinatablica"/>
    <w:uiPriority w:val="99"/>
    <w:qFormat/>
    <w:rsid w:val="00C20815"/>
    <w:pPr>
      <w:spacing w:after="0" w:line="240" w:lineRule="auto"/>
    </w:pPr>
    <w:rPr>
      <w:kern w:val="0"/>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Obinatablica"/>
    <w:uiPriority w:val="99"/>
    <w:qFormat/>
    <w:rsid w:val="00C20815"/>
    <w:pPr>
      <w:spacing w:after="0" w:line="240" w:lineRule="auto"/>
    </w:pPr>
    <w:rPr>
      <w:kern w:val="0"/>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Obinatablica"/>
    <w:uiPriority w:val="99"/>
    <w:rsid w:val="00C20815"/>
    <w:pPr>
      <w:spacing w:after="0" w:line="240" w:lineRule="auto"/>
    </w:pPr>
    <w:rPr>
      <w:kern w:val="0"/>
    </w:r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Obinatablica"/>
    <w:uiPriority w:val="99"/>
    <w:rsid w:val="00C20815"/>
    <w:pPr>
      <w:spacing w:after="0" w:line="240" w:lineRule="auto"/>
    </w:pPr>
    <w:rPr>
      <w:kern w:val="0"/>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licapopisa41">
    <w:name w:val="Tablica popisa 41"/>
    <w:basedOn w:val="Obinatablica"/>
    <w:uiPriority w:val="99"/>
    <w:qFormat/>
    <w:rsid w:val="00C20815"/>
    <w:pPr>
      <w:spacing w:after="0" w:line="240" w:lineRule="auto"/>
    </w:pPr>
    <w:rPr>
      <w:kern w:val="0"/>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Obinatablica"/>
    <w:uiPriority w:val="99"/>
    <w:rsid w:val="00C20815"/>
    <w:pPr>
      <w:spacing w:after="0" w:line="240" w:lineRule="auto"/>
    </w:pPr>
    <w:rPr>
      <w:kern w:val="0"/>
    </w:r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Obinatablica"/>
    <w:uiPriority w:val="99"/>
    <w:qFormat/>
    <w:rsid w:val="00C20815"/>
    <w:pPr>
      <w:spacing w:after="0" w:line="240" w:lineRule="auto"/>
    </w:pPr>
    <w:rPr>
      <w:kern w:val="0"/>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Obinatablica"/>
    <w:uiPriority w:val="99"/>
    <w:rsid w:val="00C20815"/>
    <w:pPr>
      <w:spacing w:after="0" w:line="240" w:lineRule="auto"/>
    </w:pPr>
    <w:rPr>
      <w:kern w:val="0"/>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Obinatablica"/>
    <w:uiPriority w:val="99"/>
    <w:rsid w:val="00C20815"/>
    <w:pPr>
      <w:spacing w:after="0" w:line="240" w:lineRule="auto"/>
    </w:pPr>
    <w:rPr>
      <w:kern w:val="0"/>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Obinatablica"/>
    <w:uiPriority w:val="99"/>
    <w:rsid w:val="00C20815"/>
    <w:pPr>
      <w:spacing w:after="0" w:line="240" w:lineRule="auto"/>
    </w:pPr>
    <w:rPr>
      <w:kern w:val="0"/>
    </w:r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Obinatablica"/>
    <w:uiPriority w:val="99"/>
    <w:rsid w:val="00C20815"/>
    <w:pPr>
      <w:spacing w:after="0" w:line="240" w:lineRule="auto"/>
    </w:pPr>
    <w:rPr>
      <w:kern w:val="0"/>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mnatablicapopisa51">
    <w:name w:val="Tamna tablica popisa 51"/>
    <w:basedOn w:val="Obinatablica"/>
    <w:uiPriority w:val="99"/>
    <w:rsid w:val="00C20815"/>
    <w:pPr>
      <w:spacing w:after="0" w:line="240" w:lineRule="auto"/>
    </w:pPr>
    <w:rPr>
      <w:kern w:val="0"/>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Obinatablica"/>
    <w:uiPriority w:val="99"/>
    <w:qFormat/>
    <w:rsid w:val="00C20815"/>
    <w:pPr>
      <w:spacing w:after="0" w:line="240" w:lineRule="auto"/>
    </w:pPr>
    <w:rPr>
      <w:kern w:val="0"/>
    </w:r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Obinatablica"/>
    <w:uiPriority w:val="99"/>
    <w:qFormat/>
    <w:rsid w:val="00C20815"/>
    <w:pPr>
      <w:spacing w:after="0" w:line="240" w:lineRule="auto"/>
    </w:pPr>
    <w:rPr>
      <w:kern w:val="0"/>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Obinatablica"/>
    <w:uiPriority w:val="99"/>
    <w:rsid w:val="00C20815"/>
    <w:pPr>
      <w:spacing w:after="0" w:line="240" w:lineRule="auto"/>
    </w:pPr>
    <w:rPr>
      <w:kern w:val="0"/>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Obinatablica"/>
    <w:uiPriority w:val="99"/>
    <w:rsid w:val="00C20815"/>
    <w:pPr>
      <w:spacing w:after="0" w:line="240" w:lineRule="auto"/>
    </w:pPr>
    <w:rPr>
      <w:kern w:val="0"/>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Obinatablica"/>
    <w:uiPriority w:val="99"/>
    <w:rsid w:val="00C20815"/>
    <w:pPr>
      <w:spacing w:after="0" w:line="240" w:lineRule="auto"/>
    </w:pPr>
    <w:rPr>
      <w:kern w:val="0"/>
    </w:r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Obinatablica"/>
    <w:uiPriority w:val="99"/>
    <w:rsid w:val="00C20815"/>
    <w:pPr>
      <w:spacing w:after="0" w:line="240" w:lineRule="auto"/>
    </w:pPr>
    <w:rPr>
      <w:kern w:val="0"/>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ivopisnatablicapopisa61">
    <w:name w:val="Živopisna tablica popisa 61"/>
    <w:basedOn w:val="Obinatablica"/>
    <w:uiPriority w:val="99"/>
    <w:qFormat/>
    <w:rsid w:val="00C20815"/>
    <w:pPr>
      <w:spacing w:after="0" w:line="240" w:lineRule="auto"/>
    </w:pPr>
    <w:rPr>
      <w:kern w:val="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Obinatablica"/>
    <w:uiPriority w:val="99"/>
    <w:rsid w:val="00C20815"/>
    <w:pPr>
      <w:spacing w:after="0" w:line="240" w:lineRule="auto"/>
    </w:pPr>
    <w:rPr>
      <w:kern w:val="0"/>
    </w:r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Obinatablica"/>
    <w:uiPriority w:val="99"/>
    <w:qFormat/>
    <w:rsid w:val="00C20815"/>
    <w:pPr>
      <w:spacing w:after="0" w:line="240" w:lineRule="auto"/>
    </w:pPr>
    <w:rPr>
      <w:kern w:val="0"/>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Obinatablica"/>
    <w:uiPriority w:val="99"/>
    <w:rsid w:val="00C20815"/>
    <w:pPr>
      <w:spacing w:after="0" w:line="240" w:lineRule="auto"/>
    </w:pPr>
    <w:rPr>
      <w:kern w:val="0"/>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Obinatablica"/>
    <w:uiPriority w:val="99"/>
    <w:rsid w:val="00C20815"/>
    <w:pPr>
      <w:spacing w:after="0" w:line="240" w:lineRule="auto"/>
    </w:pPr>
    <w:rPr>
      <w:kern w:val="0"/>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Obinatablica"/>
    <w:uiPriority w:val="99"/>
    <w:rsid w:val="00C20815"/>
    <w:pPr>
      <w:spacing w:after="0" w:line="240" w:lineRule="auto"/>
    </w:pPr>
    <w:rPr>
      <w:kern w:val="0"/>
    </w:r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Obinatablica"/>
    <w:uiPriority w:val="99"/>
    <w:qFormat/>
    <w:rsid w:val="00C20815"/>
    <w:pPr>
      <w:spacing w:after="0" w:line="240" w:lineRule="auto"/>
    </w:pPr>
    <w:rPr>
      <w:kern w:val="0"/>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ivopisnatablicapopisa71">
    <w:name w:val="Živopisna tablica popisa 71"/>
    <w:basedOn w:val="Obinatablica"/>
    <w:uiPriority w:val="99"/>
    <w:rsid w:val="00C20815"/>
    <w:pPr>
      <w:spacing w:after="0" w:line="240" w:lineRule="auto"/>
    </w:pPr>
    <w:rPr>
      <w:kern w:val="0"/>
    </w:rPr>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Obinatablica"/>
    <w:uiPriority w:val="99"/>
    <w:rsid w:val="00C20815"/>
    <w:pPr>
      <w:spacing w:after="0" w:line="240" w:lineRule="auto"/>
    </w:pPr>
    <w:rPr>
      <w:kern w:val="0"/>
    </w:r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000000"/>
          <w:left w:val="none" w:sz="0" w:space="0" w:color="000000"/>
          <w:bottom w:val="single" w:sz="4" w:space="0" w:color="4472C4" w:themeColor="accent1"/>
          <w:right w:val="none" w:sz="0"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000000"/>
          <w:left w:val="none" w:sz="0" w:space="0" w:color="000000"/>
          <w:bottom w:val="none" w:sz="0"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000000"/>
          <w:left w:val="single" w:sz="4" w:space="0" w:color="4472C4" w:themeColor="accent1"/>
          <w:bottom w:val="none" w:sz="0" w:space="0" w:color="000000"/>
          <w:right w:val="none" w:sz="0"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Obinatablica"/>
    <w:uiPriority w:val="99"/>
    <w:rsid w:val="00C20815"/>
    <w:pPr>
      <w:spacing w:after="0" w:line="240" w:lineRule="auto"/>
    </w:pPr>
    <w:rPr>
      <w:kern w:val="0"/>
    </w:r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Obinatablica"/>
    <w:uiPriority w:val="99"/>
    <w:rsid w:val="00C20815"/>
    <w:pPr>
      <w:spacing w:after="0" w:line="240" w:lineRule="auto"/>
    </w:pPr>
    <w:rPr>
      <w:kern w:val="0"/>
    </w:r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Obinatablica"/>
    <w:uiPriority w:val="99"/>
    <w:rsid w:val="00C20815"/>
    <w:pPr>
      <w:spacing w:after="0" w:line="240" w:lineRule="auto"/>
    </w:pPr>
    <w:rPr>
      <w:kern w:val="0"/>
    </w:r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Obinatablica"/>
    <w:uiPriority w:val="99"/>
    <w:qFormat/>
    <w:rsid w:val="00C20815"/>
    <w:pPr>
      <w:spacing w:after="0" w:line="240" w:lineRule="auto"/>
    </w:pPr>
    <w:rPr>
      <w:kern w:val="0"/>
    </w:r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000000"/>
          <w:left w:val="none" w:sz="0" w:space="0" w:color="000000"/>
          <w:bottom w:val="single" w:sz="4" w:space="0" w:color="9BC2E5" w:themeColor="accent5" w:themeTint="9A"/>
          <w:right w:val="none" w:sz="0"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000000"/>
          <w:left w:val="none" w:sz="0" w:space="0" w:color="000000"/>
          <w:bottom w:val="none" w:sz="0"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000000"/>
          <w:left w:val="single" w:sz="4" w:space="0" w:color="9BC2E5" w:themeColor="accent5" w:themeTint="9A"/>
          <w:bottom w:val="none" w:sz="0" w:space="0" w:color="000000"/>
          <w:right w:val="none" w:sz="0"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Obinatablica"/>
    <w:uiPriority w:val="99"/>
    <w:qFormat/>
    <w:rsid w:val="00C20815"/>
    <w:pPr>
      <w:spacing w:after="0" w:line="240" w:lineRule="auto"/>
    </w:pPr>
    <w:rPr>
      <w:kern w:val="0"/>
    </w:r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Obinatablica"/>
    <w:uiPriority w:val="99"/>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Obinatablica"/>
    <w:uiPriority w:val="99"/>
    <w:qFormat/>
    <w:rsid w:val="00C20815"/>
    <w:pPr>
      <w:spacing w:after="0" w:line="240" w:lineRule="auto"/>
    </w:pPr>
    <w:rPr>
      <w:color w:val="404040"/>
      <w:kern w:val="0"/>
      <w:sz w:val="20"/>
      <w:szCs w:val="20"/>
      <w:lang w:eastAsia="hr-HR"/>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Obinatablica"/>
    <w:uiPriority w:val="99"/>
    <w:qFormat/>
    <w:rsid w:val="00C20815"/>
    <w:pPr>
      <w:spacing w:after="0" w:line="240" w:lineRule="auto"/>
    </w:pPr>
    <w:rPr>
      <w:kern w:val="0"/>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Obinatablica"/>
    <w:uiPriority w:val="99"/>
    <w:qFormat/>
    <w:rsid w:val="00C20815"/>
    <w:pPr>
      <w:spacing w:after="0" w:line="240" w:lineRule="auto"/>
    </w:pPr>
    <w:rPr>
      <w:kern w:val="0"/>
    </w:r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Obinatablica"/>
    <w:uiPriority w:val="99"/>
    <w:qFormat/>
    <w:rsid w:val="00C20815"/>
    <w:pPr>
      <w:spacing w:after="0" w:line="240" w:lineRule="auto"/>
    </w:pPr>
    <w:rPr>
      <w:kern w:val="0"/>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Obinatablica"/>
    <w:uiPriority w:val="99"/>
    <w:qFormat/>
    <w:rsid w:val="00C20815"/>
    <w:pPr>
      <w:spacing w:after="0" w:line="240" w:lineRule="auto"/>
    </w:pPr>
    <w:rPr>
      <w:kern w:val="0"/>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Obinatablica"/>
    <w:uiPriority w:val="99"/>
    <w:qFormat/>
    <w:rsid w:val="00C20815"/>
    <w:pPr>
      <w:spacing w:after="0" w:line="240" w:lineRule="auto"/>
    </w:pPr>
    <w:rPr>
      <w:kern w:val="0"/>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Obinatablica"/>
    <w:uiPriority w:val="99"/>
    <w:qFormat/>
    <w:rsid w:val="00C20815"/>
    <w:pPr>
      <w:spacing w:after="0" w:line="240" w:lineRule="auto"/>
    </w:pPr>
    <w:rPr>
      <w:kern w:val="0"/>
    </w:r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Obinatablica"/>
    <w:uiPriority w:val="99"/>
    <w:qFormat/>
    <w:rsid w:val="00C20815"/>
    <w:pPr>
      <w:spacing w:after="0" w:line="240" w:lineRule="auto"/>
    </w:pPr>
    <w:rPr>
      <w:kern w:val="0"/>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Referencafusnote">
    <w:name w:val="footnote reference"/>
    <w:basedOn w:val="Zadanifontodlomka"/>
    <w:unhideWhenUsed/>
    <w:qFormat/>
    <w:rsid w:val="00C20815"/>
    <w:rPr>
      <w:vertAlign w:val="superscript"/>
    </w:rPr>
  </w:style>
  <w:style w:type="character" w:styleId="Referencakrajnjebiljeke">
    <w:name w:val="endnote reference"/>
    <w:basedOn w:val="Zadanifontodlomka"/>
    <w:uiPriority w:val="99"/>
    <w:semiHidden/>
    <w:unhideWhenUsed/>
    <w:qFormat/>
    <w:rsid w:val="00C20815"/>
    <w:rPr>
      <w:vertAlign w:val="superscript"/>
    </w:rPr>
  </w:style>
  <w:style w:type="paragraph" w:customStyle="1" w:styleId="Standard">
    <w:name w:val="Standard"/>
    <w:qFormat/>
    <w:rsid w:val="00C20815"/>
    <w:pPr>
      <w:widowControl w:val="0"/>
      <w:suppressAutoHyphens/>
      <w:spacing w:after="0" w:line="240" w:lineRule="auto"/>
      <w:textAlignment w:val="baseline"/>
    </w:pPr>
    <w:rPr>
      <w:rFonts w:ascii="Times New Roman" w:eastAsia="Lucida Sans Unicode" w:hAnsi="Times New Roman" w:cs="Tahoma"/>
      <w:kern w:val="1"/>
      <w:sz w:val="24"/>
      <w:szCs w:val="24"/>
      <w:lang w:eastAsia="ar-SA"/>
    </w:rPr>
  </w:style>
  <w:style w:type="character" w:customStyle="1" w:styleId="OdlomakpopisaChar">
    <w:name w:val="Odlomak popisa Char"/>
    <w:aliases w:val="opsomming 1 Char,2 Char,3 *- Char,Heading 12 Char,naslov 1 Char,List bulleti Char,Bulleted Char"/>
    <w:basedOn w:val="Zadanifontodlomka"/>
    <w:link w:val="Odlomakpopisa"/>
    <w:uiPriority w:val="34"/>
    <w:locked/>
    <w:rsid w:val="00360577"/>
    <w:rPr>
      <w:kern w:val="0"/>
    </w:rPr>
  </w:style>
  <w:style w:type="paragraph" w:styleId="StandardWeb">
    <w:name w:val="Normal (Web)"/>
    <w:basedOn w:val="Normal"/>
    <w:unhideWhenUsed/>
    <w:qFormat/>
    <w:rsid w:val="00360577"/>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Nerijeenospominjanje1">
    <w:name w:val="Neriješeno spominjanje1"/>
    <w:basedOn w:val="Zadanifontodlomka"/>
    <w:uiPriority w:val="99"/>
    <w:semiHidden/>
    <w:unhideWhenUsed/>
    <w:qFormat/>
    <w:rsid w:val="00360577"/>
    <w:rPr>
      <w:color w:val="605E5C"/>
      <w:shd w:val="clear" w:color="auto" w:fill="E1DFDD"/>
    </w:rPr>
  </w:style>
  <w:style w:type="table" w:customStyle="1" w:styleId="Tablicapopisa3-isticanje61">
    <w:name w:val="Tablica popisa 3 - isticanje 61"/>
    <w:basedOn w:val="Obinatablica"/>
    <w:uiPriority w:val="48"/>
    <w:rsid w:val="00360577"/>
    <w:pPr>
      <w:spacing w:after="0" w:line="240" w:lineRule="auto"/>
    </w:pPr>
    <w:rPr>
      <w:kern w:val="0"/>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tblBorders>
      <w:tblCellMar>
        <w:top w:w="0" w:type="dxa"/>
        <w:left w:w="108" w:type="dxa"/>
        <w:bottom w:w="0" w:type="dxa"/>
        <w:right w:w="108" w:type="dxa"/>
      </w:tblCellMar>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Tablicapopisa3-isticanje11">
    <w:name w:val="Tablica popisa 3- isticanje 11"/>
    <w:basedOn w:val="Obinatablica"/>
    <w:uiPriority w:val="48"/>
    <w:rsid w:val="00360577"/>
    <w:pPr>
      <w:spacing w:after="0" w:line="240" w:lineRule="auto"/>
    </w:pPr>
    <w:rPr>
      <w:kern w:val="0"/>
    </w:r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box469218">
    <w:name w:val="box_469218"/>
    <w:basedOn w:val="Normal"/>
    <w:qFormat/>
    <w:rsid w:val="00440A6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Jakoisticanje1">
    <w:name w:val="Jako isticanje1"/>
    <w:basedOn w:val="Zadanifontodlomka"/>
    <w:uiPriority w:val="21"/>
    <w:qFormat/>
    <w:rsid w:val="00440A6E"/>
    <w:rPr>
      <w:i/>
      <w:iCs/>
      <w:color w:val="2F5496" w:themeColor="accent1" w:themeShade="BF"/>
    </w:rPr>
  </w:style>
  <w:style w:type="character" w:customStyle="1" w:styleId="Istaknutareferenca1">
    <w:name w:val="Istaknuta referenca1"/>
    <w:basedOn w:val="Zadanifontodlomka"/>
    <w:uiPriority w:val="32"/>
    <w:qFormat/>
    <w:rsid w:val="00440A6E"/>
    <w:rPr>
      <w:b/>
      <w:bCs/>
      <w:smallCaps/>
      <w:color w:val="2F5496" w:themeColor="accent1" w:themeShade="BF"/>
      <w:spacing w:val="5"/>
    </w:rPr>
  </w:style>
  <w:style w:type="character" w:customStyle="1" w:styleId="Neupadljivoisticanje1">
    <w:name w:val="Neupadljivo isticanje1"/>
    <w:basedOn w:val="Zadanifontodlomka"/>
    <w:uiPriority w:val="19"/>
    <w:qFormat/>
    <w:rsid w:val="00440A6E"/>
    <w:rPr>
      <w:i/>
      <w:iCs/>
      <w:color w:val="404040" w:themeColor="text1" w:themeTint="BF"/>
    </w:rPr>
  </w:style>
  <w:style w:type="character" w:customStyle="1" w:styleId="Neupadljivareferenca1">
    <w:name w:val="Neupadljiva referenca1"/>
    <w:basedOn w:val="Zadanifontodlomka"/>
    <w:uiPriority w:val="31"/>
    <w:qFormat/>
    <w:rsid w:val="00440A6E"/>
    <w:rPr>
      <w:smallCaps/>
      <w:color w:val="595959" w:themeColor="text1" w:themeTint="A6"/>
    </w:rPr>
  </w:style>
  <w:style w:type="character" w:customStyle="1" w:styleId="Naslovknjige1">
    <w:name w:val="Naslov knjige1"/>
    <w:basedOn w:val="Zadanifontodlomka"/>
    <w:uiPriority w:val="33"/>
    <w:qFormat/>
    <w:rsid w:val="00440A6E"/>
    <w:rPr>
      <w:b/>
      <w:bCs/>
      <w:i/>
      <w:iCs/>
      <w:spacing w:val="5"/>
    </w:rPr>
  </w:style>
  <w:style w:type="paragraph" w:customStyle="1" w:styleId="TOCNaslov1">
    <w:name w:val="TOC Naslov1"/>
    <w:uiPriority w:val="39"/>
    <w:unhideWhenUsed/>
    <w:qFormat/>
    <w:rsid w:val="00440A6E"/>
    <w:pPr>
      <w:spacing w:after="200" w:line="276" w:lineRule="auto"/>
    </w:pPr>
    <w:rPr>
      <w:kern w:val="0"/>
    </w:rPr>
  </w:style>
  <w:style w:type="paragraph" w:customStyle="1" w:styleId="Razina1">
    <w:name w:val="Razina 1"/>
    <w:basedOn w:val="Naslov1"/>
    <w:next w:val="Normal"/>
    <w:link w:val="Razina1Char"/>
    <w:qFormat/>
    <w:rsid w:val="005C1E80"/>
    <w:pPr>
      <w:keepNext w:val="0"/>
      <w:keepLines w:val="0"/>
      <w:spacing w:before="0" w:line="240" w:lineRule="auto"/>
      <w:jc w:val="both"/>
    </w:pPr>
    <w:rPr>
      <w:rFonts w:ascii="Calibri" w:eastAsia="Times New Roman" w:hAnsi="Calibri" w:cs="Times New Roman"/>
      <w:bCs w:val="0"/>
      <w:i/>
      <w:color w:val="auto"/>
      <w:lang w:eastAsia="zh-CN"/>
    </w:rPr>
  </w:style>
  <w:style w:type="paragraph" w:customStyle="1" w:styleId="Razina2">
    <w:name w:val="Razina 2"/>
    <w:basedOn w:val="Naslov2"/>
    <w:next w:val="Normal"/>
    <w:link w:val="Razina2Char"/>
    <w:qFormat/>
    <w:rsid w:val="005C1E80"/>
    <w:pPr>
      <w:keepNext w:val="0"/>
      <w:ind w:left="0"/>
    </w:pPr>
    <w:rPr>
      <w:rFonts w:asciiTheme="minorHAnsi" w:hAnsiTheme="minorHAnsi"/>
      <w:color w:val="000000"/>
      <w:sz w:val="28"/>
      <w:szCs w:val="28"/>
      <w:lang w:val="hr-HR" w:eastAsia="zh-CN"/>
    </w:rPr>
  </w:style>
  <w:style w:type="paragraph" w:customStyle="1" w:styleId="Razina3">
    <w:name w:val="Razina 3"/>
    <w:basedOn w:val="Naslov3"/>
    <w:next w:val="Normal"/>
    <w:qFormat/>
    <w:rsid w:val="005C1E80"/>
    <w:pPr>
      <w:keepNext w:val="0"/>
      <w:keepLines w:val="0"/>
      <w:numPr>
        <w:ilvl w:val="2"/>
        <w:numId w:val="54"/>
      </w:numPr>
      <w:spacing w:before="0" w:after="0" w:line="240" w:lineRule="auto"/>
      <w:jc w:val="both"/>
    </w:pPr>
    <w:rPr>
      <w:rFonts w:asciiTheme="minorHAnsi" w:eastAsia="Times New Roman" w:hAnsiTheme="minorHAnsi" w:cstheme="minorHAnsi"/>
      <w:i/>
      <w:color w:val="auto"/>
      <w:sz w:val="24"/>
      <w:szCs w:val="24"/>
      <w:lang w:val="en-US"/>
    </w:rPr>
  </w:style>
  <w:style w:type="paragraph" w:customStyle="1" w:styleId="Razina4">
    <w:name w:val="Razina 4"/>
    <w:basedOn w:val="Naslov4"/>
    <w:next w:val="Normal"/>
    <w:qFormat/>
    <w:rsid w:val="005C1E80"/>
    <w:pPr>
      <w:keepNext w:val="0"/>
      <w:keepLines w:val="0"/>
      <w:numPr>
        <w:ilvl w:val="3"/>
        <w:numId w:val="54"/>
      </w:numPr>
      <w:autoSpaceDE w:val="0"/>
      <w:autoSpaceDN w:val="0"/>
      <w:adjustRightInd w:val="0"/>
      <w:spacing w:before="0" w:after="0" w:line="240" w:lineRule="auto"/>
      <w:jc w:val="both"/>
    </w:pPr>
    <w:rPr>
      <w:rFonts w:asciiTheme="minorHAnsi" w:eastAsia="SimSun" w:hAnsiTheme="minorHAnsi" w:cstheme="minorHAnsi"/>
      <w:i w:val="0"/>
      <w:iCs w:val="0"/>
      <w:color w:val="auto"/>
      <w:sz w:val="24"/>
      <w:szCs w:val="24"/>
      <w:shd w:val="clear" w:color="auto" w:fill="FFFFFF"/>
      <w:lang w:val="en-US" w:eastAsia="hr-HR"/>
    </w:rPr>
  </w:style>
  <w:style w:type="paragraph" w:customStyle="1" w:styleId="Razina5">
    <w:name w:val="Razina 5"/>
    <w:basedOn w:val="Naslov5"/>
    <w:next w:val="Normal"/>
    <w:qFormat/>
    <w:rsid w:val="005C1E80"/>
    <w:pPr>
      <w:keepNext w:val="0"/>
      <w:keepLines w:val="0"/>
      <w:numPr>
        <w:ilvl w:val="4"/>
        <w:numId w:val="54"/>
      </w:numPr>
      <w:spacing w:before="240" w:after="60" w:line="240" w:lineRule="auto"/>
      <w:jc w:val="both"/>
    </w:pPr>
    <w:rPr>
      <w:rFonts w:ascii="Calibri" w:eastAsia="Times New Roman" w:hAnsi="Calibri" w:cs="Times New Roman"/>
      <w:i/>
      <w:iCs/>
      <w:color w:val="auto"/>
      <w:sz w:val="24"/>
      <w:szCs w:val="24"/>
      <w:shd w:val="clear" w:color="auto" w:fill="FFFFFF"/>
      <w:lang w:eastAsia="zh-CN"/>
    </w:rPr>
  </w:style>
  <w:style w:type="character" w:customStyle="1" w:styleId="OpisslikeChar">
    <w:name w:val="Opis slike Char"/>
    <w:basedOn w:val="Zadanifontodlomka"/>
    <w:link w:val="Opisslike"/>
    <w:uiPriority w:val="35"/>
    <w:qFormat/>
    <w:rsid w:val="005C1E80"/>
    <w:rPr>
      <w:rFonts w:ascii="Times New Roman" w:hAnsi="Times New Roman"/>
      <w:i/>
      <w:iCs/>
      <w:color w:val="44546A" w:themeColor="text2"/>
      <w:kern w:val="0"/>
      <w:sz w:val="18"/>
      <w:szCs w:val="18"/>
    </w:rPr>
  </w:style>
  <w:style w:type="paragraph" w:styleId="Tijeloteksta3">
    <w:name w:val="Body Text 3"/>
    <w:basedOn w:val="Normal"/>
    <w:link w:val="Tijeloteksta3Char"/>
    <w:uiPriority w:val="99"/>
    <w:semiHidden/>
    <w:qFormat/>
    <w:rsid w:val="005C1E80"/>
    <w:pPr>
      <w:numPr>
        <w:numId w:val="62"/>
      </w:numPr>
      <w:spacing w:after="0" w:line="240" w:lineRule="auto"/>
      <w:jc w:val="both"/>
    </w:pPr>
    <w:rPr>
      <w:rFonts w:ascii="Tahoma" w:eastAsia="Times New Roman" w:hAnsi="Tahoma" w:cs="Times New Roman"/>
      <w:i/>
      <w:color w:val="000000"/>
      <w:szCs w:val="16"/>
      <w:lang w:eastAsia="hr-HR"/>
    </w:rPr>
  </w:style>
  <w:style w:type="character" w:customStyle="1" w:styleId="Tijeloteksta3Char">
    <w:name w:val="Tijelo teksta 3 Char"/>
    <w:basedOn w:val="Zadanifontodlomka"/>
    <w:link w:val="Tijeloteksta3"/>
    <w:uiPriority w:val="99"/>
    <w:semiHidden/>
    <w:qFormat/>
    <w:rsid w:val="005C1E80"/>
    <w:rPr>
      <w:rFonts w:ascii="Tahoma" w:eastAsia="Times New Roman" w:hAnsi="Tahoma" w:cs="Times New Roman"/>
      <w:i/>
      <w:color w:val="000000"/>
      <w:kern w:val="0"/>
      <w:szCs w:val="16"/>
      <w:lang w:eastAsia="hr-HR"/>
    </w:rPr>
  </w:style>
  <w:style w:type="paragraph" w:styleId="Tijeloteksta-uvlaka2">
    <w:name w:val="Body Text Indent 2"/>
    <w:basedOn w:val="Normal"/>
    <w:link w:val="Tijeloteksta-uvlaka2Char"/>
    <w:uiPriority w:val="99"/>
    <w:qFormat/>
    <w:rsid w:val="005C1E80"/>
    <w:pPr>
      <w:spacing w:after="0" w:line="240" w:lineRule="auto"/>
      <w:ind w:firstLine="708"/>
      <w:jc w:val="both"/>
    </w:pPr>
    <w:rPr>
      <w:rFonts w:ascii="Calibri" w:eastAsia="Times New Roman" w:hAnsi="Calibri" w:cs="Times New Roman"/>
      <w:sz w:val="24"/>
      <w:szCs w:val="20"/>
      <w:lang w:eastAsia="zh-CN"/>
    </w:rPr>
  </w:style>
  <w:style w:type="character" w:customStyle="1" w:styleId="Tijeloteksta-uvlaka2Char">
    <w:name w:val="Tijelo teksta - uvlaka 2 Char"/>
    <w:basedOn w:val="Zadanifontodlomka"/>
    <w:link w:val="Tijeloteksta-uvlaka2"/>
    <w:uiPriority w:val="99"/>
    <w:qFormat/>
    <w:rsid w:val="005C1E80"/>
    <w:rPr>
      <w:rFonts w:ascii="Calibri" w:eastAsia="Times New Roman" w:hAnsi="Calibri" w:cs="Times New Roman"/>
      <w:kern w:val="0"/>
      <w:sz w:val="24"/>
      <w:szCs w:val="20"/>
      <w:lang w:eastAsia="zh-CN"/>
    </w:rPr>
  </w:style>
  <w:style w:type="paragraph" w:styleId="Tijeloteksta-uvlaka3">
    <w:name w:val="Body Text Indent 3"/>
    <w:basedOn w:val="Normal"/>
    <w:link w:val="Tijeloteksta-uvlaka3Char"/>
    <w:uiPriority w:val="99"/>
    <w:qFormat/>
    <w:rsid w:val="005C1E80"/>
    <w:pPr>
      <w:spacing w:after="0" w:line="240" w:lineRule="auto"/>
      <w:ind w:firstLine="576"/>
      <w:jc w:val="both"/>
    </w:pPr>
    <w:rPr>
      <w:rFonts w:ascii="Calibri" w:eastAsia="Times New Roman" w:hAnsi="Calibri" w:cs="Times New Roman"/>
      <w:sz w:val="24"/>
      <w:szCs w:val="24"/>
      <w:lang w:eastAsia="zh-CN"/>
    </w:rPr>
  </w:style>
  <w:style w:type="character" w:customStyle="1" w:styleId="Tijeloteksta-uvlaka3Char">
    <w:name w:val="Tijelo teksta - uvlaka 3 Char"/>
    <w:basedOn w:val="Zadanifontodlomka"/>
    <w:link w:val="Tijeloteksta-uvlaka3"/>
    <w:uiPriority w:val="99"/>
    <w:qFormat/>
    <w:rsid w:val="005C1E80"/>
    <w:rPr>
      <w:rFonts w:ascii="Calibri" w:eastAsia="Times New Roman" w:hAnsi="Calibri" w:cs="Times New Roman"/>
      <w:kern w:val="0"/>
      <w:sz w:val="24"/>
      <w:szCs w:val="24"/>
      <w:lang w:eastAsia="zh-CN"/>
    </w:rPr>
  </w:style>
  <w:style w:type="character" w:styleId="Referencakomentara">
    <w:name w:val="annotation reference"/>
    <w:basedOn w:val="Zadanifontodlomka"/>
    <w:uiPriority w:val="99"/>
    <w:semiHidden/>
    <w:qFormat/>
    <w:rsid w:val="005C1E80"/>
    <w:rPr>
      <w:sz w:val="16"/>
      <w:szCs w:val="16"/>
    </w:rPr>
  </w:style>
  <w:style w:type="paragraph" w:styleId="Tekstkomentara">
    <w:name w:val="annotation text"/>
    <w:basedOn w:val="Normal"/>
    <w:link w:val="TekstkomentaraChar"/>
    <w:uiPriority w:val="99"/>
    <w:semiHidden/>
    <w:qFormat/>
    <w:rsid w:val="005C1E80"/>
    <w:pPr>
      <w:spacing w:after="0" w:line="240" w:lineRule="auto"/>
      <w:jc w:val="both"/>
    </w:pPr>
    <w:rPr>
      <w:rFonts w:ascii="Calibri" w:eastAsia="Times New Roman" w:hAnsi="Calibri" w:cs="Times New Roman"/>
      <w:sz w:val="24"/>
      <w:szCs w:val="20"/>
      <w:lang w:eastAsia="zh-CN"/>
    </w:rPr>
  </w:style>
  <w:style w:type="character" w:customStyle="1" w:styleId="TekstkomentaraChar">
    <w:name w:val="Tekst komentara Char"/>
    <w:basedOn w:val="Zadanifontodlomka"/>
    <w:link w:val="Tekstkomentara"/>
    <w:uiPriority w:val="99"/>
    <w:semiHidden/>
    <w:qFormat/>
    <w:rsid w:val="005C1E80"/>
    <w:rPr>
      <w:rFonts w:ascii="Calibri" w:eastAsia="Times New Roman" w:hAnsi="Calibri" w:cs="Times New Roman"/>
      <w:kern w:val="0"/>
      <w:sz w:val="24"/>
      <w:szCs w:val="20"/>
      <w:lang w:eastAsia="zh-CN"/>
    </w:rPr>
  </w:style>
  <w:style w:type="paragraph" w:styleId="Predmetkomentara">
    <w:name w:val="annotation subject"/>
    <w:basedOn w:val="Tekstkomentara"/>
    <w:next w:val="Tekstkomentara"/>
    <w:link w:val="PredmetkomentaraChar"/>
    <w:uiPriority w:val="99"/>
    <w:semiHidden/>
    <w:qFormat/>
    <w:rsid w:val="005C1E80"/>
    <w:rPr>
      <w:b/>
      <w:bCs/>
    </w:rPr>
  </w:style>
  <w:style w:type="character" w:customStyle="1" w:styleId="PredmetkomentaraChar">
    <w:name w:val="Predmet komentara Char"/>
    <w:basedOn w:val="TekstkomentaraChar"/>
    <w:link w:val="Predmetkomentara"/>
    <w:uiPriority w:val="99"/>
    <w:semiHidden/>
    <w:qFormat/>
    <w:rsid w:val="005C1E80"/>
    <w:rPr>
      <w:rFonts w:ascii="Calibri" w:eastAsia="Times New Roman" w:hAnsi="Calibri" w:cs="Times New Roman"/>
      <w:b/>
      <w:bCs/>
      <w:kern w:val="0"/>
      <w:sz w:val="24"/>
      <w:szCs w:val="20"/>
      <w:lang w:eastAsia="zh-CN"/>
    </w:rPr>
  </w:style>
  <w:style w:type="paragraph" w:styleId="Datum">
    <w:name w:val="Date"/>
    <w:basedOn w:val="Normal"/>
    <w:next w:val="Normal"/>
    <w:link w:val="DatumChar"/>
    <w:semiHidden/>
    <w:qFormat/>
    <w:rsid w:val="005C1E80"/>
    <w:pPr>
      <w:spacing w:after="0" w:line="240" w:lineRule="auto"/>
      <w:jc w:val="both"/>
    </w:pPr>
    <w:rPr>
      <w:rFonts w:ascii="Calibri" w:eastAsia="Times New Roman" w:hAnsi="Calibri" w:cs="Times New Roman"/>
      <w:sz w:val="24"/>
      <w:szCs w:val="20"/>
      <w:lang w:eastAsia="zh-CN"/>
    </w:rPr>
  </w:style>
  <w:style w:type="character" w:customStyle="1" w:styleId="DatumChar">
    <w:name w:val="Datum Char"/>
    <w:basedOn w:val="Zadanifontodlomka"/>
    <w:link w:val="Datum"/>
    <w:semiHidden/>
    <w:qFormat/>
    <w:rsid w:val="005C1E80"/>
    <w:rPr>
      <w:rFonts w:ascii="Calibri" w:eastAsia="Times New Roman" w:hAnsi="Calibri" w:cs="Times New Roman"/>
      <w:kern w:val="0"/>
      <w:sz w:val="24"/>
      <w:szCs w:val="20"/>
      <w:lang w:eastAsia="zh-CN"/>
    </w:rPr>
  </w:style>
  <w:style w:type="character" w:styleId="Brojstranice">
    <w:name w:val="page number"/>
    <w:basedOn w:val="Zadanifontodlomka"/>
    <w:qFormat/>
    <w:rsid w:val="005C1E80"/>
  </w:style>
  <w:style w:type="paragraph" w:styleId="Obinitekst">
    <w:name w:val="Plain Text"/>
    <w:basedOn w:val="Normal"/>
    <w:link w:val="ObinitekstChar"/>
    <w:uiPriority w:val="99"/>
    <w:qFormat/>
    <w:rsid w:val="005C1E80"/>
    <w:pPr>
      <w:spacing w:after="0" w:line="240" w:lineRule="auto"/>
    </w:pPr>
    <w:rPr>
      <w:rFonts w:ascii="Courier New" w:eastAsia="Times New Roman" w:hAnsi="Courier New" w:cs="Times New Roman"/>
      <w:sz w:val="20"/>
      <w:szCs w:val="20"/>
      <w:lang w:val="en-GB" w:eastAsia="hr-HR"/>
    </w:rPr>
  </w:style>
  <w:style w:type="character" w:customStyle="1" w:styleId="ObinitekstChar">
    <w:name w:val="Obični tekst Char"/>
    <w:basedOn w:val="Zadanifontodlomka"/>
    <w:link w:val="Obinitekst"/>
    <w:uiPriority w:val="99"/>
    <w:qFormat/>
    <w:rsid w:val="005C1E80"/>
    <w:rPr>
      <w:rFonts w:ascii="Courier New" w:eastAsia="Times New Roman" w:hAnsi="Courier New" w:cs="Times New Roman"/>
      <w:kern w:val="0"/>
      <w:sz w:val="20"/>
      <w:szCs w:val="20"/>
      <w:lang w:val="en-GB" w:eastAsia="hr-HR"/>
    </w:rPr>
  </w:style>
  <w:style w:type="table" w:styleId="Elegantnatablica">
    <w:name w:val="Table Elegant"/>
    <w:basedOn w:val="Obinatablica"/>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paragraph" w:styleId="Sadraj1">
    <w:name w:val="toc 1"/>
    <w:basedOn w:val="Normal"/>
    <w:next w:val="Normal"/>
    <w:autoRedefine/>
    <w:uiPriority w:val="39"/>
    <w:unhideWhenUsed/>
    <w:qFormat/>
    <w:rsid w:val="005C1E80"/>
    <w:pPr>
      <w:tabs>
        <w:tab w:val="left" w:pos="709"/>
        <w:tab w:val="right" w:leader="dot" w:pos="9356"/>
      </w:tabs>
      <w:spacing w:after="0" w:line="240" w:lineRule="auto"/>
      <w:jc w:val="both"/>
    </w:pPr>
    <w:rPr>
      <w:rFonts w:ascii="Calibri" w:eastAsia="Times New Roman" w:hAnsi="Calibri" w:cs="Times New Roman"/>
      <w:b/>
      <w:caps/>
      <w:sz w:val="20"/>
      <w:szCs w:val="20"/>
      <w:lang w:eastAsia="zh-CN"/>
    </w:rPr>
  </w:style>
  <w:style w:type="paragraph" w:styleId="Sadraj2">
    <w:name w:val="toc 2"/>
    <w:basedOn w:val="Normal"/>
    <w:next w:val="Normal"/>
    <w:autoRedefine/>
    <w:uiPriority w:val="39"/>
    <w:unhideWhenUsed/>
    <w:qFormat/>
    <w:rsid w:val="005C1E80"/>
    <w:pPr>
      <w:tabs>
        <w:tab w:val="left" w:pos="709"/>
        <w:tab w:val="right" w:leader="dot" w:pos="9356"/>
      </w:tabs>
      <w:spacing w:after="0" w:line="240" w:lineRule="auto"/>
      <w:jc w:val="both"/>
    </w:pPr>
    <w:rPr>
      <w:rFonts w:ascii="Calibri" w:eastAsia="Times New Roman" w:hAnsi="Calibri" w:cs="Times New Roman"/>
      <w:caps/>
      <w:sz w:val="20"/>
      <w:szCs w:val="20"/>
      <w:lang w:eastAsia="zh-CN"/>
    </w:rPr>
  </w:style>
  <w:style w:type="paragraph" w:styleId="Sadraj3">
    <w:name w:val="toc 3"/>
    <w:basedOn w:val="Normal"/>
    <w:next w:val="Normal"/>
    <w:autoRedefine/>
    <w:uiPriority w:val="39"/>
    <w:unhideWhenUsed/>
    <w:qFormat/>
    <w:rsid w:val="005C1E80"/>
    <w:pPr>
      <w:tabs>
        <w:tab w:val="left" w:pos="709"/>
        <w:tab w:val="right" w:leader="dot" w:pos="9356"/>
      </w:tabs>
      <w:spacing w:after="0" w:line="240" w:lineRule="auto"/>
      <w:jc w:val="both"/>
    </w:pPr>
    <w:rPr>
      <w:rFonts w:ascii="Calibri" w:eastAsia="Times New Roman" w:hAnsi="Calibri" w:cs="Times New Roman"/>
      <w:caps/>
      <w:sz w:val="20"/>
      <w:szCs w:val="20"/>
      <w:lang w:eastAsia="zh-CN"/>
    </w:rPr>
  </w:style>
  <w:style w:type="paragraph" w:styleId="Sadraj4">
    <w:name w:val="toc 4"/>
    <w:basedOn w:val="Sadraj3"/>
    <w:next w:val="Normal"/>
    <w:autoRedefine/>
    <w:uiPriority w:val="39"/>
    <w:qFormat/>
    <w:rsid w:val="005C1E80"/>
  </w:style>
  <w:style w:type="paragraph" w:styleId="Sadraj5">
    <w:name w:val="toc 5"/>
    <w:basedOn w:val="Normal"/>
    <w:next w:val="Normal"/>
    <w:autoRedefine/>
    <w:uiPriority w:val="39"/>
    <w:qFormat/>
    <w:rsid w:val="005C1E80"/>
    <w:pPr>
      <w:tabs>
        <w:tab w:val="left" w:pos="709"/>
        <w:tab w:val="right" w:leader="dot" w:pos="9356"/>
      </w:tabs>
      <w:spacing w:after="0" w:line="240" w:lineRule="auto"/>
      <w:jc w:val="both"/>
    </w:pPr>
    <w:rPr>
      <w:rFonts w:ascii="Calibri" w:eastAsia="Times New Roman" w:hAnsi="Calibri" w:cs="Times New Roman"/>
      <w:caps/>
      <w:sz w:val="20"/>
      <w:szCs w:val="24"/>
      <w:lang w:eastAsia="hr-HR"/>
    </w:rPr>
  </w:style>
  <w:style w:type="paragraph" w:styleId="Sadraj6">
    <w:name w:val="toc 6"/>
    <w:basedOn w:val="Normal"/>
    <w:next w:val="Normal"/>
    <w:autoRedefine/>
    <w:uiPriority w:val="39"/>
    <w:qFormat/>
    <w:rsid w:val="005C1E80"/>
    <w:pPr>
      <w:spacing w:after="0" w:line="240" w:lineRule="auto"/>
      <w:ind w:left="1200"/>
      <w:jc w:val="both"/>
    </w:pPr>
    <w:rPr>
      <w:rFonts w:ascii="Calibri" w:eastAsia="Times New Roman" w:hAnsi="Calibri" w:cs="Times New Roman"/>
      <w:sz w:val="24"/>
      <w:szCs w:val="24"/>
      <w:lang w:eastAsia="hr-HR"/>
    </w:rPr>
  </w:style>
  <w:style w:type="paragraph" w:styleId="Sadraj7">
    <w:name w:val="toc 7"/>
    <w:basedOn w:val="Normal"/>
    <w:next w:val="Normal"/>
    <w:autoRedefine/>
    <w:uiPriority w:val="39"/>
    <w:qFormat/>
    <w:rsid w:val="005C1E80"/>
    <w:pPr>
      <w:spacing w:after="0" w:line="240" w:lineRule="auto"/>
      <w:ind w:left="1440"/>
      <w:jc w:val="both"/>
    </w:pPr>
    <w:rPr>
      <w:rFonts w:ascii="Calibri" w:eastAsia="Times New Roman" w:hAnsi="Calibri" w:cs="Times New Roman"/>
      <w:sz w:val="24"/>
      <w:szCs w:val="24"/>
      <w:lang w:eastAsia="hr-HR"/>
    </w:rPr>
  </w:style>
  <w:style w:type="paragraph" w:styleId="Sadraj8">
    <w:name w:val="toc 8"/>
    <w:basedOn w:val="Normal"/>
    <w:next w:val="Normal"/>
    <w:autoRedefine/>
    <w:uiPriority w:val="39"/>
    <w:qFormat/>
    <w:rsid w:val="005C1E80"/>
    <w:pPr>
      <w:spacing w:after="0" w:line="240" w:lineRule="auto"/>
      <w:ind w:left="1680"/>
      <w:jc w:val="both"/>
    </w:pPr>
    <w:rPr>
      <w:rFonts w:ascii="Calibri" w:eastAsia="Times New Roman" w:hAnsi="Calibri" w:cs="Times New Roman"/>
      <w:sz w:val="24"/>
      <w:szCs w:val="24"/>
      <w:lang w:eastAsia="hr-HR"/>
    </w:rPr>
  </w:style>
  <w:style w:type="paragraph" w:styleId="Sadraj9">
    <w:name w:val="toc 9"/>
    <w:basedOn w:val="Normal"/>
    <w:next w:val="Normal"/>
    <w:autoRedefine/>
    <w:uiPriority w:val="39"/>
    <w:qFormat/>
    <w:rsid w:val="005C1E80"/>
    <w:pPr>
      <w:spacing w:after="0" w:line="240" w:lineRule="auto"/>
      <w:ind w:left="1920"/>
      <w:jc w:val="both"/>
    </w:pPr>
    <w:rPr>
      <w:rFonts w:ascii="Calibri" w:eastAsia="Times New Roman" w:hAnsi="Calibri" w:cs="Times New Roman"/>
      <w:sz w:val="24"/>
      <w:szCs w:val="24"/>
      <w:lang w:eastAsia="hr-HR"/>
    </w:rPr>
  </w:style>
  <w:style w:type="table" w:styleId="Svijetlipopis-Isticanje5">
    <w:name w:val="Light List Accent 5"/>
    <w:basedOn w:val="Obinatablica"/>
    <w:uiPriority w:val="61"/>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Svijetlareetka-Isticanje5">
    <w:name w:val="Light Grid Accent 5"/>
    <w:basedOn w:val="Obinatablica"/>
    <w:uiPriority w:val="62"/>
    <w:unhideWhenUsed/>
    <w:qFormat/>
    <w:rsid w:val="005C1E80"/>
    <w:pPr>
      <w:spacing w:after="0" w:line="240" w:lineRule="auto"/>
    </w:pPr>
    <w:rPr>
      <w:kern w:val="0"/>
      <w:sz w:val="20"/>
      <w:szCs w:val="20"/>
      <w:lang w:eastAsia="hr-HR"/>
    </w:rPr>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styleId="Srednjesjenanje1-Isticanje5">
    <w:name w:val="Medium Shading 1 Accent 5"/>
    <w:basedOn w:val="Obinatablica"/>
    <w:uiPriority w:val="63"/>
    <w:unhideWhenUsed/>
    <w:qFormat/>
    <w:rsid w:val="005C1E80"/>
    <w:pPr>
      <w:spacing w:after="0" w:line="240" w:lineRule="auto"/>
    </w:pPr>
    <w:rPr>
      <w:kern w:val="0"/>
      <w:sz w:val="20"/>
      <w:szCs w:val="20"/>
      <w:lang w:eastAsia="hr-HR"/>
    </w:rPr>
    <w:tblPr>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Srednjareetka1-Isticanje5">
    <w:name w:val="Medium Grid 1 Accent 5"/>
    <w:basedOn w:val="Obinatablica"/>
    <w:uiPriority w:val="67"/>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Srednjareetka2-Isticanje5">
    <w:name w:val="Medium Grid 2 Accent 5"/>
    <w:basedOn w:val="Obinatablica"/>
    <w:uiPriority w:val="68"/>
    <w:qFormat/>
    <w:rsid w:val="005C1E80"/>
    <w:pPr>
      <w:spacing w:after="0" w:line="240" w:lineRule="auto"/>
    </w:pPr>
    <w:rPr>
      <w:rFonts w:ascii="Cambria" w:eastAsia="Times New Roman" w:hAnsi="Cambria" w:cs="Times New Roman"/>
      <w:color w:val="000000"/>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styleId="Srednjareetka3-Isticanje1">
    <w:name w:val="Medium Grid 3 Accent 1"/>
    <w:basedOn w:val="Obinatablica"/>
    <w:uiPriority w:val="6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1B8E1" w:themeFill="accent1" w:themeFillTint="7F"/>
      </w:tcPr>
    </w:tblStylePr>
  </w:style>
  <w:style w:type="table" w:styleId="Srednjareetka3-Isticanje5">
    <w:name w:val="Medium Grid 3 Accent 5"/>
    <w:basedOn w:val="Obinatablica"/>
    <w:uiPriority w:val="6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character" w:customStyle="1" w:styleId="BalloonTextChar">
    <w:name w:val="Balloon Text Char"/>
    <w:basedOn w:val="Zadanifontodlomka"/>
    <w:semiHidden/>
    <w:qFormat/>
    <w:rsid w:val="005C1E80"/>
    <w:rPr>
      <w:rFonts w:ascii="Tahoma" w:eastAsia="Times New Roman" w:hAnsi="Tahoma" w:cs="Tahoma"/>
      <w:sz w:val="16"/>
      <w:szCs w:val="16"/>
      <w:lang w:val="hr-HR" w:eastAsia="zh-CN"/>
    </w:rPr>
  </w:style>
  <w:style w:type="character" w:customStyle="1" w:styleId="BodyTextChar">
    <w:name w:val="Body Text Char"/>
    <w:basedOn w:val="Zadanifontodlomka"/>
    <w:qFormat/>
    <w:rsid w:val="005C1E80"/>
    <w:rPr>
      <w:rFonts w:ascii="Calibri" w:eastAsia="SimSun" w:hAnsi="Calibri" w:cs="TimesNewRomanPSMT"/>
      <w:sz w:val="24"/>
      <w:szCs w:val="24"/>
      <w:lang w:val="hr-HR" w:eastAsia="zh-CN"/>
    </w:rPr>
  </w:style>
  <w:style w:type="character" w:customStyle="1" w:styleId="BodyText2Char">
    <w:name w:val="Body Text 2 Char"/>
    <w:basedOn w:val="Zadanifontodlomka"/>
    <w:qFormat/>
    <w:rsid w:val="005C1E80"/>
    <w:rPr>
      <w:rFonts w:ascii="Times New Roman" w:eastAsia="Times New Roman" w:hAnsi="Times New Roman" w:cs="Times New Roman"/>
      <w:sz w:val="20"/>
      <w:szCs w:val="20"/>
      <w:lang w:val="hr-HR" w:eastAsia="zh-CN"/>
    </w:rPr>
  </w:style>
  <w:style w:type="character" w:customStyle="1" w:styleId="BodyTextIndentChar">
    <w:name w:val="Body Text Indent Char"/>
    <w:basedOn w:val="Zadanifontodlomka"/>
    <w:qFormat/>
    <w:rsid w:val="005C1E80"/>
    <w:rPr>
      <w:rFonts w:ascii="Times New Roman" w:eastAsia="Times New Roman" w:hAnsi="Times New Roman" w:cs="Times New Roman"/>
      <w:sz w:val="20"/>
      <w:szCs w:val="20"/>
      <w:lang w:val="hr-HR" w:eastAsia="zh-CN"/>
    </w:rPr>
  </w:style>
  <w:style w:type="character" w:customStyle="1" w:styleId="DateChar">
    <w:name w:val="Date Char"/>
    <w:basedOn w:val="Zadanifontodlomka"/>
    <w:qFormat/>
    <w:rsid w:val="005C1E80"/>
    <w:rPr>
      <w:rFonts w:ascii="Times New Roman" w:eastAsia="Times New Roman" w:hAnsi="Times New Roman" w:cs="Times New Roman"/>
      <w:sz w:val="20"/>
      <w:szCs w:val="20"/>
      <w:lang w:val="hr-HR" w:eastAsia="zh-CN"/>
    </w:rPr>
  </w:style>
  <w:style w:type="paragraph" w:customStyle="1" w:styleId="Bezproreda1">
    <w:name w:val="Bez proreda1"/>
    <w:link w:val="BezproredaChar1"/>
    <w:qFormat/>
    <w:rsid w:val="005C1E80"/>
    <w:pPr>
      <w:spacing w:after="0" w:line="240" w:lineRule="auto"/>
    </w:pPr>
    <w:rPr>
      <w:rFonts w:ascii="Calibri" w:eastAsia="Times New Roman" w:hAnsi="Calibri" w:cs="Times New Roman"/>
      <w:kern w:val="0"/>
    </w:rPr>
  </w:style>
  <w:style w:type="character" w:customStyle="1" w:styleId="NoSpacingChar">
    <w:name w:val="No Spacing Char"/>
    <w:basedOn w:val="Zadanifontodlomka"/>
    <w:uiPriority w:val="1"/>
    <w:qFormat/>
    <w:rsid w:val="005C1E80"/>
    <w:rPr>
      <w:rFonts w:ascii="Calibri" w:hAnsi="Calibri" w:cs="Times New Roman"/>
      <w:sz w:val="22"/>
      <w:szCs w:val="22"/>
      <w:lang w:val="hr-HR" w:eastAsia="en-US" w:bidi="ar-SA"/>
    </w:rPr>
  </w:style>
  <w:style w:type="character" w:customStyle="1" w:styleId="CharChar10">
    <w:name w:val="Char Char10"/>
    <w:basedOn w:val="Zadanifontodlomka"/>
    <w:qFormat/>
    <w:rsid w:val="005C1E80"/>
    <w:rPr>
      <w:rFonts w:ascii="Calibri" w:hAnsi="Calibri"/>
      <w:b/>
      <w:i/>
      <w:sz w:val="24"/>
      <w:szCs w:val="24"/>
      <w:lang w:val="hr-HR" w:eastAsia="zh-CN" w:bidi="ar-SA"/>
    </w:rPr>
  </w:style>
  <w:style w:type="paragraph" w:customStyle="1" w:styleId="Style1">
    <w:name w:val="Style1"/>
    <w:basedOn w:val="Normal"/>
    <w:qFormat/>
    <w:rsid w:val="005C1E80"/>
    <w:pPr>
      <w:spacing w:before="120" w:after="120" w:line="240" w:lineRule="auto"/>
      <w:jc w:val="both"/>
    </w:pPr>
    <w:rPr>
      <w:rFonts w:ascii="Arial" w:eastAsia="Times New Roman" w:hAnsi="Arial" w:cs="Times New Roman"/>
      <w:szCs w:val="20"/>
      <w:lang w:eastAsia="hr-HR"/>
    </w:rPr>
  </w:style>
  <w:style w:type="paragraph" w:customStyle="1" w:styleId="marine">
    <w:name w:val="marine"/>
    <w:basedOn w:val="Normal"/>
    <w:uiPriority w:val="99"/>
    <w:qFormat/>
    <w:rsid w:val="005C1E80"/>
    <w:pPr>
      <w:spacing w:after="0" w:line="240" w:lineRule="auto"/>
      <w:jc w:val="both"/>
    </w:pPr>
    <w:rPr>
      <w:rFonts w:ascii="CRO_Korinna" w:eastAsia="Times New Roman" w:hAnsi="CRO_Korinna" w:cs="Times New Roman"/>
      <w:szCs w:val="20"/>
      <w:lang w:eastAsia="hr-HR"/>
    </w:rPr>
  </w:style>
  <w:style w:type="paragraph" w:customStyle="1" w:styleId="podnaslov">
    <w:name w:val="podnaslov"/>
    <w:basedOn w:val="Normal"/>
    <w:next w:val="Normal"/>
    <w:qFormat/>
    <w:rsid w:val="005C1E80"/>
    <w:pPr>
      <w:numPr>
        <w:ilvl w:val="1"/>
        <w:numId w:val="63"/>
      </w:numPr>
      <w:spacing w:before="360" w:after="360" w:line="240" w:lineRule="auto"/>
      <w:jc w:val="both"/>
      <w:outlineLvl w:val="0"/>
    </w:pPr>
    <w:rPr>
      <w:rFonts w:ascii="Arial" w:eastAsia="Times New Roman" w:hAnsi="Arial" w:cs="Times New Roman"/>
      <w:b/>
      <w:lang w:val="en-AU" w:eastAsia="hr-HR"/>
    </w:rPr>
  </w:style>
  <w:style w:type="paragraph" w:customStyle="1" w:styleId="NASLOVar11">
    <w:name w:val="NASLOVar11"/>
    <w:basedOn w:val="Normal"/>
    <w:qFormat/>
    <w:rsid w:val="005C1E80"/>
    <w:pPr>
      <w:numPr>
        <w:numId w:val="63"/>
      </w:numPr>
      <w:spacing w:before="240" w:after="240" w:line="240" w:lineRule="auto"/>
      <w:jc w:val="both"/>
      <w:outlineLvl w:val="0"/>
    </w:pPr>
    <w:rPr>
      <w:rFonts w:ascii="Arial" w:eastAsia="Times New Roman" w:hAnsi="Arial" w:cs="Times New Roman"/>
      <w:b/>
      <w:caps/>
      <w:lang w:val="en-GB" w:eastAsia="hr-HR"/>
    </w:rPr>
  </w:style>
  <w:style w:type="paragraph" w:customStyle="1" w:styleId="To">
    <w:name w:val="To"/>
    <w:basedOn w:val="Normal"/>
    <w:qFormat/>
    <w:rsid w:val="005C1E80"/>
    <w:pPr>
      <w:spacing w:after="0" w:line="240" w:lineRule="auto"/>
      <w:jc w:val="both"/>
    </w:pPr>
    <w:rPr>
      <w:rFonts w:ascii="Charter_bold" w:eastAsia="Times New Roman" w:hAnsi="Charter_bold" w:cs="Times New Roman"/>
      <w:sz w:val="24"/>
      <w:szCs w:val="20"/>
      <w:lang w:eastAsia="hr-HR"/>
    </w:rPr>
  </w:style>
  <w:style w:type="paragraph" w:customStyle="1" w:styleId="Stil">
    <w:name w:val="Stil"/>
    <w:qFormat/>
    <w:rsid w:val="005C1E80"/>
    <w:pPr>
      <w:widowControl w:val="0"/>
      <w:autoSpaceDE w:val="0"/>
      <w:autoSpaceDN w:val="0"/>
      <w:adjustRightInd w:val="0"/>
      <w:spacing w:after="0" w:line="240" w:lineRule="auto"/>
    </w:pPr>
    <w:rPr>
      <w:rFonts w:ascii="Courier New" w:eastAsia="Times New Roman" w:hAnsi="Courier New" w:cs="Courier New"/>
      <w:kern w:val="0"/>
      <w:sz w:val="20"/>
      <w:szCs w:val="24"/>
      <w:lang w:eastAsia="hr-HR"/>
    </w:rPr>
  </w:style>
  <w:style w:type="paragraph" w:customStyle="1" w:styleId="CM57">
    <w:name w:val="CM57"/>
    <w:basedOn w:val="Default"/>
    <w:next w:val="Default"/>
    <w:qFormat/>
    <w:rsid w:val="005C1E80"/>
    <w:pPr>
      <w:widowControl w:val="0"/>
      <w:spacing w:after="233"/>
    </w:pPr>
    <w:rPr>
      <w:rFonts w:ascii="Times New Roman" w:eastAsia="Times New Roman" w:hAnsi="Times New Roman" w:cs="Times New Roman"/>
      <w:color w:val="auto"/>
    </w:rPr>
  </w:style>
  <w:style w:type="paragraph" w:customStyle="1" w:styleId="CM51">
    <w:name w:val="CM51"/>
    <w:basedOn w:val="Default"/>
    <w:next w:val="Default"/>
    <w:qFormat/>
    <w:rsid w:val="005C1E80"/>
    <w:pPr>
      <w:widowControl w:val="0"/>
      <w:spacing w:after="335"/>
    </w:pPr>
    <w:rPr>
      <w:rFonts w:ascii="Times New Roman" w:eastAsia="Times New Roman" w:hAnsi="Times New Roman" w:cs="Times New Roman"/>
      <w:color w:val="auto"/>
    </w:rPr>
  </w:style>
  <w:style w:type="paragraph" w:customStyle="1" w:styleId="CM10">
    <w:name w:val="CM10"/>
    <w:basedOn w:val="Default"/>
    <w:next w:val="Default"/>
    <w:qFormat/>
    <w:rsid w:val="005C1E80"/>
    <w:pPr>
      <w:widowControl w:val="0"/>
      <w:spacing w:line="333" w:lineRule="atLeast"/>
    </w:pPr>
    <w:rPr>
      <w:rFonts w:ascii="Times New Roman" w:eastAsia="Times New Roman" w:hAnsi="Times New Roman" w:cs="Times New Roman"/>
      <w:color w:val="auto"/>
    </w:rPr>
  </w:style>
  <w:style w:type="paragraph" w:customStyle="1" w:styleId="CM11">
    <w:name w:val="CM11"/>
    <w:basedOn w:val="Default"/>
    <w:next w:val="Default"/>
    <w:qFormat/>
    <w:rsid w:val="005C1E80"/>
    <w:pPr>
      <w:widowControl w:val="0"/>
      <w:spacing w:line="331" w:lineRule="atLeast"/>
    </w:pPr>
    <w:rPr>
      <w:rFonts w:ascii="Times New Roman" w:eastAsia="Times New Roman" w:hAnsi="Times New Roman" w:cs="Times New Roman"/>
      <w:color w:val="auto"/>
    </w:rPr>
  </w:style>
  <w:style w:type="paragraph" w:customStyle="1" w:styleId="CM15">
    <w:name w:val="CM15"/>
    <w:basedOn w:val="Default"/>
    <w:next w:val="Default"/>
    <w:qFormat/>
    <w:rsid w:val="005C1E80"/>
    <w:pPr>
      <w:widowControl w:val="0"/>
      <w:spacing w:line="331" w:lineRule="atLeast"/>
    </w:pPr>
    <w:rPr>
      <w:rFonts w:ascii="Times New Roman" w:eastAsia="Times New Roman" w:hAnsi="Times New Roman" w:cs="Times New Roman"/>
      <w:color w:val="auto"/>
    </w:rPr>
  </w:style>
  <w:style w:type="paragraph" w:customStyle="1" w:styleId="CM14">
    <w:name w:val="CM14"/>
    <w:basedOn w:val="Default"/>
    <w:next w:val="Default"/>
    <w:qFormat/>
    <w:rsid w:val="005C1E80"/>
    <w:pPr>
      <w:widowControl w:val="0"/>
      <w:spacing w:line="333" w:lineRule="atLeast"/>
    </w:pPr>
    <w:rPr>
      <w:rFonts w:ascii="Times New Roman" w:eastAsia="Times New Roman" w:hAnsi="Times New Roman" w:cs="Times New Roman"/>
      <w:color w:val="auto"/>
    </w:rPr>
  </w:style>
  <w:style w:type="paragraph" w:customStyle="1" w:styleId="CM27">
    <w:name w:val="CM27"/>
    <w:basedOn w:val="Default"/>
    <w:next w:val="Default"/>
    <w:qFormat/>
    <w:rsid w:val="005C1E80"/>
    <w:pPr>
      <w:widowControl w:val="0"/>
      <w:spacing w:line="411" w:lineRule="atLeast"/>
    </w:pPr>
    <w:rPr>
      <w:rFonts w:ascii="Times New Roman" w:eastAsia="Times New Roman" w:hAnsi="Times New Roman" w:cs="Times New Roman"/>
      <w:color w:val="auto"/>
    </w:rPr>
  </w:style>
  <w:style w:type="paragraph" w:customStyle="1" w:styleId="CM29">
    <w:name w:val="CM29"/>
    <w:basedOn w:val="Default"/>
    <w:next w:val="Default"/>
    <w:qFormat/>
    <w:rsid w:val="005C1E80"/>
    <w:pPr>
      <w:widowControl w:val="0"/>
      <w:spacing w:line="331" w:lineRule="atLeast"/>
    </w:pPr>
    <w:rPr>
      <w:rFonts w:ascii="Times New Roman" w:eastAsia="Times New Roman" w:hAnsi="Times New Roman" w:cs="Times New Roman"/>
      <w:color w:val="auto"/>
    </w:rPr>
  </w:style>
  <w:style w:type="paragraph" w:customStyle="1" w:styleId="CM30">
    <w:name w:val="CM30"/>
    <w:basedOn w:val="Default"/>
    <w:next w:val="Default"/>
    <w:qFormat/>
    <w:rsid w:val="005C1E80"/>
    <w:pPr>
      <w:widowControl w:val="0"/>
      <w:spacing w:line="303" w:lineRule="atLeast"/>
    </w:pPr>
    <w:rPr>
      <w:rFonts w:ascii="Times New Roman" w:eastAsia="Times New Roman" w:hAnsi="Times New Roman" w:cs="Times New Roman"/>
      <w:color w:val="auto"/>
    </w:rPr>
  </w:style>
  <w:style w:type="paragraph" w:customStyle="1" w:styleId="Obicnitekst">
    <w:name w:val="Obicni tekst"/>
    <w:qFormat/>
    <w:rsid w:val="005C1E80"/>
    <w:pPr>
      <w:spacing w:before="120" w:after="0" w:line="240" w:lineRule="auto"/>
      <w:ind w:firstLine="720"/>
      <w:jc w:val="both"/>
    </w:pPr>
    <w:rPr>
      <w:rFonts w:ascii="Arial" w:eastAsia="Times New Roman" w:hAnsi="Arial" w:cs="Times New Roman"/>
      <w:kern w:val="0"/>
      <w:sz w:val="24"/>
      <w:szCs w:val="20"/>
      <w:lang w:val="en-GB" w:eastAsia="hr-HR"/>
    </w:rPr>
  </w:style>
  <w:style w:type="paragraph" w:customStyle="1" w:styleId="Revizija1">
    <w:name w:val="Revizija1"/>
    <w:hidden/>
    <w:uiPriority w:val="99"/>
    <w:semiHidden/>
    <w:qFormat/>
    <w:rsid w:val="005C1E80"/>
    <w:pPr>
      <w:spacing w:after="0" w:line="240" w:lineRule="auto"/>
    </w:pPr>
    <w:rPr>
      <w:rFonts w:ascii="Times New Roman" w:eastAsia="Times New Roman" w:hAnsi="Times New Roman" w:cs="Times New Roman"/>
      <w:kern w:val="0"/>
      <w:sz w:val="20"/>
      <w:szCs w:val="20"/>
      <w:lang w:eastAsia="zh-CN"/>
    </w:rPr>
  </w:style>
  <w:style w:type="paragraph" w:customStyle="1" w:styleId="Style2">
    <w:name w:val="Style2"/>
    <w:basedOn w:val="Naslov4"/>
    <w:link w:val="Style2Char"/>
    <w:qFormat/>
    <w:rsid w:val="005C1E80"/>
    <w:pPr>
      <w:keepNext w:val="0"/>
      <w:keepLines w:val="0"/>
      <w:autoSpaceDE w:val="0"/>
      <w:autoSpaceDN w:val="0"/>
      <w:adjustRightInd w:val="0"/>
      <w:spacing w:before="0" w:after="0" w:line="240" w:lineRule="auto"/>
      <w:ind w:left="2880" w:hanging="360"/>
      <w:jc w:val="both"/>
    </w:pPr>
    <w:rPr>
      <w:rFonts w:ascii="Calibri" w:eastAsia="SimSun" w:hAnsi="Calibri" w:cs="Times New Roman"/>
      <w:bCs/>
      <w:iCs w:val="0"/>
      <w:sz w:val="24"/>
      <w:szCs w:val="24"/>
      <w:shd w:val="clear" w:color="auto" w:fill="FFFFFF"/>
      <w:lang w:val="en-US" w:eastAsia="hr-HR"/>
    </w:rPr>
  </w:style>
  <w:style w:type="character" w:customStyle="1" w:styleId="Style2Char">
    <w:name w:val="Style2 Char"/>
    <w:basedOn w:val="Naslov4Char"/>
    <w:link w:val="Style2"/>
    <w:qFormat/>
    <w:rsid w:val="005C1E80"/>
    <w:rPr>
      <w:rFonts w:ascii="Calibri" w:eastAsia="SimSun" w:hAnsi="Calibri" w:cs="Times New Roman"/>
      <w:bCs/>
      <w:i/>
      <w:iCs w:val="0"/>
      <w:color w:val="2F5496" w:themeColor="accent1" w:themeShade="BF"/>
      <w:kern w:val="0"/>
      <w:sz w:val="24"/>
      <w:szCs w:val="24"/>
      <w:lang w:val="en-US" w:eastAsia="hr-HR"/>
    </w:rPr>
  </w:style>
  <w:style w:type="table" w:customStyle="1" w:styleId="Svijetlareetka-Isticanje51">
    <w:name w:val="Svijetla rešetka - Isticanje 51"/>
    <w:basedOn w:val="Obinatablica"/>
    <w:uiPriority w:val="62"/>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Kozuka Gothic Pro B" w:eastAsia="Times New Roman" w:hAnsi="@Kozuka Gothic Pro B"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Kozuka Gothic Pro B" w:eastAsia="Times New Roman" w:hAnsi="@Kozuka Gothic Pro B"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Kozuka Gothic Pro B" w:eastAsia="Times New Roman" w:hAnsi="@Kozuka Gothic Pro B" w:cs="Times New Roman"/>
        <w:b/>
        <w:bCs/>
      </w:rPr>
    </w:tblStylePr>
    <w:tblStylePr w:type="lastCol">
      <w:rPr>
        <w:rFonts w:ascii="@Kozuka Gothic Pro B" w:eastAsia="Times New Roman" w:hAnsi="@Kozuka Gothic Pro B"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customStyle="1" w:styleId="Srednjesjenanje1-Isticanje51">
    <w:name w:val="Srednje sjenčanje 1 - Isticanje 51"/>
    <w:basedOn w:val="Obinatablica"/>
    <w:uiPriority w:val="63"/>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customStyle="1" w:styleId="T-98-2">
    <w:name w:val="T-9/8-2"/>
    <w:basedOn w:val="Normal"/>
    <w:qFormat/>
    <w:rsid w:val="005C1E80"/>
    <w:pPr>
      <w:widowControl w:val="0"/>
      <w:tabs>
        <w:tab w:val="left" w:pos="2153"/>
      </w:tabs>
      <w:spacing w:after="43" w:line="240" w:lineRule="auto"/>
      <w:ind w:firstLine="342"/>
      <w:jc w:val="both"/>
    </w:pPr>
    <w:rPr>
      <w:rFonts w:ascii="Times-NewRoman" w:eastAsia="Times New Roman" w:hAnsi="Times-NewRoman" w:cs="Times New Roman"/>
      <w:sz w:val="19"/>
      <w:szCs w:val="20"/>
      <w:lang w:val="en-GB" w:eastAsia="hr-HR"/>
    </w:rPr>
  </w:style>
  <w:style w:type="table" w:customStyle="1" w:styleId="Reetkatablice11">
    <w:name w:val="Rešetka tablice11"/>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Obinatablica"/>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
    <w:name w:val="Rešetka tablice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
    <w:name w:val="Rešetka tablice3"/>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
    <w:name w:val="Rešetka tablice4"/>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
    <w:name w:val="Rešetka tablice5"/>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1">
    <w:name w:val="Rešetka tablice41"/>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6">
    <w:name w:val="Rešetka tablice6"/>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1">
    <w:name w:val="Rešetka tablice51"/>
    <w:basedOn w:val="Obinatablica"/>
    <w:uiPriority w:val="59"/>
    <w:qFormat/>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7">
    <w:name w:val="Rešetka tablice7"/>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
    <w:name w:val="Rešetka tablice8"/>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9">
    <w:name w:val="Rešetka tablice9"/>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0">
    <w:name w:val="Rešetka tablice10"/>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il2">
    <w:name w:val="Stil2"/>
    <w:basedOn w:val="Odlomakpopisa"/>
    <w:qFormat/>
    <w:rsid w:val="005C1E80"/>
    <w:pPr>
      <w:numPr>
        <w:ilvl w:val="1"/>
        <w:numId w:val="64"/>
      </w:numPr>
      <w:tabs>
        <w:tab w:val="left" w:pos="1440"/>
      </w:tabs>
      <w:spacing w:before="240" w:after="120" w:line="240" w:lineRule="auto"/>
      <w:ind w:left="1440" w:hanging="360"/>
    </w:pPr>
    <w:rPr>
      <w:rFonts w:ascii="Calibri" w:eastAsia="Times New Roman" w:hAnsi="Calibri" w:cs="Times New Roman"/>
      <w:sz w:val="28"/>
      <w:szCs w:val="28"/>
      <w:lang w:eastAsia="hr-HR"/>
    </w:rPr>
  </w:style>
  <w:style w:type="table" w:customStyle="1" w:styleId="Reetkatablice12">
    <w:name w:val="Rešetka tablice1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3">
    <w:name w:val="Rešetka tablice13"/>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4">
    <w:name w:val="Rešetka tablice14"/>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
    <w:name w:val="Rešetka tablice15"/>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
    <w:name w:val="Rešetka tablice16"/>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
    <w:name w:val="Rešetka tablice17"/>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
    <w:name w:val="Rešetka tablice18"/>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9">
    <w:name w:val="Rešetka tablice19"/>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
    <w:name w:val="Rešetka tablice20"/>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1">
    <w:name w:val="Rešetka tablice2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op">
    <w:name w:val="eop"/>
    <w:basedOn w:val="Zadanifontodlomka"/>
    <w:qFormat/>
    <w:rsid w:val="005C1E80"/>
  </w:style>
  <w:style w:type="table" w:customStyle="1" w:styleId="Reetkatablice161">
    <w:name w:val="Rešetka tablice16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1">
    <w:name w:val="Rešetka tablice17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2">
    <w:name w:val="Rešetka tablice17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1">
    <w:name w:val="Rešetka tablice18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supportedobjecttext">
    <w:name w:val="unsupportedobjecttext"/>
    <w:basedOn w:val="Zadanifontodlomka"/>
    <w:rsid w:val="005C1E80"/>
  </w:style>
  <w:style w:type="character" w:customStyle="1" w:styleId="spellingerror">
    <w:name w:val="spellingerror"/>
    <w:basedOn w:val="Zadanifontodlomka"/>
    <w:qFormat/>
    <w:rsid w:val="005C1E80"/>
  </w:style>
  <w:style w:type="character" w:customStyle="1" w:styleId="scxw101888270">
    <w:name w:val="scxw101888270"/>
    <w:basedOn w:val="Zadanifontodlomka"/>
    <w:qFormat/>
    <w:rsid w:val="005C1E80"/>
  </w:style>
  <w:style w:type="character" w:customStyle="1" w:styleId="scxw212501403">
    <w:name w:val="scxw212501403"/>
    <w:basedOn w:val="Zadanifontodlomka"/>
    <w:rsid w:val="005C1E80"/>
  </w:style>
  <w:style w:type="character" w:customStyle="1" w:styleId="scxw116637173">
    <w:name w:val="scxw116637173"/>
    <w:basedOn w:val="Zadanifontodlomka"/>
    <w:qFormat/>
    <w:rsid w:val="005C1E80"/>
  </w:style>
  <w:style w:type="character" w:customStyle="1" w:styleId="scxw140225239">
    <w:name w:val="scxw140225239"/>
    <w:basedOn w:val="Zadanifontodlomka"/>
    <w:qFormat/>
    <w:rsid w:val="005C1E80"/>
  </w:style>
  <w:style w:type="table" w:customStyle="1" w:styleId="Svijetlareetka-Isticanje511">
    <w:name w:val="Svijetla rešetka - Isticanje 511"/>
    <w:basedOn w:val="Obinatablica"/>
    <w:uiPriority w:val="62"/>
    <w:qFormat/>
    <w:rsid w:val="005C1E80"/>
    <w:pPr>
      <w:spacing w:after="0" w:line="240" w:lineRule="auto"/>
    </w:pPr>
    <w:rPr>
      <w:rFonts w:ascii="Times New Roman" w:eastAsia="Times New Roman" w:hAnsi="Times New Roman" w:cs="Times New Roman"/>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Adobe Heiti Std R" w:eastAsia="Times New Roman" w:hAnsi="@Adobe Heiti Std 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Adobe Heiti Std R" w:eastAsia="Times New Roman" w:hAnsi="@Adobe Heiti Std 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Adobe Heiti Std R" w:eastAsia="Times New Roman" w:hAnsi="@Adobe Heiti Std R" w:cs="Times New Roman"/>
        <w:b/>
        <w:bCs/>
      </w:rPr>
    </w:tblStylePr>
    <w:tblStylePr w:type="lastCol">
      <w:rPr>
        <w:rFonts w:ascii="@Adobe Heiti Std R" w:eastAsia="Times New Roman" w:hAnsi="@Adobe Heiti Std 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character" w:customStyle="1" w:styleId="scxw213290317">
    <w:name w:val="scxw213290317"/>
    <w:basedOn w:val="Zadanifontodlomka"/>
    <w:qFormat/>
    <w:rsid w:val="005C1E80"/>
  </w:style>
  <w:style w:type="character" w:customStyle="1" w:styleId="scxw62186719">
    <w:name w:val="scxw62186719"/>
    <w:basedOn w:val="Zadanifontodlomka"/>
    <w:qFormat/>
    <w:rsid w:val="005C1E80"/>
  </w:style>
  <w:style w:type="character" w:customStyle="1" w:styleId="scxw81420588">
    <w:name w:val="scxw81420588"/>
    <w:basedOn w:val="Zadanifontodlomka"/>
    <w:qFormat/>
    <w:rsid w:val="005C1E80"/>
  </w:style>
  <w:style w:type="character" w:customStyle="1" w:styleId="scxw41713529">
    <w:name w:val="scxw41713529"/>
    <w:basedOn w:val="Zadanifontodlomka"/>
    <w:qFormat/>
    <w:rsid w:val="005C1E80"/>
  </w:style>
  <w:style w:type="table" w:customStyle="1" w:styleId="Reetkatablice22">
    <w:name w:val="Rešetka tablice2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1">
    <w:name w:val="Rešetka tablice15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2">
    <w:name w:val="Rešetka tablice16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3">
    <w:name w:val="Rešetka tablice173"/>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4">
    <w:name w:val="Rešetka tablice174"/>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2">
    <w:name w:val="Rešetka tablice182"/>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cxw206083138">
    <w:name w:val="scxw206083138"/>
    <w:basedOn w:val="Zadanifontodlomka"/>
    <w:rsid w:val="005C1E80"/>
  </w:style>
  <w:style w:type="character" w:customStyle="1" w:styleId="scxw132367798">
    <w:name w:val="scxw132367798"/>
    <w:basedOn w:val="Zadanifontodlomka"/>
    <w:qFormat/>
    <w:rsid w:val="005C1E80"/>
  </w:style>
  <w:style w:type="character" w:customStyle="1" w:styleId="scxw112904587">
    <w:name w:val="scxw112904587"/>
    <w:basedOn w:val="Zadanifontodlomka"/>
    <w:qFormat/>
    <w:rsid w:val="005C1E80"/>
  </w:style>
  <w:style w:type="character" w:customStyle="1" w:styleId="scxw87264646">
    <w:name w:val="scxw87264646"/>
    <w:basedOn w:val="Zadanifontodlomka"/>
    <w:qFormat/>
    <w:rsid w:val="005C1E80"/>
  </w:style>
  <w:style w:type="character" w:customStyle="1" w:styleId="scxw114738518">
    <w:name w:val="scxw114738518"/>
    <w:basedOn w:val="Zadanifontodlomka"/>
    <w:qFormat/>
    <w:rsid w:val="005C1E80"/>
  </w:style>
  <w:style w:type="character" w:customStyle="1" w:styleId="scxw46171644">
    <w:name w:val="scxw46171644"/>
    <w:basedOn w:val="Zadanifontodlomka"/>
    <w:qFormat/>
    <w:rsid w:val="005C1E80"/>
  </w:style>
  <w:style w:type="character" w:customStyle="1" w:styleId="scxw86397121">
    <w:name w:val="scxw86397121"/>
    <w:basedOn w:val="Zadanifontodlomka"/>
    <w:qFormat/>
    <w:rsid w:val="005C1E80"/>
  </w:style>
  <w:style w:type="character" w:customStyle="1" w:styleId="scxw166085349">
    <w:name w:val="scxw166085349"/>
    <w:basedOn w:val="Zadanifontodlomka"/>
    <w:qFormat/>
    <w:rsid w:val="005C1E80"/>
  </w:style>
  <w:style w:type="character" w:customStyle="1" w:styleId="scxw254458972">
    <w:name w:val="scxw254458972"/>
    <w:basedOn w:val="Zadanifontodlomka"/>
    <w:qFormat/>
    <w:rsid w:val="005C1E80"/>
  </w:style>
  <w:style w:type="character" w:customStyle="1" w:styleId="scxw212903739">
    <w:name w:val="scxw212903739"/>
    <w:basedOn w:val="Zadanifontodlomka"/>
    <w:qFormat/>
    <w:rsid w:val="005C1E80"/>
  </w:style>
  <w:style w:type="character" w:customStyle="1" w:styleId="scxw219488033">
    <w:name w:val="scxw219488033"/>
    <w:basedOn w:val="Zadanifontodlomka"/>
    <w:qFormat/>
    <w:rsid w:val="005C1E80"/>
  </w:style>
  <w:style w:type="character" w:customStyle="1" w:styleId="scxw235829492">
    <w:name w:val="scxw235829492"/>
    <w:basedOn w:val="Zadanifontodlomka"/>
    <w:qFormat/>
    <w:rsid w:val="005C1E80"/>
  </w:style>
  <w:style w:type="table" w:customStyle="1" w:styleId="Reetkatablice23">
    <w:name w:val="Rešetka tablice23"/>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4">
    <w:name w:val="Rešetka tablice24"/>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5">
    <w:name w:val="Rešetka tablice25"/>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6">
    <w:name w:val="Rešetka tablice26"/>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7">
    <w:name w:val="Rešetka tablice27"/>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8">
    <w:name w:val="Rešetka tablice28"/>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9">
    <w:name w:val="Rešetka tablice29"/>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0">
    <w:name w:val="Rešetka tablice30"/>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1">
    <w:name w:val="Rešetka tablice31"/>
    <w:basedOn w:val="Obinatablica"/>
    <w:uiPriority w:val="59"/>
    <w:qFormat/>
    <w:rsid w:val="005C1E80"/>
    <w:pPr>
      <w:spacing w:after="0" w:line="240" w:lineRule="auto"/>
    </w:pPr>
    <w:rPr>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2">
    <w:name w:val="Rešetka tablice52"/>
    <w:basedOn w:val="Obinatablica"/>
    <w:uiPriority w:val="59"/>
    <w:qFormat/>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2">
    <w:name w:val="Rešetka tablice32"/>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kstrezerviranogmjesta">
    <w:name w:val="Placeholder Text"/>
    <w:basedOn w:val="Zadanifontodlomka"/>
    <w:uiPriority w:val="99"/>
    <w:semiHidden/>
    <w:qFormat/>
    <w:rsid w:val="005C1E80"/>
    <w:rPr>
      <w:color w:val="808080"/>
    </w:rPr>
  </w:style>
  <w:style w:type="character" w:customStyle="1" w:styleId="apple-style-span">
    <w:name w:val="apple-style-span"/>
    <w:basedOn w:val="Zadanifontodlomka"/>
    <w:uiPriority w:val="99"/>
    <w:qFormat/>
    <w:rsid w:val="005C1E80"/>
  </w:style>
  <w:style w:type="table" w:customStyle="1" w:styleId="Reetkatablice311">
    <w:name w:val="Rešetka tablice311"/>
    <w:basedOn w:val="Obinatablica"/>
    <w:uiPriority w:val="59"/>
    <w:qFormat/>
    <w:rsid w:val="005C1E80"/>
    <w:pPr>
      <w:spacing w:after="0" w:line="240" w:lineRule="auto"/>
    </w:pPr>
    <w:rPr>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11">
    <w:name w:val="Rešetka tablice411"/>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61">
    <w:name w:val="Rešetka tablice6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3">
    <w:name w:val="Rešetka tablice33"/>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Obinatablica"/>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71">
    <w:name w:val="Rešetka tablice7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1">
    <w:name w:val="Rešetka tablice8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2">
    <w:name w:val="Rešetka tablice8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91">
    <w:name w:val="Rešetka tablice9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3">
    <w:name w:val="Rešetka tablice163"/>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5">
    <w:name w:val="Rešetka tablice175"/>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6">
    <w:name w:val="Rešetka tablice176"/>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3">
    <w:name w:val="Rešetka tablice183"/>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4">
    <w:name w:val="Rešetka tablice184"/>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5">
    <w:name w:val="Rešetka tablice185"/>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91">
    <w:name w:val="Rešetka tablice19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1">
    <w:name w:val="Rešetka tablice20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2">
    <w:name w:val="Rešetka tablice202"/>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Obinatablica"/>
    <w:uiPriority w:val="5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Obinatablica"/>
    <w:uiPriority w:val="5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111">
    <w:name w:val="Rešetka tablice111"/>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6">
    <w:name w:val="Rešetka tablice186"/>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Obinatablica"/>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Obinatablica"/>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
    <w:name w:val="Table Grid7"/>
    <w:basedOn w:val="Obinatablica"/>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Obinatablica"/>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
    <w:name w:val="Table Grid9"/>
    <w:basedOn w:val="Obinatablica"/>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1511">
    <w:name w:val="Rešetka tablice151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Obinatablica"/>
    <w:uiPriority w:val="5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1">
    <w:name w:val="List Table 31"/>
    <w:basedOn w:val="Obinatablica"/>
    <w:uiPriority w:val="48"/>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Reetkatablice1731">
    <w:name w:val="Rešetka tablice173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41">
    <w:name w:val="Rešetka tablice174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21">
    <w:name w:val="Rešetka tablice1821"/>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22">
    <w:name w:val="Rešetka tablice182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92">
    <w:name w:val="Rešetka tablice19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3">
    <w:name w:val="Rešetka tablice203"/>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31">
    <w:name w:val="Rešetka tablice331"/>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Obinatablica1">
    <w:name w:val="Obična tablica1"/>
    <w:uiPriority w:val="99"/>
    <w:semiHidden/>
    <w:qFormat/>
    <w:rsid w:val="005C1E80"/>
    <w:pPr>
      <w:spacing w:after="0" w:line="240" w:lineRule="auto"/>
    </w:pPr>
    <w:rPr>
      <w:rFonts w:ascii="Times New Roman" w:eastAsia="Times New Roman" w:hAnsi="Times New Roman" w:cs="Times New Roman"/>
      <w:kern w:val="0"/>
      <w:sz w:val="20"/>
      <w:szCs w:val="20"/>
      <w:lang w:eastAsia="hr-HR"/>
    </w:rPr>
    <w:tblPr>
      <w:tblCellMar>
        <w:top w:w="0" w:type="dxa"/>
        <w:left w:w="108" w:type="dxa"/>
        <w:bottom w:w="0" w:type="dxa"/>
        <w:right w:w="108" w:type="dxa"/>
      </w:tblCellMar>
    </w:tblPr>
  </w:style>
  <w:style w:type="character" w:customStyle="1" w:styleId="BezproredaChar1">
    <w:name w:val="Bez proreda Char1"/>
    <w:basedOn w:val="Zadanifontodlomka"/>
    <w:link w:val="Bezproreda1"/>
    <w:qFormat/>
    <w:rsid w:val="005C1E80"/>
    <w:rPr>
      <w:rFonts w:ascii="Calibri" w:eastAsia="Times New Roman" w:hAnsi="Calibri" w:cs="Times New Roman"/>
      <w:kern w:val="0"/>
    </w:rPr>
  </w:style>
  <w:style w:type="table" w:customStyle="1" w:styleId="Reetkatablice112">
    <w:name w:val="Rešetka tablice112"/>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ice">
    <w:name w:val="Tablice"/>
    <w:basedOn w:val="Normal"/>
    <w:qFormat/>
    <w:rsid w:val="005C1E80"/>
    <w:pPr>
      <w:spacing w:before="480" w:after="240" w:line="288" w:lineRule="auto"/>
      <w:ind w:left="1134" w:hanging="1134"/>
      <w:jc w:val="both"/>
    </w:pPr>
    <w:rPr>
      <w:rFonts w:ascii="Arial" w:eastAsia="Times New Roman" w:hAnsi="Arial" w:cs="Times New Roman"/>
      <w:bCs/>
      <w:color w:val="000000"/>
      <w:szCs w:val="20"/>
      <w:lang w:val="en-GB" w:eastAsia="hr-HR"/>
    </w:rPr>
  </w:style>
  <w:style w:type="table" w:customStyle="1" w:styleId="Reetkatablice34">
    <w:name w:val="Rešetka tablice34"/>
    <w:basedOn w:val="Obinatablica"/>
    <w:uiPriority w:val="5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152">
    <w:name w:val="Rešetka tablice152"/>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4">
    <w:name w:val="Rešetka tablice164"/>
    <w:basedOn w:val="Obinatablica"/>
    <w:uiPriority w:val="5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3">
    <w:name w:val="Rešetka tablice53"/>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2">
    <w:name w:val="Neriješeno spominjanje2"/>
    <w:basedOn w:val="Zadanifontodlomka"/>
    <w:uiPriority w:val="99"/>
    <w:semiHidden/>
    <w:unhideWhenUsed/>
    <w:qFormat/>
    <w:rsid w:val="005C1E80"/>
    <w:rPr>
      <w:color w:val="605E5C"/>
      <w:shd w:val="clear" w:color="auto" w:fill="E1DFDD"/>
    </w:rPr>
  </w:style>
  <w:style w:type="character" w:customStyle="1" w:styleId="Style">
    <w:name w:val="Style"/>
    <w:basedOn w:val="Referencafusnote"/>
    <w:qFormat/>
    <w:rsid w:val="005C1E80"/>
    <w:rPr>
      <w:rFonts w:ascii="Calibri" w:hAnsi="Calibri"/>
      <w:sz w:val="24"/>
      <w:vertAlign w:val="superscript"/>
    </w:rPr>
  </w:style>
  <w:style w:type="character" w:customStyle="1" w:styleId="Nerijeenospominjanje3">
    <w:name w:val="Neriješeno spominjanje3"/>
    <w:basedOn w:val="Zadanifontodlomka"/>
    <w:uiPriority w:val="99"/>
    <w:semiHidden/>
    <w:unhideWhenUsed/>
    <w:qFormat/>
    <w:rsid w:val="005C1E80"/>
    <w:rPr>
      <w:color w:val="605E5C"/>
      <w:shd w:val="clear" w:color="auto" w:fill="E1DFDD"/>
    </w:rPr>
  </w:style>
  <w:style w:type="table" w:customStyle="1" w:styleId="TableGrid11">
    <w:name w:val="Table Grid11"/>
    <w:basedOn w:val="Obinatablica"/>
    <w:uiPriority w:val="59"/>
    <w:qFormat/>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Indent2Char1">
    <w:name w:val="Body Text Indent 2 Char1"/>
    <w:basedOn w:val="Zadanifontodlomka"/>
    <w:semiHidden/>
    <w:qFormat/>
    <w:rsid w:val="005C1E80"/>
    <w:rPr>
      <w:rFonts w:ascii="Calibri" w:eastAsia="Times New Roman" w:hAnsi="Calibri" w:cs="Times New Roman"/>
      <w:sz w:val="24"/>
      <w:szCs w:val="20"/>
      <w:lang w:eastAsia="zh-CN"/>
    </w:rPr>
  </w:style>
  <w:style w:type="character" w:customStyle="1" w:styleId="BodyTextIndent3Char1">
    <w:name w:val="Body Text Indent 3 Char1"/>
    <w:basedOn w:val="Zadanifontodlomka"/>
    <w:semiHidden/>
    <w:qFormat/>
    <w:rsid w:val="005C1E80"/>
    <w:rPr>
      <w:rFonts w:ascii="Calibri" w:eastAsia="Times New Roman" w:hAnsi="Calibri" w:cs="Times New Roman"/>
      <w:sz w:val="16"/>
      <w:szCs w:val="16"/>
      <w:lang w:eastAsia="zh-CN"/>
    </w:rPr>
  </w:style>
  <w:style w:type="table" w:customStyle="1" w:styleId="LightGrid-Accent51">
    <w:name w:val="Light Grid - Accent 51"/>
    <w:basedOn w:val="Obinatablica"/>
    <w:uiPriority w:val="62"/>
    <w:semiHidden/>
    <w:unhideWhenUsed/>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Adobe Caslon Pro Bold" w:eastAsia="Times New Roman" w:hAnsi="Adobe Caslon Pro Bold"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Lines="0" w:beforeAutospacing="0" w:afterLines="0" w:afterAutospacing="0" w:line="240" w:lineRule="auto"/>
      </w:pPr>
      <w:rPr>
        <w:rFonts w:ascii="Adobe Caslon Pro Bold" w:eastAsia="Times New Roman" w:hAnsi="Adobe Caslon Pro Bold"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Adobe Caslon Pro Bold" w:eastAsia="Times New Roman" w:hAnsi="Adobe Caslon Pro Bold" w:cs="Times New Roman" w:hint="default"/>
        <w:b/>
        <w:bCs/>
      </w:rPr>
    </w:tblStylePr>
    <w:tblStylePr w:type="lastCol">
      <w:rPr>
        <w:rFonts w:ascii="Adobe Caslon Pro Bold" w:eastAsia="Times New Roman" w:hAnsi="Adobe Caslon Pro Bold"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customStyle="1" w:styleId="MediumShading1-Accent51">
    <w:name w:val="Medium Shading 1 - Accent 51"/>
    <w:basedOn w:val="Obinatablica"/>
    <w:uiPriority w:val="63"/>
    <w:semiHidden/>
    <w:unhideWhenUsed/>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Lines="0" w:beforeAutospacing="0" w:afterLines="0" w:afterAutospacing="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MediumGrid1-Accent51">
    <w:name w:val="Medium Grid 1 - Accent 51"/>
    <w:basedOn w:val="Obinatablica"/>
    <w:uiPriority w:val="67"/>
    <w:semiHidden/>
    <w:unhideWhenUsed/>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MediumGrid2-Accent51">
    <w:name w:val="Medium Grid 2 - Accent 51"/>
    <w:basedOn w:val="Obinatablica"/>
    <w:uiPriority w:val="68"/>
    <w:semiHidden/>
    <w:unhideWhenUsed/>
    <w:rsid w:val="005C1E80"/>
    <w:pPr>
      <w:spacing w:after="0" w:line="240" w:lineRule="auto"/>
    </w:pPr>
    <w:rPr>
      <w:rFonts w:ascii="Cambria" w:eastAsia="Times New Roman" w:hAnsi="Cambria" w:cs="Calibri"/>
      <w:color w:val="000000"/>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customStyle="1" w:styleId="MediumGrid3-Accent51">
    <w:name w:val="Medium Grid 3 - Accent 51"/>
    <w:basedOn w:val="Obinatablica"/>
    <w:uiPriority w:val="69"/>
    <w:semiHidden/>
    <w:unhideWhenUsed/>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customStyle="1" w:styleId="Reetkatablice210">
    <w:name w:val="Rešetka tablice210"/>
    <w:basedOn w:val="Obinatablica"/>
    <w:uiPriority w:val="3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0">
    <w:name w:val="Rešetka tablice110"/>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2">
    <w:name w:val="Rešetka tablice42"/>
    <w:basedOn w:val="Obinatablica"/>
    <w:uiPriority w:val="5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12">
    <w:name w:val="Rešetka tablice412"/>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62">
    <w:name w:val="Rešetka tablice62"/>
    <w:basedOn w:val="Obinatablica"/>
    <w:uiPriority w:val="5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11">
    <w:name w:val="Rešetka tablice511"/>
    <w:basedOn w:val="Obinatablica"/>
    <w:uiPriority w:val="59"/>
    <w:rsid w:val="005C1E80"/>
    <w:pPr>
      <w:spacing w:after="0" w:line="240" w:lineRule="auto"/>
    </w:pPr>
    <w:rPr>
      <w:rFonts w:ascii="Arial" w:eastAsia="Times New Roman" w:hAnsi="Arial" w:cs="Times New Roman"/>
      <w:b/>
      <w:kern w:val="0"/>
      <w:sz w:val="28"/>
      <w:szCs w:val="28"/>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72">
    <w:name w:val="Rešetka tablice72"/>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3">
    <w:name w:val="Rešetka tablice83"/>
    <w:basedOn w:val="Obinatablica"/>
    <w:uiPriority w:val="5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92">
    <w:name w:val="Rešetka tablice92"/>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01">
    <w:name w:val="Rešetka tablice10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21">
    <w:name w:val="Rešetka tablice121"/>
    <w:basedOn w:val="Obinatablica"/>
    <w:uiPriority w:val="5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31">
    <w:name w:val="Rešetka tablice13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41">
    <w:name w:val="Rešetka tablice141"/>
    <w:basedOn w:val="Obinatablica"/>
    <w:uiPriority w:val="5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7">
    <w:name w:val="Rešetka tablice177"/>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7">
    <w:name w:val="Rešetka tablice187"/>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11">
    <w:name w:val="Rešetka tablice21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11">
    <w:name w:val="Rešetka tablice161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11">
    <w:name w:val="Rešetka tablice171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21">
    <w:name w:val="Rešetka tablice172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11">
    <w:name w:val="Rešetka tablice181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ijetlareetka-Isticanje512">
    <w:name w:val="Svijetla rešetka - Isticanje 512"/>
    <w:basedOn w:val="Obinatablica"/>
    <w:uiPriority w:val="62"/>
    <w:rsid w:val="005C1E80"/>
    <w:pPr>
      <w:spacing w:after="0" w:line="240" w:lineRule="auto"/>
    </w:pPr>
    <w:rPr>
      <w:rFonts w:ascii="Times New Roman" w:eastAsia="Times New Roman" w:hAnsi="Times New Roman" w:cs="Times New Roman"/>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Lines="0" w:beforeAutospacing="0" w:afterLines="0" w:afterAutospacing="0" w:line="240" w:lineRule="auto"/>
      </w:pPr>
      <w:rPr>
        <w:rFonts w:ascii="@Adobe Heiti Std R" w:eastAsia="Times New Roman" w:hAnsi="@Adobe Heiti Std R"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Lines="0" w:beforeAutospacing="0" w:afterLines="0" w:afterAutospacing="0" w:line="240" w:lineRule="auto"/>
      </w:pPr>
      <w:rPr>
        <w:rFonts w:ascii="@Adobe Heiti Std R" w:eastAsia="Times New Roman" w:hAnsi="@Adobe Heiti Std R"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Adobe Heiti Std R" w:eastAsia="Times New Roman" w:hAnsi="@Adobe Heiti Std R" w:cs="Times New Roman" w:hint="default"/>
        <w:b/>
        <w:bCs/>
      </w:rPr>
    </w:tblStylePr>
    <w:tblStylePr w:type="lastCol">
      <w:rPr>
        <w:rFonts w:ascii="@Adobe Heiti Std R" w:eastAsia="Times New Roman" w:hAnsi="@Adobe Heiti Std R"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customStyle="1" w:styleId="Reetkatablice221">
    <w:name w:val="Rešetka tablice22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512">
    <w:name w:val="Rešetka tablice1512"/>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21">
    <w:name w:val="Rešetka tablice1621"/>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31">
    <w:name w:val="Rešetka tablice231"/>
    <w:basedOn w:val="Obinatablica"/>
    <w:uiPriority w:val="3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41">
    <w:name w:val="Rešetka tablice241"/>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51">
    <w:name w:val="Rešetka tablice251"/>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61">
    <w:name w:val="Rešetka tablice261"/>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71">
    <w:name w:val="Rešetka tablice271"/>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81">
    <w:name w:val="Rešetka tablice281"/>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91">
    <w:name w:val="Rešetka tablice291"/>
    <w:basedOn w:val="Obinatablica"/>
    <w:uiPriority w:val="3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01">
    <w:name w:val="Rešetka tablice301"/>
    <w:basedOn w:val="Obinatablica"/>
    <w:uiPriority w:val="3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12">
    <w:name w:val="Rešetka tablice312"/>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21">
    <w:name w:val="Rešetka tablice521"/>
    <w:basedOn w:val="Obinatablica"/>
    <w:uiPriority w:val="59"/>
    <w:rsid w:val="005C1E80"/>
    <w:pPr>
      <w:spacing w:after="0" w:line="240" w:lineRule="auto"/>
    </w:pPr>
    <w:rPr>
      <w:rFonts w:ascii="Arial" w:eastAsia="Times New Roman" w:hAnsi="Arial" w:cs="Times New Roman"/>
      <w:b/>
      <w:kern w:val="0"/>
      <w:sz w:val="28"/>
      <w:szCs w:val="28"/>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21">
    <w:name w:val="Rešetka tablice321"/>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12">
    <w:name w:val="Rešetka tablice212"/>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3">
    <w:name w:val="Rešetka tablice113"/>
    <w:basedOn w:val="Obinatablica"/>
    <w:uiPriority w:val="59"/>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5">
    <w:name w:val="Rešetka tablice35"/>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3">
    <w:name w:val="Rešetka tablice43"/>
    <w:basedOn w:val="Obinatablica"/>
    <w:uiPriority w:val="5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14">
    <w:name w:val="Rešetka tablice114"/>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13">
    <w:name w:val="Rešetka tablice413"/>
    <w:basedOn w:val="Obinatablica"/>
    <w:uiPriority w:val="39"/>
    <w:qFormat/>
    <w:rsid w:val="005C1E80"/>
    <w:pPr>
      <w:spacing w:after="0" w:line="240" w:lineRule="auto"/>
    </w:pPr>
    <w:rPr>
      <w:rFonts w:ascii="Calibri" w:eastAsia="Calibri" w:hAnsi="Calibri" w:cs="Times New Roman"/>
      <w:kern w:val="0"/>
      <w:sz w:val="20"/>
      <w:szCs w:val="20"/>
      <w:lang w:val="en-US"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332">
    <w:name w:val="Rešetka tablice332"/>
    <w:basedOn w:val="Obinatablica"/>
    <w:uiPriority w:val="39"/>
    <w:qFormat/>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4">
    <w:name w:val="Rešetka tablice54"/>
    <w:basedOn w:val="Obinatablica"/>
    <w:uiPriority w:val="59"/>
    <w:qFormat/>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5">
    <w:name w:val="Rešetka tablice55"/>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6">
    <w:name w:val="Rešetka tablice56"/>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6">
    <w:name w:val="Rešetka tablice36"/>
    <w:basedOn w:val="Obinatablica"/>
    <w:uiPriority w:val="39"/>
    <w:qFormat/>
    <w:rsid w:val="005C1E80"/>
    <w:pPr>
      <w:spacing w:after="0" w:line="240" w:lineRule="auto"/>
    </w:pPr>
    <w:rPr>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7">
    <w:name w:val="Rešetka tablice57"/>
    <w:basedOn w:val="Obinatablica"/>
    <w:uiPriority w:val="59"/>
    <w:qFormat/>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8">
    <w:name w:val="Rešetka tablice58"/>
    <w:basedOn w:val="Obinatablica"/>
    <w:uiPriority w:val="59"/>
    <w:qFormat/>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4">
    <w:name w:val="Neriješeno spominjanje4"/>
    <w:basedOn w:val="Zadanifontodlomka"/>
    <w:uiPriority w:val="99"/>
    <w:semiHidden/>
    <w:unhideWhenUsed/>
    <w:qFormat/>
    <w:rsid w:val="005C1E80"/>
    <w:rPr>
      <w:color w:val="605E5C"/>
      <w:shd w:val="clear" w:color="auto" w:fill="E1DFDD"/>
    </w:rPr>
  </w:style>
  <w:style w:type="character" w:customStyle="1" w:styleId="Nerijeenospominjanje5">
    <w:name w:val="Neriješeno spominjanje5"/>
    <w:basedOn w:val="Zadanifontodlomka"/>
    <w:uiPriority w:val="99"/>
    <w:semiHidden/>
    <w:unhideWhenUsed/>
    <w:rsid w:val="005C1E80"/>
    <w:rPr>
      <w:color w:val="605E5C"/>
      <w:shd w:val="clear" w:color="auto" w:fill="E1DFDD"/>
    </w:rPr>
  </w:style>
  <w:style w:type="table" w:customStyle="1" w:styleId="Tablicapopisa310">
    <w:name w:val="Tablica popisa 310"/>
    <w:basedOn w:val="Obinatablica"/>
    <w:uiPriority w:val="48"/>
    <w:rsid w:val="005C1E80"/>
    <w:pPr>
      <w:spacing w:after="0" w:line="240" w:lineRule="auto"/>
    </w:pPr>
    <w:rPr>
      <w:kern w:val="0"/>
      <w:sz w:val="20"/>
      <w:szCs w:val="20"/>
      <w:lang w:eastAsia="hr-H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ghtList-Accent11">
    <w:name w:val="Light List - Accent 11"/>
    <w:basedOn w:val="Obinatablica"/>
    <w:uiPriority w:val="61"/>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Srednjareetka3-Isticanje51">
    <w:name w:val="Srednja rešetka 3 - Isticanje 51"/>
    <w:basedOn w:val="Obinatablica"/>
    <w:uiPriority w:val="6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auto"/>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auto"/>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auto"/>
          <w:insideV w:val="single" w:sz="8" w:space="0" w:color="auto"/>
        </w:tcBorders>
        <w:shd w:val="clear" w:color="auto" w:fill="A5D5E2"/>
      </w:tcPr>
    </w:tblStylePr>
  </w:style>
  <w:style w:type="table" w:customStyle="1" w:styleId="Srednjareetka2-Isticanje51">
    <w:name w:val="Srednja rešetka 2 - Isticanje 51"/>
    <w:basedOn w:val="Obinatablica"/>
    <w:uiPriority w:val="68"/>
    <w:qFormat/>
    <w:rsid w:val="005C1E80"/>
    <w:pPr>
      <w:spacing w:after="0" w:line="240" w:lineRule="auto"/>
    </w:pPr>
    <w:rPr>
      <w:rFonts w:ascii="Cambria" w:eastAsia="Times New Roman" w:hAnsi="Cambria" w:cs="Times New Roman"/>
      <w:color w:val="000000"/>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auto"/>
          <w:insideV w:val="single" w:sz="6" w:space="0" w:color="auto"/>
        </w:tcBorders>
        <w:shd w:val="clear" w:color="auto" w:fill="A5D5E2"/>
      </w:tcPr>
    </w:tblStylePr>
    <w:tblStylePr w:type="nwCell">
      <w:tblPr/>
      <w:tcPr>
        <w:shd w:val="clear" w:color="auto" w:fill="FFFFFF"/>
      </w:tcPr>
    </w:tblStylePr>
  </w:style>
  <w:style w:type="table" w:customStyle="1" w:styleId="Srednjareetka1-Isticanje51">
    <w:name w:val="Srednja rešetka 1 - Isticanje 51"/>
    <w:basedOn w:val="Obinatablica"/>
    <w:uiPriority w:val="67"/>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Svijetlareetka-Isticanje52">
    <w:name w:val="Svijetla rešetka - Isticanje 52"/>
    <w:basedOn w:val="Obinatablica"/>
    <w:uiPriority w:val="62"/>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auto"/>
        </w:tcBorders>
      </w:tcPr>
    </w:tblStylePr>
  </w:style>
  <w:style w:type="table" w:customStyle="1" w:styleId="Reetkatablice341">
    <w:name w:val="Rešetka tablice341"/>
    <w:basedOn w:val="Obinatablica"/>
    <w:uiPriority w:val="59"/>
    <w:qFormat/>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Obinatablica"/>
    <w:uiPriority w:val="59"/>
    <w:qFormat/>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Obinatablica"/>
    <w:uiPriority w:val="59"/>
    <w:qFormat/>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Obinatablica"/>
    <w:uiPriority w:val="59"/>
    <w:qFormat/>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
    <w:name w:val="Table Grid131"/>
    <w:basedOn w:val="Obinatablica"/>
    <w:uiPriority w:val="59"/>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zproreda3">
    <w:name w:val="Bez proreda3"/>
    <w:qFormat/>
    <w:rsid w:val="005C1E80"/>
    <w:pPr>
      <w:spacing w:after="0" w:line="240" w:lineRule="auto"/>
    </w:pPr>
    <w:rPr>
      <w:rFonts w:ascii="Calibri" w:eastAsia="Times New Roman" w:hAnsi="Calibri" w:cs="Times New Roman"/>
      <w:kern w:val="0"/>
    </w:rPr>
  </w:style>
  <w:style w:type="character" w:customStyle="1" w:styleId="fontstyle21">
    <w:name w:val="fontstyle21"/>
    <w:basedOn w:val="Zadanifontodlomka"/>
    <w:qFormat/>
    <w:rsid w:val="005C1E80"/>
    <w:rPr>
      <w:rFonts w:ascii="TimesNewRomanPSMT" w:eastAsia="TimesNewRomanPSMT" w:hAnsi="TimesNewRomanPSMT" w:hint="eastAsia"/>
      <w:color w:val="000000"/>
      <w:sz w:val="24"/>
      <w:szCs w:val="24"/>
    </w:rPr>
  </w:style>
  <w:style w:type="character" w:customStyle="1" w:styleId="fontstyle31">
    <w:name w:val="fontstyle31"/>
    <w:basedOn w:val="Zadanifontodlomka"/>
    <w:qFormat/>
    <w:rsid w:val="005C1E80"/>
    <w:rPr>
      <w:rFonts w:ascii="Calibri" w:hAnsi="Calibri" w:cs="Calibri" w:hint="default"/>
      <w:color w:val="000000"/>
      <w:sz w:val="22"/>
      <w:szCs w:val="22"/>
    </w:rPr>
  </w:style>
  <w:style w:type="character" w:customStyle="1" w:styleId="fontstyle41">
    <w:name w:val="fontstyle41"/>
    <w:basedOn w:val="Zadanifontodlomka"/>
    <w:qFormat/>
    <w:rsid w:val="005C1E80"/>
    <w:rPr>
      <w:rFonts w:ascii="Cambria" w:hAnsi="Cambria" w:hint="default"/>
      <w:i/>
      <w:iCs/>
      <w:color w:val="000000"/>
      <w:sz w:val="24"/>
      <w:szCs w:val="24"/>
    </w:rPr>
  </w:style>
  <w:style w:type="character" w:customStyle="1" w:styleId="fontstyle11">
    <w:name w:val="fontstyle11"/>
    <w:basedOn w:val="Zadanifontodlomka"/>
    <w:rsid w:val="005C1E80"/>
    <w:rPr>
      <w:rFonts w:ascii="TimesNewRoman" w:hAnsi="TimesNewRoman" w:hint="default"/>
      <w:color w:val="000000"/>
      <w:sz w:val="24"/>
      <w:szCs w:val="24"/>
    </w:rPr>
  </w:style>
  <w:style w:type="table" w:customStyle="1" w:styleId="Reetkatablice37">
    <w:name w:val="Rešetka tablice37"/>
    <w:basedOn w:val="Obinatablica"/>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38">
    <w:name w:val="Rešetka tablice38"/>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39">
    <w:name w:val="Rešetka tablice39"/>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40">
    <w:name w:val="Rešetka tablice40"/>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4">
    <w:name w:val="Rešetka tablice44"/>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45">
    <w:name w:val="Rešetka tablice45"/>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46">
    <w:name w:val="Rešetka tablice46"/>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47">
    <w:name w:val="Rešetka tablice47"/>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48">
    <w:name w:val="Rešetka tablice48"/>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49">
    <w:name w:val="Rešetka tablice49"/>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0">
    <w:name w:val="Rešetka tablice50"/>
    <w:basedOn w:val="Obinatablica"/>
    <w:uiPriority w:val="59"/>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9">
    <w:name w:val="Rešetka tablice59"/>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42">
    <w:name w:val="Rešetka tablice342"/>
    <w:basedOn w:val="Obinatablica"/>
    <w:uiPriority w:val="59"/>
    <w:rsid w:val="005C1E80"/>
    <w:pPr>
      <w:spacing w:after="0" w:line="240" w:lineRule="auto"/>
    </w:pPr>
    <w:rPr>
      <w:rFonts w:ascii="Times New Roman" w:eastAsia="Times New Roman" w:hAnsi="Times New Roman"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heStil">
    <w:name w:val="TheStil"/>
    <w:basedOn w:val="Obinatablica"/>
    <w:uiPriority w:val="99"/>
    <w:qFormat/>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cPr>
      <w:vAlign w:val="center"/>
    </w:tcPr>
  </w:style>
  <w:style w:type="table" w:customStyle="1" w:styleId="Svijetlipopis-Isticanje11">
    <w:name w:val="Svijetli popis - Isticanje 11"/>
    <w:basedOn w:val="Obinatablica"/>
    <w:uiPriority w:val="61"/>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customStyle="1" w:styleId="TableGrid111">
    <w:name w:val="Table Grid111"/>
    <w:basedOn w:val="Obinatablica"/>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10">
    <w:name w:val="Rešetka tablice510"/>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512">
    <w:name w:val="Rešetka tablice512"/>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ezproreda2">
    <w:name w:val="Bez proreda2"/>
    <w:qFormat/>
    <w:rsid w:val="005C1E80"/>
    <w:pPr>
      <w:spacing w:after="0" w:line="240" w:lineRule="auto"/>
    </w:pPr>
    <w:rPr>
      <w:rFonts w:ascii="Calibri" w:eastAsia="Times New Roman" w:hAnsi="Calibri" w:cs="Times New Roman"/>
      <w:kern w:val="0"/>
    </w:rPr>
  </w:style>
  <w:style w:type="character" w:customStyle="1" w:styleId="currency">
    <w:name w:val="currency"/>
    <w:basedOn w:val="Zadanifontodlomka"/>
    <w:rsid w:val="005C1E80"/>
  </w:style>
  <w:style w:type="table" w:customStyle="1" w:styleId="Srednjesjenanje1-Isticanje511">
    <w:name w:val="Srednje sjenčanje 1 - Isticanje 511"/>
    <w:basedOn w:val="Obinatablica"/>
    <w:uiPriority w:val="63"/>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Reetkatablice193">
    <w:name w:val="Rešetka tablice193"/>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4">
    <w:name w:val="Rešetka tablice204"/>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vijetlareetka-Isticanje5111">
    <w:name w:val="Svijetla rešetka - Isticanje 5111"/>
    <w:basedOn w:val="Obinatablica"/>
    <w:uiPriority w:val="62"/>
    <w:rsid w:val="005C1E80"/>
    <w:pPr>
      <w:spacing w:after="0" w:line="240" w:lineRule="auto"/>
    </w:pPr>
    <w:rPr>
      <w:rFonts w:ascii="Times New Roman" w:eastAsia="Times New Roman" w:hAnsi="Times New Roman" w:cs="Times New Roman"/>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Garamond" w:eastAsia="Times New Roman" w:hAnsi="Garamon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auto"/>
        </w:tcBorders>
      </w:tcPr>
    </w:tblStylePr>
    <w:tblStylePr w:type="lastRow">
      <w:pPr>
        <w:spacing w:before="0" w:after="0" w:line="240" w:lineRule="auto"/>
      </w:pPr>
      <w:rPr>
        <w:rFonts w:ascii="Garamond" w:eastAsia="Times New Roman" w:hAnsi="Garamon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auto"/>
        </w:tcBorders>
      </w:tcPr>
    </w:tblStylePr>
    <w:tblStylePr w:type="firstCol">
      <w:rPr>
        <w:rFonts w:ascii="Garamond" w:eastAsia="Times New Roman" w:hAnsi="Garamond" w:cs="Times New Roman"/>
        <w:b/>
        <w:bCs/>
      </w:rPr>
    </w:tblStylePr>
    <w:tblStylePr w:type="lastCol">
      <w:rPr>
        <w:rFonts w:ascii="Garamond" w:eastAsia="Times New Roman" w:hAnsi="Garamon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auto"/>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auto"/>
        </w:tcBorders>
      </w:tcPr>
    </w:tblStylePr>
  </w:style>
  <w:style w:type="table" w:customStyle="1" w:styleId="Reetkatablice1732">
    <w:name w:val="Rešetka tablice1732"/>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42">
    <w:name w:val="Rešetka tablice1742"/>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23">
    <w:name w:val="Rešetka tablice1823"/>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Srednjesjenanje1-Isticanje52">
    <w:name w:val="Srednje sjenčanje 1 - Isticanje 52"/>
    <w:basedOn w:val="Obinatablica"/>
    <w:uiPriority w:val="63"/>
    <w:semiHidden/>
    <w:unhideWhenUsed/>
    <w:rsid w:val="005C1E80"/>
    <w:pPr>
      <w:spacing w:after="0" w:line="240" w:lineRule="auto"/>
    </w:pPr>
    <w:rPr>
      <w:kern w:val="0"/>
      <w:sz w:val="20"/>
      <w:szCs w:val="20"/>
      <w:lang w:eastAsia="hr-HR"/>
    </w:rPr>
    <w:tblPr>
      <w:tblInd w:w="0" w:type="dxa"/>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customStyle="1" w:styleId="Reetkatablice3111">
    <w:name w:val="Rešetka tablice3111"/>
    <w:basedOn w:val="Obinatablica"/>
    <w:uiPriority w:val="59"/>
    <w:rsid w:val="005C1E80"/>
    <w:pPr>
      <w:spacing w:after="0" w:line="240" w:lineRule="auto"/>
    </w:pPr>
    <w:rPr>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4111">
    <w:name w:val="Rešetka tablice4111"/>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611">
    <w:name w:val="Rešetka tablice6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711">
    <w:name w:val="Rešetka tablice7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11">
    <w:name w:val="Rešetka tablice8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821">
    <w:name w:val="Rešetka tablice82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911">
    <w:name w:val="Rešetka tablice9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631">
    <w:name w:val="Rešetka tablice163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51">
    <w:name w:val="Rešetka tablice175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61">
    <w:name w:val="Rešetka tablice176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31">
    <w:name w:val="Rešetka tablice183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41">
    <w:name w:val="Rešetka tablice184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51">
    <w:name w:val="Rešetka tablice185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911">
    <w:name w:val="Rešetka tablice19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11">
    <w:name w:val="Rešetka tablice20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21">
    <w:name w:val="Rešetka tablice202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1">
    <w:name w:val="Table Grid41"/>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1111">
    <w:name w:val="Rešetka tablice1111"/>
    <w:basedOn w:val="Obinatablica"/>
    <w:uiPriority w:val="3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61">
    <w:name w:val="Rešetka tablice186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Obinatablica"/>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1">
    <w:name w:val="Table Grid61"/>
    <w:basedOn w:val="Obinatablica"/>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71">
    <w:name w:val="Table Grid71"/>
    <w:basedOn w:val="Obinatablica"/>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Obinatablica"/>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91">
    <w:name w:val="Table Grid91"/>
    <w:basedOn w:val="Obinatablica"/>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15111">
    <w:name w:val="Rešetka tablice151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
    <w:name w:val="Table Grid101"/>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stTable311">
    <w:name w:val="List Table 311"/>
    <w:basedOn w:val="Obinatablica"/>
    <w:uiPriority w:val="48"/>
    <w:rsid w:val="005C1E80"/>
    <w:pPr>
      <w:spacing w:after="0" w:line="240" w:lineRule="auto"/>
    </w:pPr>
    <w:rPr>
      <w:rFonts w:ascii="Calibri" w:eastAsia="Times New Roman" w:hAnsi="Calibri" w:cs="Times New Roman"/>
      <w:kern w:val="0"/>
      <w:sz w:val="20"/>
      <w:szCs w:val="20"/>
      <w:lang w:eastAsia="hr-HR"/>
    </w:rPr>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customStyle="1" w:styleId="ListTable32">
    <w:name w:val="List Table 32"/>
    <w:basedOn w:val="Obinatablica"/>
    <w:uiPriority w:val="48"/>
    <w:rsid w:val="005C1E80"/>
    <w:pPr>
      <w:spacing w:after="0" w:line="240" w:lineRule="auto"/>
    </w:pPr>
    <w:rPr>
      <w:kern w:val="0"/>
      <w:sz w:val="20"/>
      <w:szCs w:val="20"/>
      <w:lang w:eastAsia="hr-H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Reetkatablice17311">
    <w:name w:val="Rešetka tablice173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7411">
    <w:name w:val="Rešetka tablice174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211">
    <w:name w:val="Rešetka tablice1821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8221">
    <w:name w:val="Rešetka tablice1822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1921">
    <w:name w:val="Rešetka tablice192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031">
    <w:name w:val="Rešetka tablice2031"/>
    <w:basedOn w:val="Obinatablica"/>
    <w:uiPriority w:val="59"/>
    <w:rsid w:val="005C1E80"/>
    <w:pPr>
      <w:spacing w:after="0" w:line="240" w:lineRule="auto"/>
    </w:pPr>
    <w:rPr>
      <w:rFonts w:ascii="Calibri" w:eastAsia="Calibri" w:hAnsi="Calibri" w:cs="Times New Roman"/>
      <w:kern w:val="0"/>
      <w:sz w:val="20"/>
      <w:szCs w:val="20"/>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3311">
    <w:name w:val="Rešetka tablice3311"/>
    <w:basedOn w:val="Obinatablica"/>
    <w:uiPriority w:val="59"/>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Reetkatablice531">
    <w:name w:val="Rešetka tablice531"/>
    <w:basedOn w:val="Obinatablica"/>
    <w:uiPriority w:val="59"/>
    <w:rsid w:val="005C1E80"/>
    <w:pPr>
      <w:spacing w:after="0" w:line="240" w:lineRule="auto"/>
    </w:pPr>
    <w:rPr>
      <w:rFonts w:ascii="Arial" w:eastAsia="Times New Roman" w:hAnsi="Arial" w:cs="Times New Roman"/>
      <w:b/>
      <w:kern w:val="0"/>
      <w:sz w:val="28"/>
      <w:szCs w:val="28"/>
      <w:lang w:eastAsia="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3style12">
    <w:name w:val="style13style12"/>
    <w:basedOn w:val="Normal"/>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style13style12style12">
    <w:name w:val="style13style12style12"/>
    <w:basedOn w:val="Normal"/>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mw-headline">
    <w:name w:val="mw-headline"/>
    <w:basedOn w:val="Zadanifontodlomka"/>
    <w:rsid w:val="005C1E80"/>
  </w:style>
  <w:style w:type="character" w:customStyle="1" w:styleId="mw-editsection">
    <w:name w:val="mw-editsection"/>
    <w:basedOn w:val="Zadanifontodlomka"/>
    <w:rsid w:val="005C1E80"/>
  </w:style>
  <w:style w:type="character" w:customStyle="1" w:styleId="mw-editsection-bracket">
    <w:name w:val="mw-editsection-bracket"/>
    <w:basedOn w:val="Zadanifontodlomka"/>
    <w:rsid w:val="005C1E80"/>
  </w:style>
  <w:style w:type="character" w:customStyle="1" w:styleId="mw-editsection-divider">
    <w:name w:val="mw-editsection-divider"/>
    <w:basedOn w:val="Zadanifontodlomka"/>
    <w:rsid w:val="005C1E80"/>
  </w:style>
  <w:style w:type="paragraph" w:customStyle="1" w:styleId="Tekst0">
    <w:name w:val="Tekst"/>
    <w:basedOn w:val="Tijeloteksta"/>
    <w:rsid w:val="005C1E80"/>
    <w:pPr>
      <w:spacing w:line="300" w:lineRule="exact"/>
      <w:jc w:val="both"/>
    </w:pPr>
    <w:rPr>
      <w:rFonts w:ascii="Trebuchet MS" w:hAnsi="Trebuchet MS" w:cs="Times New Roman"/>
      <w:sz w:val="20"/>
      <w:szCs w:val="20"/>
    </w:rPr>
  </w:style>
  <w:style w:type="paragraph" w:customStyle="1" w:styleId="Potpisobjekata">
    <w:name w:val="Potpis objekata"/>
    <w:basedOn w:val="Normal"/>
    <w:qFormat/>
    <w:rsid w:val="005C1E80"/>
    <w:pPr>
      <w:spacing w:after="60" w:line="240" w:lineRule="auto"/>
      <w:jc w:val="center"/>
    </w:pPr>
    <w:rPr>
      <w:rFonts w:ascii="Calibri" w:eastAsia="Times New Roman" w:hAnsi="Calibri" w:cs="Arial"/>
      <w:sz w:val="20"/>
      <w:szCs w:val="24"/>
      <w:lang w:eastAsia="hr-HR"/>
    </w:rPr>
  </w:style>
  <w:style w:type="table" w:customStyle="1" w:styleId="Svijetlipopis-Isticanje51">
    <w:name w:val="Svijetli popis - Isticanje 51"/>
    <w:basedOn w:val="Obinatablica"/>
    <w:uiPriority w:val="61"/>
    <w:rsid w:val="005C1E80"/>
    <w:pPr>
      <w:spacing w:after="0" w:line="240" w:lineRule="auto"/>
    </w:pPr>
    <w:rPr>
      <w:rFonts w:ascii="Calibri" w:eastAsia="Times New Roman" w:hAnsi="Calibri" w:cs="Times New Roman"/>
      <w:kern w:val="0"/>
      <w:sz w:val="20"/>
      <w:szCs w:val="20"/>
      <w:lang w:val="en-US" w:eastAsia="hr-HR"/>
    </w:rPr>
    <w:tblPr>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yle9">
    <w:name w:val="Style9"/>
    <w:basedOn w:val="Normal"/>
    <w:rsid w:val="005C1E80"/>
    <w:pPr>
      <w:widowControl w:val="0"/>
      <w:autoSpaceDE w:val="0"/>
      <w:autoSpaceDN w:val="0"/>
      <w:adjustRightInd w:val="0"/>
      <w:spacing w:after="0" w:line="240" w:lineRule="auto"/>
      <w:jc w:val="both"/>
    </w:pPr>
    <w:rPr>
      <w:rFonts w:ascii="Arial" w:eastAsia="Times New Roman" w:hAnsi="Arial" w:cs="Times New Roman"/>
      <w:sz w:val="24"/>
      <w:szCs w:val="24"/>
      <w:lang w:eastAsia="hr-HR"/>
    </w:rPr>
  </w:style>
  <w:style w:type="character" w:customStyle="1" w:styleId="FontStyle38">
    <w:name w:val="Font Style38"/>
    <w:rsid w:val="005C1E80"/>
    <w:rPr>
      <w:rFonts w:ascii="Arial" w:hAnsi="Arial" w:cs="Arial"/>
      <w:sz w:val="20"/>
      <w:szCs w:val="20"/>
    </w:rPr>
  </w:style>
  <w:style w:type="paragraph" w:customStyle="1" w:styleId="Style13">
    <w:name w:val="Style13"/>
    <w:basedOn w:val="Normal"/>
    <w:rsid w:val="005C1E80"/>
    <w:pPr>
      <w:widowControl w:val="0"/>
      <w:autoSpaceDE w:val="0"/>
      <w:autoSpaceDN w:val="0"/>
      <w:adjustRightInd w:val="0"/>
      <w:spacing w:after="0" w:line="254" w:lineRule="exact"/>
      <w:jc w:val="both"/>
    </w:pPr>
    <w:rPr>
      <w:rFonts w:ascii="Arial" w:eastAsia="Times New Roman" w:hAnsi="Arial" w:cs="Times New Roman"/>
      <w:sz w:val="24"/>
      <w:szCs w:val="24"/>
      <w:lang w:eastAsia="hr-HR"/>
    </w:rPr>
  </w:style>
  <w:style w:type="paragraph" w:customStyle="1" w:styleId="Style4">
    <w:name w:val="Style4"/>
    <w:basedOn w:val="Normal"/>
    <w:rsid w:val="005C1E80"/>
    <w:pPr>
      <w:widowControl w:val="0"/>
      <w:autoSpaceDE w:val="0"/>
      <w:autoSpaceDN w:val="0"/>
      <w:adjustRightInd w:val="0"/>
      <w:spacing w:after="0" w:line="254" w:lineRule="exact"/>
      <w:jc w:val="both"/>
    </w:pPr>
    <w:rPr>
      <w:rFonts w:ascii="Arial" w:eastAsia="Times New Roman" w:hAnsi="Arial" w:cs="Times New Roman"/>
      <w:sz w:val="24"/>
      <w:szCs w:val="24"/>
      <w:lang w:eastAsia="hr-HR"/>
    </w:rPr>
  </w:style>
  <w:style w:type="paragraph" w:customStyle="1" w:styleId="box454509">
    <w:name w:val="box_454509"/>
    <w:basedOn w:val="Normal"/>
    <w:uiPriority w:val="99"/>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box467970">
    <w:name w:val="box_467970"/>
    <w:basedOn w:val="Normal"/>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Kartadokumenta">
    <w:name w:val="Document Map"/>
    <w:basedOn w:val="Normal"/>
    <w:link w:val="KartadokumentaChar"/>
    <w:uiPriority w:val="99"/>
    <w:semiHidden/>
    <w:unhideWhenUsed/>
    <w:rsid w:val="005C1E80"/>
    <w:pPr>
      <w:spacing w:after="0" w:line="240" w:lineRule="auto"/>
    </w:pPr>
    <w:rPr>
      <w:rFonts w:ascii="Tahoma" w:eastAsiaTheme="minorEastAsia" w:hAnsi="Tahoma" w:cs="Tahoma"/>
      <w:sz w:val="16"/>
      <w:szCs w:val="16"/>
      <w:lang w:eastAsia="hr-HR"/>
    </w:rPr>
  </w:style>
  <w:style w:type="character" w:customStyle="1" w:styleId="KartadokumentaChar">
    <w:name w:val="Karta dokumenta Char"/>
    <w:basedOn w:val="Zadanifontodlomka"/>
    <w:link w:val="Kartadokumenta"/>
    <w:uiPriority w:val="99"/>
    <w:semiHidden/>
    <w:rsid w:val="005C1E80"/>
    <w:rPr>
      <w:rFonts w:ascii="Tahoma" w:eastAsiaTheme="minorEastAsia" w:hAnsi="Tahoma" w:cs="Tahoma"/>
      <w:kern w:val="0"/>
      <w:sz w:val="16"/>
      <w:szCs w:val="16"/>
      <w:lang w:eastAsia="hr-HR"/>
    </w:rPr>
  </w:style>
  <w:style w:type="paragraph" w:styleId="HTMLunaprijedoblikovano">
    <w:name w:val="HTML Preformatted"/>
    <w:basedOn w:val="Normal"/>
    <w:link w:val="HTMLunaprijedoblikovanoChar"/>
    <w:uiPriority w:val="99"/>
    <w:unhideWhenUsed/>
    <w:rsid w:val="005C1E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hr-HR"/>
    </w:rPr>
  </w:style>
  <w:style w:type="character" w:customStyle="1" w:styleId="HTMLunaprijedoblikovanoChar">
    <w:name w:val="HTML unaprijed oblikovano Char"/>
    <w:basedOn w:val="Zadanifontodlomka"/>
    <w:link w:val="HTMLunaprijedoblikovano"/>
    <w:uiPriority w:val="99"/>
    <w:rsid w:val="005C1E80"/>
    <w:rPr>
      <w:rFonts w:ascii="Courier New" w:eastAsia="Times New Roman" w:hAnsi="Courier New" w:cs="Courier New"/>
      <w:kern w:val="0"/>
      <w:sz w:val="20"/>
      <w:szCs w:val="20"/>
      <w:lang w:eastAsia="hr-HR"/>
    </w:rPr>
  </w:style>
  <w:style w:type="table" w:styleId="Svijetlipopis-Isticanje3">
    <w:name w:val="Light List Accent 3"/>
    <w:basedOn w:val="Obinatablica"/>
    <w:uiPriority w:val="61"/>
    <w:qFormat/>
    <w:rsid w:val="005C1E80"/>
    <w:pPr>
      <w:spacing w:after="0" w:line="240" w:lineRule="auto"/>
    </w:pPr>
    <w:rPr>
      <w:rFonts w:eastAsiaTheme="minorEastAsia"/>
      <w:kern w:val="0"/>
      <w:sz w:val="20"/>
      <w:szCs w:val="20"/>
      <w:lang w:eastAsia="hr-HR"/>
    </w:rPr>
    <w:tblPr>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character" w:customStyle="1" w:styleId="BezproredaChar2">
    <w:name w:val="Bez proreda Char2"/>
    <w:basedOn w:val="Zadanifontodlomka"/>
    <w:uiPriority w:val="1"/>
    <w:rsid w:val="005C1E80"/>
    <w:rPr>
      <w:lang w:val="en-US" w:eastAsia="en-US"/>
    </w:rPr>
  </w:style>
  <w:style w:type="paragraph" w:customStyle="1" w:styleId="Odlomakpopisa1">
    <w:name w:val="Odlomak popisa1"/>
    <w:basedOn w:val="Normal"/>
    <w:uiPriority w:val="34"/>
    <w:qFormat/>
    <w:rsid w:val="005C1E80"/>
    <w:pPr>
      <w:spacing w:after="200" w:line="276" w:lineRule="auto"/>
      <w:ind w:left="720"/>
      <w:contextualSpacing/>
    </w:pPr>
    <w:rPr>
      <w:rFonts w:ascii="Calibri" w:eastAsia="Times New Roman" w:hAnsi="Calibri" w:cs="Times New Roman"/>
      <w:lang w:eastAsia="hr-HR"/>
    </w:rPr>
  </w:style>
  <w:style w:type="character" w:customStyle="1" w:styleId="PlainTextChar1">
    <w:name w:val="Plain Text Char1"/>
    <w:basedOn w:val="Zadanifontodlomka"/>
    <w:uiPriority w:val="99"/>
    <w:semiHidden/>
    <w:qFormat/>
    <w:rsid w:val="005C1E80"/>
    <w:rPr>
      <w:rFonts w:ascii="Consolas" w:hAnsi="Consolas" w:cs="Consolas"/>
      <w:sz w:val="21"/>
      <w:szCs w:val="21"/>
    </w:rPr>
  </w:style>
  <w:style w:type="paragraph" w:customStyle="1" w:styleId="t-9-8-bez-uvl">
    <w:name w:val="t-9-8-bez-uvl"/>
    <w:basedOn w:val="Normal"/>
    <w:qFormat/>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ListParagraph1">
    <w:name w:val="List Paragraph1"/>
    <w:basedOn w:val="Normal"/>
    <w:qFormat/>
    <w:rsid w:val="005C1E80"/>
    <w:pPr>
      <w:spacing w:after="200" w:line="276" w:lineRule="auto"/>
      <w:ind w:left="720"/>
      <w:contextualSpacing/>
    </w:pPr>
    <w:rPr>
      <w:rFonts w:ascii="Calibri" w:eastAsia="Calibri" w:hAnsi="Calibri" w:cs="Times New Roman"/>
    </w:rPr>
  </w:style>
  <w:style w:type="paragraph" w:customStyle="1" w:styleId="NoSpacing1">
    <w:name w:val="No Spacing1"/>
    <w:qFormat/>
    <w:rsid w:val="005C1E80"/>
    <w:pPr>
      <w:spacing w:after="0" w:line="240" w:lineRule="auto"/>
    </w:pPr>
    <w:rPr>
      <w:rFonts w:ascii="Calibri" w:eastAsia="Times New Roman" w:hAnsi="Calibri" w:cs="Times New Roman"/>
      <w:kern w:val="0"/>
      <w:lang w:eastAsia="hr-HR"/>
    </w:rPr>
  </w:style>
  <w:style w:type="paragraph" w:customStyle="1" w:styleId="Bezproreda11">
    <w:name w:val="Bez proreda11"/>
    <w:qFormat/>
    <w:rsid w:val="005C1E80"/>
    <w:pPr>
      <w:spacing w:after="0" w:line="240" w:lineRule="auto"/>
    </w:pPr>
    <w:rPr>
      <w:rFonts w:ascii="Calibri" w:eastAsia="Times New Roman" w:hAnsi="Calibri" w:cs="Times New Roman"/>
      <w:kern w:val="0"/>
    </w:rPr>
  </w:style>
  <w:style w:type="character" w:customStyle="1" w:styleId="imena-21">
    <w:name w:val="imena-21"/>
    <w:qFormat/>
    <w:rsid w:val="005C1E80"/>
    <w:rPr>
      <w:rFonts w:ascii="Arial" w:hAnsi="Arial" w:cs="Arial" w:hint="default"/>
      <w:b/>
      <w:bCs/>
      <w:color w:val="000000"/>
      <w:sz w:val="18"/>
      <w:szCs w:val="18"/>
      <w:u w:val="none"/>
    </w:rPr>
  </w:style>
  <w:style w:type="character" w:customStyle="1" w:styleId="st">
    <w:name w:val="st"/>
    <w:basedOn w:val="Zadanifontodlomka"/>
    <w:qFormat/>
    <w:rsid w:val="005C1E80"/>
  </w:style>
  <w:style w:type="character" w:customStyle="1" w:styleId="FontStyle17">
    <w:name w:val="Font Style17"/>
    <w:basedOn w:val="Zadanifontodlomka"/>
    <w:qFormat/>
    <w:rsid w:val="005C1E80"/>
    <w:rPr>
      <w:rFonts w:ascii="Arial" w:hAnsi="Arial" w:cs="Arial"/>
      <w:sz w:val="22"/>
      <w:szCs w:val="22"/>
    </w:rPr>
  </w:style>
  <w:style w:type="table" w:customStyle="1" w:styleId="LightList1">
    <w:name w:val="Light List1"/>
    <w:basedOn w:val="Obinatablica"/>
    <w:uiPriority w:val="61"/>
    <w:qFormat/>
    <w:rsid w:val="005C1E80"/>
    <w:pPr>
      <w:spacing w:after="0" w:line="240" w:lineRule="auto"/>
    </w:pPr>
    <w:rPr>
      <w:rFonts w:eastAsiaTheme="minorEastAsia"/>
      <w:kern w:val="0"/>
      <w:sz w:val="20"/>
      <w:szCs w:val="20"/>
      <w:lang w:eastAsia="hr-HR"/>
    </w:rPr>
    <w:tblPr>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box459727">
    <w:name w:val="box_459727"/>
    <w:basedOn w:val="Normal"/>
    <w:qFormat/>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customStyle="1" w:styleId="kurziv">
    <w:name w:val="kurziv"/>
    <w:qFormat/>
    <w:rsid w:val="005C1E80"/>
  </w:style>
  <w:style w:type="character" w:customStyle="1" w:styleId="blurgrey">
    <w:name w:val="blurgrey"/>
    <w:basedOn w:val="Zadanifontodlomka"/>
    <w:rsid w:val="005C1E80"/>
  </w:style>
  <w:style w:type="character" w:customStyle="1" w:styleId="view-count">
    <w:name w:val="view-count"/>
    <w:basedOn w:val="Zadanifontodlomka"/>
    <w:rsid w:val="005C1E80"/>
  </w:style>
  <w:style w:type="character" w:customStyle="1" w:styleId="datatablecontent">
    <w:name w:val="datatablecontent"/>
    <w:basedOn w:val="Zadanifontodlomka"/>
    <w:rsid w:val="005C1E80"/>
  </w:style>
  <w:style w:type="paragraph" w:customStyle="1" w:styleId="NoSpacing2">
    <w:name w:val="No Spacing2"/>
    <w:uiPriority w:val="99"/>
    <w:qFormat/>
    <w:rsid w:val="005C1E80"/>
    <w:pPr>
      <w:spacing w:after="0" w:line="240" w:lineRule="auto"/>
    </w:pPr>
    <w:rPr>
      <w:rFonts w:ascii="Calibri" w:eastAsia="Times New Roman" w:hAnsi="Calibri" w:cs="Times New Roman"/>
      <w:kern w:val="0"/>
      <w:lang w:val="en-US"/>
    </w:rPr>
  </w:style>
  <w:style w:type="table" w:customStyle="1" w:styleId="Procjena">
    <w:name w:val="Procjena"/>
    <w:basedOn w:val="Obinatablica"/>
    <w:uiPriority w:val="99"/>
    <w:qFormat/>
    <w:rsid w:val="005C1E80"/>
    <w:pPr>
      <w:spacing w:after="0" w:line="240" w:lineRule="auto"/>
    </w:pPr>
    <w:rPr>
      <w:rFonts w:ascii="Calibri" w:eastAsia="Times New Roman" w:hAnsi="Calibri" w:cs="Times New Roman"/>
      <w:kern w:val="0"/>
      <w:sz w:val="18"/>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ranko">
    <w:name w:val="Branko"/>
    <w:basedOn w:val="Opisslike"/>
    <w:qFormat/>
    <w:rsid w:val="005C1E80"/>
    <w:pPr>
      <w:spacing w:after="0"/>
      <w:jc w:val="center"/>
    </w:pPr>
    <w:rPr>
      <w:rFonts w:ascii="Calibri" w:eastAsia="Times New Roman" w:hAnsi="Calibri" w:cs="Times New Roman"/>
      <w:b/>
      <w:bCs/>
      <w:i w:val="0"/>
      <w:iCs w:val="0"/>
      <w:caps/>
      <w:color w:val="auto"/>
      <w:sz w:val="16"/>
      <w:lang w:bidi="en-US"/>
    </w:rPr>
  </w:style>
  <w:style w:type="character" w:customStyle="1" w:styleId="Razina2Char">
    <w:name w:val="Razina 2 Char"/>
    <w:basedOn w:val="Zadanifontodlomka"/>
    <w:link w:val="Razina2"/>
    <w:rsid w:val="005C1E80"/>
    <w:rPr>
      <w:rFonts w:eastAsia="Times New Roman" w:cs="Times New Roman"/>
      <w:b/>
      <w:color w:val="000000"/>
      <w:kern w:val="0"/>
      <w:sz w:val="28"/>
      <w:szCs w:val="28"/>
      <w:lang w:eastAsia="zh-CN"/>
    </w:rPr>
  </w:style>
  <w:style w:type="table" w:customStyle="1" w:styleId="Tablicapopisa2-isticanje51">
    <w:name w:val="Tablica popisa 2 - isticanje 51"/>
    <w:basedOn w:val="Obinatablica"/>
    <w:uiPriority w:val="47"/>
    <w:rsid w:val="005C1E80"/>
    <w:pPr>
      <w:spacing w:after="0" w:line="240" w:lineRule="auto"/>
    </w:pPr>
    <w:rPr>
      <w:kern w:val="0"/>
      <w:sz w:val="20"/>
      <w:szCs w:val="20"/>
    </w:rPr>
    <w:tblPr>
      <w:tblInd w:w="0" w:type="dxa"/>
      <w:tblBorders>
        <w:top w:val="single" w:sz="4" w:space="0" w:color="9CC2E5" w:themeColor="accent5" w:themeTint="99"/>
        <w:bottom w:val="single" w:sz="4" w:space="0" w:color="9CC2E5" w:themeColor="accent5" w:themeTint="99"/>
        <w:insideH w:val="single" w:sz="4" w:space="0" w:color="9CC2E5" w:themeColor="accent5"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Nerijeenospominjanje6">
    <w:name w:val="Neriješeno spominjanje6"/>
    <w:basedOn w:val="Zadanifontodlomka"/>
    <w:uiPriority w:val="99"/>
    <w:semiHidden/>
    <w:unhideWhenUsed/>
    <w:rsid w:val="005C1E80"/>
    <w:rPr>
      <w:color w:val="605E5C"/>
      <w:shd w:val="clear" w:color="auto" w:fill="E1DFDD"/>
    </w:rPr>
  </w:style>
  <w:style w:type="character" w:customStyle="1" w:styleId="Razina1Char">
    <w:name w:val="Razina 1 Char"/>
    <w:basedOn w:val="Naslov1Char"/>
    <w:link w:val="Razina1"/>
    <w:rsid w:val="005C1E80"/>
    <w:rPr>
      <w:rFonts w:ascii="Calibri" w:eastAsia="Times New Roman" w:hAnsi="Calibri" w:cs="Times New Roman"/>
      <w:b/>
      <w:i/>
      <w:lang w:eastAsia="zh-CN"/>
    </w:rPr>
  </w:style>
  <w:style w:type="paragraph" w:customStyle="1" w:styleId="t-98-20">
    <w:name w:val="t-98-2"/>
    <w:basedOn w:val="Normal"/>
    <w:qFormat/>
    <w:rsid w:val="005C1E80"/>
    <w:pPr>
      <w:spacing w:before="100" w:beforeAutospacing="1" w:after="100" w:afterAutospacing="1" w:line="240" w:lineRule="auto"/>
    </w:pPr>
    <w:rPr>
      <w:rFonts w:ascii="Times New Roman" w:eastAsia="Times New Roman" w:hAnsi="Times New Roman" w:cs="Times New Roman"/>
      <w:sz w:val="24"/>
      <w:szCs w:val="24"/>
      <w:lang w:eastAsia="hr-HR"/>
    </w:rPr>
  </w:style>
  <w:style w:type="table" w:customStyle="1" w:styleId="Tamnatablicareetke5-isticanje21">
    <w:name w:val="Tamna tablica rešetke 5 - isticanje 21"/>
    <w:basedOn w:val="Obinatablica"/>
    <w:uiPriority w:val="50"/>
    <w:rsid w:val="00A66748"/>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icapopisa3-isticanje21">
    <w:name w:val="Tablica popisa 3 - isticanje 21"/>
    <w:basedOn w:val="Obinatablica"/>
    <w:uiPriority w:val="48"/>
    <w:rsid w:val="00A66748"/>
    <w:pPr>
      <w:spacing w:after="0" w:line="240" w:lineRule="auto"/>
    </w:p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customStyle="1" w:styleId="box459765">
    <w:name w:val="box_459765"/>
    <w:basedOn w:val="Normal"/>
    <w:rsid w:val="00F57898"/>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r="http://schemas.openxmlformats.org/officeDocument/2006/relationships" xmlns:w="http://schemas.openxmlformats.org/wordprocessingml/2006/main">
  <w:divs>
    <w:div w:id="208150120">
      <w:bodyDiv w:val="1"/>
      <w:marLeft w:val="0"/>
      <w:marRight w:val="0"/>
      <w:marTop w:val="0"/>
      <w:marBottom w:val="0"/>
      <w:divBdr>
        <w:top w:val="none" w:sz="0" w:space="0" w:color="auto"/>
        <w:left w:val="none" w:sz="0" w:space="0" w:color="auto"/>
        <w:bottom w:val="none" w:sz="0" w:space="0" w:color="auto"/>
        <w:right w:val="none" w:sz="0" w:space="0" w:color="auto"/>
      </w:divBdr>
    </w:div>
    <w:div w:id="232812356">
      <w:bodyDiv w:val="1"/>
      <w:marLeft w:val="0"/>
      <w:marRight w:val="0"/>
      <w:marTop w:val="0"/>
      <w:marBottom w:val="0"/>
      <w:divBdr>
        <w:top w:val="none" w:sz="0" w:space="0" w:color="auto"/>
        <w:left w:val="none" w:sz="0" w:space="0" w:color="auto"/>
        <w:bottom w:val="none" w:sz="0" w:space="0" w:color="auto"/>
        <w:right w:val="none" w:sz="0" w:space="0" w:color="auto"/>
      </w:divBdr>
    </w:div>
    <w:div w:id="273950631">
      <w:bodyDiv w:val="1"/>
      <w:marLeft w:val="0"/>
      <w:marRight w:val="0"/>
      <w:marTop w:val="0"/>
      <w:marBottom w:val="0"/>
      <w:divBdr>
        <w:top w:val="none" w:sz="0" w:space="0" w:color="auto"/>
        <w:left w:val="none" w:sz="0" w:space="0" w:color="auto"/>
        <w:bottom w:val="none" w:sz="0" w:space="0" w:color="auto"/>
        <w:right w:val="none" w:sz="0" w:space="0" w:color="auto"/>
      </w:divBdr>
    </w:div>
    <w:div w:id="276716330">
      <w:bodyDiv w:val="1"/>
      <w:marLeft w:val="0"/>
      <w:marRight w:val="0"/>
      <w:marTop w:val="0"/>
      <w:marBottom w:val="0"/>
      <w:divBdr>
        <w:top w:val="none" w:sz="0" w:space="0" w:color="auto"/>
        <w:left w:val="none" w:sz="0" w:space="0" w:color="auto"/>
        <w:bottom w:val="none" w:sz="0" w:space="0" w:color="auto"/>
        <w:right w:val="none" w:sz="0" w:space="0" w:color="auto"/>
      </w:divBdr>
    </w:div>
    <w:div w:id="536087627">
      <w:bodyDiv w:val="1"/>
      <w:marLeft w:val="0"/>
      <w:marRight w:val="0"/>
      <w:marTop w:val="0"/>
      <w:marBottom w:val="0"/>
      <w:divBdr>
        <w:top w:val="none" w:sz="0" w:space="0" w:color="auto"/>
        <w:left w:val="none" w:sz="0" w:space="0" w:color="auto"/>
        <w:bottom w:val="none" w:sz="0" w:space="0" w:color="auto"/>
        <w:right w:val="none" w:sz="0" w:space="0" w:color="auto"/>
      </w:divBdr>
    </w:div>
    <w:div w:id="837959110">
      <w:bodyDiv w:val="1"/>
      <w:marLeft w:val="0"/>
      <w:marRight w:val="0"/>
      <w:marTop w:val="0"/>
      <w:marBottom w:val="0"/>
      <w:divBdr>
        <w:top w:val="none" w:sz="0" w:space="0" w:color="auto"/>
        <w:left w:val="none" w:sz="0" w:space="0" w:color="auto"/>
        <w:bottom w:val="none" w:sz="0" w:space="0" w:color="auto"/>
        <w:right w:val="none" w:sz="0" w:space="0" w:color="auto"/>
      </w:divBdr>
    </w:div>
    <w:div w:id="842084470">
      <w:bodyDiv w:val="1"/>
      <w:marLeft w:val="0"/>
      <w:marRight w:val="0"/>
      <w:marTop w:val="0"/>
      <w:marBottom w:val="0"/>
      <w:divBdr>
        <w:top w:val="none" w:sz="0" w:space="0" w:color="auto"/>
        <w:left w:val="none" w:sz="0" w:space="0" w:color="auto"/>
        <w:bottom w:val="none" w:sz="0" w:space="0" w:color="auto"/>
        <w:right w:val="none" w:sz="0" w:space="0" w:color="auto"/>
      </w:divBdr>
    </w:div>
    <w:div w:id="931354084">
      <w:bodyDiv w:val="1"/>
      <w:marLeft w:val="0"/>
      <w:marRight w:val="0"/>
      <w:marTop w:val="0"/>
      <w:marBottom w:val="0"/>
      <w:divBdr>
        <w:top w:val="none" w:sz="0" w:space="0" w:color="auto"/>
        <w:left w:val="none" w:sz="0" w:space="0" w:color="auto"/>
        <w:bottom w:val="none" w:sz="0" w:space="0" w:color="auto"/>
        <w:right w:val="none" w:sz="0" w:space="0" w:color="auto"/>
      </w:divBdr>
    </w:div>
    <w:div w:id="940142254">
      <w:bodyDiv w:val="1"/>
      <w:marLeft w:val="0"/>
      <w:marRight w:val="0"/>
      <w:marTop w:val="0"/>
      <w:marBottom w:val="0"/>
      <w:divBdr>
        <w:top w:val="none" w:sz="0" w:space="0" w:color="auto"/>
        <w:left w:val="none" w:sz="0" w:space="0" w:color="auto"/>
        <w:bottom w:val="none" w:sz="0" w:space="0" w:color="auto"/>
        <w:right w:val="none" w:sz="0" w:space="0" w:color="auto"/>
      </w:divBdr>
    </w:div>
    <w:div w:id="997344116">
      <w:bodyDiv w:val="1"/>
      <w:marLeft w:val="0"/>
      <w:marRight w:val="0"/>
      <w:marTop w:val="0"/>
      <w:marBottom w:val="0"/>
      <w:divBdr>
        <w:top w:val="none" w:sz="0" w:space="0" w:color="auto"/>
        <w:left w:val="none" w:sz="0" w:space="0" w:color="auto"/>
        <w:bottom w:val="none" w:sz="0" w:space="0" w:color="auto"/>
        <w:right w:val="none" w:sz="0" w:space="0" w:color="auto"/>
      </w:divBdr>
    </w:div>
    <w:div w:id="1250887791">
      <w:bodyDiv w:val="1"/>
      <w:marLeft w:val="0"/>
      <w:marRight w:val="0"/>
      <w:marTop w:val="0"/>
      <w:marBottom w:val="0"/>
      <w:divBdr>
        <w:top w:val="none" w:sz="0" w:space="0" w:color="auto"/>
        <w:left w:val="none" w:sz="0" w:space="0" w:color="auto"/>
        <w:bottom w:val="none" w:sz="0" w:space="0" w:color="auto"/>
        <w:right w:val="none" w:sz="0" w:space="0" w:color="auto"/>
      </w:divBdr>
    </w:div>
    <w:div w:id="1442913177">
      <w:bodyDiv w:val="1"/>
      <w:marLeft w:val="0"/>
      <w:marRight w:val="0"/>
      <w:marTop w:val="0"/>
      <w:marBottom w:val="0"/>
      <w:divBdr>
        <w:top w:val="none" w:sz="0" w:space="0" w:color="auto"/>
        <w:left w:val="none" w:sz="0" w:space="0" w:color="auto"/>
        <w:bottom w:val="none" w:sz="0" w:space="0" w:color="auto"/>
        <w:right w:val="none" w:sz="0" w:space="0" w:color="auto"/>
      </w:divBdr>
    </w:div>
    <w:div w:id="1516504588">
      <w:bodyDiv w:val="1"/>
      <w:marLeft w:val="0"/>
      <w:marRight w:val="0"/>
      <w:marTop w:val="0"/>
      <w:marBottom w:val="0"/>
      <w:divBdr>
        <w:top w:val="none" w:sz="0" w:space="0" w:color="auto"/>
        <w:left w:val="none" w:sz="0" w:space="0" w:color="auto"/>
        <w:bottom w:val="none" w:sz="0" w:space="0" w:color="auto"/>
        <w:right w:val="none" w:sz="0" w:space="0" w:color="auto"/>
      </w:divBdr>
    </w:div>
    <w:div w:id="1553038636">
      <w:bodyDiv w:val="1"/>
      <w:marLeft w:val="0"/>
      <w:marRight w:val="0"/>
      <w:marTop w:val="0"/>
      <w:marBottom w:val="0"/>
      <w:divBdr>
        <w:top w:val="none" w:sz="0" w:space="0" w:color="auto"/>
        <w:left w:val="none" w:sz="0" w:space="0" w:color="auto"/>
        <w:bottom w:val="none" w:sz="0" w:space="0" w:color="auto"/>
        <w:right w:val="none" w:sz="0" w:space="0" w:color="auto"/>
      </w:divBdr>
    </w:div>
    <w:div w:id="1691299974">
      <w:bodyDiv w:val="1"/>
      <w:marLeft w:val="0"/>
      <w:marRight w:val="0"/>
      <w:marTop w:val="0"/>
      <w:marBottom w:val="0"/>
      <w:divBdr>
        <w:top w:val="none" w:sz="0" w:space="0" w:color="auto"/>
        <w:left w:val="none" w:sz="0" w:space="0" w:color="auto"/>
        <w:bottom w:val="none" w:sz="0" w:space="0" w:color="auto"/>
        <w:right w:val="none" w:sz="0" w:space="0" w:color="auto"/>
      </w:divBdr>
    </w:div>
    <w:div w:id="1969823369">
      <w:bodyDiv w:val="1"/>
      <w:marLeft w:val="0"/>
      <w:marRight w:val="0"/>
      <w:marTop w:val="0"/>
      <w:marBottom w:val="0"/>
      <w:divBdr>
        <w:top w:val="none" w:sz="0" w:space="0" w:color="auto"/>
        <w:left w:val="none" w:sz="0" w:space="0" w:color="auto"/>
        <w:bottom w:val="none" w:sz="0" w:space="0" w:color="auto"/>
        <w:right w:val="none" w:sz="0" w:space="0" w:color="auto"/>
      </w:divBdr>
    </w:div>
    <w:div w:id="2075348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file:///C:\Users\X\AppData\Local\Temp\7zO0C250E29\Tablica%203%20PLAN%20OBUKE%20I%20&#352;KOLOVANJA.xlsx" TargetMode="External"/><Relationship Id="rId26" Type="http://schemas.openxmlformats.org/officeDocument/2006/relationships/hyperlink" Target="file:///C:\Users\Dunja\SynologyDrive\1.%20CIVILNA%20ZA&#352;TITA\1.%20ANALIZE,%20PLAN%20RAZVOJA%20SUSTAVA,%20SMJERNCE\2025\GORNJI%20BOGI&#262;EVCI\Tablica%20tro&#353;kova.xlsx" TargetMode="External"/><Relationship Id="rId39" Type="http://schemas.openxmlformats.org/officeDocument/2006/relationships/hyperlink" Target="file:///C:\Users\X\AppData\Local\Temp\7zO0C250E29\Tablica%203%20PLAN%20OBUKE%20I%20&#352;KOLOVANJA.xlsx" TargetMode="External"/><Relationship Id="rId21" Type="http://schemas.openxmlformats.org/officeDocument/2006/relationships/hyperlink" Target="file:///C:\Users\Dunja\SynologyDrive\1.%20CIVILNA%20ZA&#352;TITA\1.%20ANALIZE,%20PLAN%20RAZVOJA%20SUSTAVA,%20SMJERNCE\2025\GORNJI%20BOGI&#262;EVCI\Tablica%20tro&#353;kova.xlsx" TargetMode="External"/><Relationship Id="rId34" Type="http://schemas.openxmlformats.org/officeDocument/2006/relationships/hyperlink" Target="file:///C:\Users\Dunja\SynologyDrive\1.%20CIVILNA%20ZA&#352;TITA\1.%20ANALIZE,%20PLAN%20RAZVOJA%20SUSTAVA,%20SMJERNCE\2025\GORNJI%20BOGI&#262;EVCI\Tablica%20tro&#353;kova.xlsx" TargetMode="External"/><Relationship Id="rId42" Type="http://schemas.openxmlformats.org/officeDocument/2006/relationships/hyperlink" Target="file:///C:\Users\X\AppData\Local\Temp\7zO0C250E29\Tablica%206%20TRO&#352;KOVI%20VEZE.xlsx" TargetMode="External"/><Relationship Id="rId47" Type="http://schemas.openxmlformats.org/officeDocument/2006/relationships/hyperlink" Target="file:///C:\Users\X\AppData\Local\Temp\7zO0C250E29\Tablica%202%20PLAN%20OPREMANJA%20SREDSTVIMA%20ZA%20PROVO&#272;ENJE%20EVAKUACIJE%20STANOVNI&#352;TVA%20I%20MATERIJALNIH%20DOBARA.xlsx" TargetMode="External"/><Relationship Id="rId50" Type="http://schemas.openxmlformats.org/officeDocument/2006/relationships/hyperlink" Target="file:///C:\Users\X\AppData\Local\Temp\7zO0C250E29\Tablica%204%20PLAN%20SMJE&#352;TAJA,%20ODR&#381;AVANJA%20I%20&#268;UVANJA%20SREDSTAVA%20CIVILNE%20ZA&#352;TITE.xlsx" TargetMode="External"/><Relationship Id="rId55" Type="http://schemas.openxmlformats.org/officeDocument/2006/relationships/hyperlink" Target="file:///C:\Users\X\AppData\Local\Temp\7zO0C250E29\Tablica%202%20PLAN%20OPREMANJA%20SREDSTVIMA%20ZA%20PROVO&#272;ENJE%20EVAKUACIJE%20STANOVNI&#352;TVA%20I%20MATERIJALNIH%20DOBARA.xlsx" TargetMode="External"/><Relationship Id="rId63" Type="http://schemas.openxmlformats.org/officeDocument/2006/relationships/diagramColors" Target="diagrams/colors1.xml"/><Relationship Id="rId68" Type="http://schemas.openxmlformats.org/officeDocument/2006/relationships/hyperlink" Target="file:///E:\Prilozi\PRILOG%204.docx" TargetMode="External"/><Relationship Id="rId76" Type="http://schemas.openxmlformats.org/officeDocument/2006/relationships/hyperlink" Target="file:///E:\Prilozi\PRILOG%202.docx" TargetMode="External"/><Relationship Id="rId84" Type="http://schemas.openxmlformats.org/officeDocument/2006/relationships/image" Target="media/image8.emf"/><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file:///E:\Prilozi\PRILOG%202.docx" TargetMode="External"/><Relationship Id="rId2" Type="http://schemas.openxmlformats.org/officeDocument/2006/relationships/numbering" Target="numbering.xml"/><Relationship Id="rId16" Type="http://schemas.openxmlformats.org/officeDocument/2006/relationships/hyperlink" Target="file:///C:\Users\X\AppData\Local\Temp\7zO0C250E29\Tablica%202%20PLAN%20OPREMANJA%20SREDSTVIMA%20ZA%20PROVO&#272;ENJE%20EVAKUACIJE%20STANOVNI&#352;TVA%20I%20MATERIJALNIH%20DOBARA.xlsx" TargetMode="External"/><Relationship Id="rId29" Type="http://schemas.openxmlformats.org/officeDocument/2006/relationships/hyperlink" Target="file:///C:\Users\Dunja\SynologyDrive\1.%20CIVILNA%20ZA&#352;TITA\1.%20ANALIZE,%20PLAN%20RAZVOJA%20SUSTAVA,%20SMJERNCE\2025\GORNJI%20BOGI&#262;EVCI\Tablica%20tro&#353;kova.xlsx" TargetMode="External"/><Relationship Id="rId11" Type="http://schemas.openxmlformats.org/officeDocument/2006/relationships/image" Target="media/image2.png"/><Relationship Id="rId24" Type="http://schemas.openxmlformats.org/officeDocument/2006/relationships/hyperlink" Target="file:///C:\Users\Dunja\SynologyDrive\1.%20CIVILNA%20ZA&#352;TITA\1.%20ANALIZE,%20PLAN%20RAZVOJA%20SUSTAVA,%20SMJERNCE\2025\GORNJI%20BOGI&#262;EVCI\Tablica%20tro&#353;kova.xlsx" TargetMode="External"/><Relationship Id="rId32" Type="http://schemas.openxmlformats.org/officeDocument/2006/relationships/hyperlink" Target="file:///C:\Users\Dunja\SynologyDrive\1.%20CIVILNA%20ZA&#352;TITA\1.%20ANALIZE,%20PLAN%20RAZVOJA%20SUSTAVA,%20SMJERNCE\2025\GORNJI%20BOGI&#262;EVCI\Tablica%20tro&#353;kova.xlsx" TargetMode="External"/><Relationship Id="rId37" Type="http://schemas.openxmlformats.org/officeDocument/2006/relationships/hyperlink" Target="file:///C:\Users\X\AppData\Local\Temp\7zO0C250E29\Tablica%205%20PLAN%20IZGRADNJE%20I%20ODR&#381;AVANJA%20SKLADI&#352;TA%20ZA%20SREDSTVA%20CIVILNE%20ZA&#352;TITE.xlsx" TargetMode="External"/><Relationship Id="rId40" Type="http://schemas.openxmlformats.org/officeDocument/2006/relationships/hyperlink" Target="file:///C:\Users\X\AppData\Local\Temp\7zO0C250E29\Tablica%204%20PLAN%20SMJE&#352;TAJA,%20ODR&#381;AVANJA%20I%20&#268;UVANJA%20SREDSTAVA%20CIVILNE%20ZA&#352;TITE.xlsx" TargetMode="External"/><Relationship Id="rId45" Type="http://schemas.openxmlformats.org/officeDocument/2006/relationships/hyperlink" Target="file:///C:\Users\X\AppData\Local\Temp\7zO0C250E29\Tablica%202%20PLAN%20OPREMANJA%20SREDSTVIMA%20ZA%20PROVO&#272;ENJE%20EVAKUACIJE%20STANOVNI&#352;TVA%20I%20MATERIJALNIH%20DOBARA.xlsx" TargetMode="External"/><Relationship Id="rId53" Type="http://schemas.openxmlformats.org/officeDocument/2006/relationships/hyperlink" Target="file:///C:\Users\X\AppData\Local\Temp\7zO0C250E29\Tablica%202%20PLAN%20OPREMANJA%20SREDSTVIMA%20ZA%20PROVO&#272;ENJE%20EVAKUACIJE%20STANOVNI&#352;TVA%20I%20MATERIJALNIH%20DOBARA.xlsx" TargetMode="External"/><Relationship Id="rId58" Type="http://schemas.openxmlformats.org/officeDocument/2006/relationships/header" Target="header1.xml"/><Relationship Id="rId66" Type="http://schemas.openxmlformats.org/officeDocument/2006/relationships/hyperlink" Target="file:///E:\Prilozi\PRILOG%202.docx" TargetMode="External"/><Relationship Id="rId74" Type="http://schemas.openxmlformats.org/officeDocument/2006/relationships/hyperlink" Target="file:///E:\Prilozi\PRILOG%202.docx" TargetMode="External"/><Relationship Id="rId79" Type="http://schemas.openxmlformats.org/officeDocument/2006/relationships/hyperlink" Target="file:///E:\Prilozi\PRILOG%207.docx" TargetMode="External"/><Relationship Id="rId87" Type="http://schemas.openxmlformats.org/officeDocument/2006/relationships/header" Target="header2.xml"/><Relationship Id="rId5" Type="http://schemas.openxmlformats.org/officeDocument/2006/relationships/webSettings" Target="webSettings.xml"/><Relationship Id="rId61" Type="http://schemas.openxmlformats.org/officeDocument/2006/relationships/diagramLayout" Target="diagrams/layout1.xml"/><Relationship Id="rId82" Type="http://schemas.openxmlformats.org/officeDocument/2006/relationships/image" Target="media/image6.png"/><Relationship Id="rId90" Type="http://schemas.openxmlformats.org/officeDocument/2006/relationships/theme" Target="theme/theme1.xml"/><Relationship Id="rId19" Type="http://schemas.openxmlformats.org/officeDocument/2006/relationships/hyperlink" Target="file:///C:\Users\X\AppData\Local\Temp\7zO0C250E29\Tablica%20tro&#353;kova.xlsx"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file:///C:\Users\X\AppData\Local\Temp\7zO0C250E29\Tablica%203%20PLAN%20OBUKE%20I%20&#352;KOLOVANJA.xlsx" TargetMode="External"/><Relationship Id="rId22" Type="http://schemas.openxmlformats.org/officeDocument/2006/relationships/hyperlink" Target="file:///C:\Users\Dunja\SynologyDrive\1.%20CIVILNA%20ZA&#352;TITA\1.%20ANALIZE,%20PLAN%20RAZVOJA%20SUSTAVA,%20SMJERNCE\2025\GORNJI%20BOGI&#262;EVCI\Tablica%20tro&#353;kova.xlsx" TargetMode="External"/><Relationship Id="rId27" Type="http://schemas.openxmlformats.org/officeDocument/2006/relationships/hyperlink" Target="file:///C:\Users\Dunja\SynologyDrive\1.%20CIVILNA%20ZA&#352;TITA\1.%20ANALIZE,%20PLAN%20RAZVOJA%20SUSTAVA,%20SMJERNCE\2025\GORNJI%20BOGI&#262;EVCI\Tablica%20tro&#353;kova.xlsx" TargetMode="External"/><Relationship Id="rId30" Type="http://schemas.openxmlformats.org/officeDocument/2006/relationships/hyperlink" Target="file:///C:\Users\Dunja\SynologyDrive\1.%20CIVILNA%20ZA&#352;TITA\1.%20ANALIZE,%20PLAN%20RAZVOJA%20SUSTAVA,%20SMJERNCE\2025\GORNJI%20BOGI&#262;EVCI\Tablica%20tro&#353;kova.xlsx" TargetMode="External"/><Relationship Id="rId35" Type="http://schemas.openxmlformats.org/officeDocument/2006/relationships/hyperlink" Target="file:///C:\Users\Dunja\SynologyDrive\1.%20CIVILNA%20ZA&#352;TITA\1.%20ANALIZE,%20PLAN%20RAZVOJA%20SUSTAVA,%20SMJERNCE\2025\GORNJI%20BOGI&#262;EVCI\Tablica%20tro&#353;kova.xlsx" TargetMode="External"/><Relationship Id="rId43" Type="http://schemas.openxmlformats.org/officeDocument/2006/relationships/hyperlink" Target="file:///C:\Users\X\AppData\Local\Temp\7zO0C250E29\Tablica%203%20PLAN%20OBUKE%20I%20&#352;KOLOVANJA.xlsx" TargetMode="External"/><Relationship Id="rId48" Type="http://schemas.openxmlformats.org/officeDocument/2006/relationships/hyperlink" Target="file:///C:\Users\X\AppData\Local\Temp\7zO0C250E29\Tablica%203%20PLAN%20OBUKE%20I%20&#352;KOLOVANJA.xlsx" TargetMode="External"/><Relationship Id="rId56" Type="http://schemas.openxmlformats.org/officeDocument/2006/relationships/hyperlink" Target="file:///C:\Users\X\AppData\Local\Temp\7zO0C250E29\Tablica%202%20PLAN%20OPREMANJA%20SREDSTVIMA%20ZA%20PROVO&#272;ENJE%20EVAKUACIJE%20STANOVNI&#352;TVA%20I%20MATERIJALNIH%20DOBARA.xlsx" TargetMode="External"/><Relationship Id="rId64" Type="http://schemas.microsoft.com/office/2007/relationships/diagramDrawing" Target="diagrams/drawing1.xml"/><Relationship Id="rId69" Type="http://schemas.openxmlformats.org/officeDocument/2006/relationships/hyperlink" Target="file:///E:\Prilozi\PRILOG%202.docx" TargetMode="External"/><Relationship Id="rId77" Type="http://schemas.openxmlformats.org/officeDocument/2006/relationships/hyperlink" Target="file:///E:\Prilozi\PRILOG%202.docx" TargetMode="External"/><Relationship Id="rId8" Type="http://schemas.openxmlformats.org/officeDocument/2006/relationships/hyperlink" Target="http://www." TargetMode="External"/><Relationship Id="rId51" Type="http://schemas.openxmlformats.org/officeDocument/2006/relationships/hyperlink" Target="file:///C:\Users\X\AppData\Local\Temp\7zO0C250E29\Tablica%205%20PLAN%20IZGRADNJE%20I%20ODR&#381;AVANJA%20SKLADI&#352;TA%20ZA%20SREDSTVA%20CIVILNE%20ZA&#352;TITE.xlsx" TargetMode="External"/><Relationship Id="rId72" Type="http://schemas.openxmlformats.org/officeDocument/2006/relationships/hyperlink" Target="file:///E:\Prilozi\PRILOG%202.docx" TargetMode="External"/><Relationship Id="rId80" Type="http://schemas.openxmlformats.org/officeDocument/2006/relationships/hyperlink" Target="file:///E:\Prilozi\PRILOG%208.docx" TargetMode="External"/><Relationship Id="rId85" Type="http://schemas.openxmlformats.org/officeDocument/2006/relationships/image" Target="media/image9.jpe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file:///C:\Users\X\AppData\Local\Temp\7zO0C250E29\Tablica%203%20PLAN%20OBUKE%20I%20&#352;KOLOVANJA.xlsx" TargetMode="External"/><Relationship Id="rId25" Type="http://schemas.openxmlformats.org/officeDocument/2006/relationships/hyperlink" Target="file:///C:\Users\Dunja\SynologyDrive\1.%20CIVILNA%20ZA&#352;TITA\1.%20ANALIZE,%20PLAN%20RAZVOJA%20SUSTAVA,%20SMJERNCE\2025\GORNJI%20BOGI&#262;EVCI\Tablica%20tro&#353;kova.xlsx" TargetMode="External"/><Relationship Id="rId33" Type="http://schemas.openxmlformats.org/officeDocument/2006/relationships/hyperlink" Target="file:///C:\Users\Dunja\SynologyDrive\1.%20CIVILNA%20ZA&#352;TITA\1.%20ANALIZE,%20PLAN%20RAZVOJA%20SUSTAVA,%20SMJERNCE\2025\GORNJI%20BOGI&#262;EVCI\Tablica%20tro&#353;kova.xlsx" TargetMode="External"/><Relationship Id="rId38" Type="http://schemas.openxmlformats.org/officeDocument/2006/relationships/hyperlink" Target="file:///C:\Users\X\AppData\Local\Temp\7zO0C250E29\Tablica%203%20PLAN%20OBUKE%20I%20&#352;KOLOVANJA.xlsx" TargetMode="External"/><Relationship Id="rId46" Type="http://schemas.openxmlformats.org/officeDocument/2006/relationships/hyperlink" Target="file:///C:\Users\X\AppData\Local\Temp\7zO0C250E29\Tablica%202%20PLAN%20OPREMANJA%20SREDSTVIMA%20ZA%20PROVO&#272;ENJE%20EVAKUACIJE%20STANOVNI&#352;TVA%20I%20MATERIJALNIH%20DOBARA.xlsx" TargetMode="External"/><Relationship Id="rId59" Type="http://schemas.openxmlformats.org/officeDocument/2006/relationships/footer" Target="footer1.xml"/><Relationship Id="rId67" Type="http://schemas.openxmlformats.org/officeDocument/2006/relationships/hyperlink" Target="file:///E:\Prilozi\PRILOG%203.docx" TargetMode="External"/><Relationship Id="rId20" Type="http://schemas.openxmlformats.org/officeDocument/2006/relationships/hyperlink" Target="file:///C:\Users\Dunja\SynologyDrive\1.%20CIVILNA%20ZA&#352;TITA\1.%20ANALIZE,%20PLAN%20RAZVOJA%20SUSTAVA,%20SMJERNCE\2025\GORNJI%20BOGI&#262;EVCI\Tablica%20tro&#353;kova.xlsx" TargetMode="External"/><Relationship Id="rId41" Type="http://schemas.openxmlformats.org/officeDocument/2006/relationships/hyperlink" Target="file:///C:\Users\X\AppData\Local\Temp\7zO0C250E29\Tablica%205%20PLAN%20IZGRADNJE%20I%20ODR&#381;AVANJA%20SKLADI&#352;TA%20ZA%20SREDSTVA%20CIVILNE%20ZA&#352;TITE.xlsx" TargetMode="External"/><Relationship Id="rId54" Type="http://schemas.openxmlformats.org/officeDocument/2006/relationships/hyperlink" Target="file:///C:\Users\X\AppData\Local\Temp\7zO0C250E29\Tablica%202%20PLAN%20OPREMANJA%20SREDSTVIMA%20ZA%20PROVO&#272;ENJE%20EVAKUACIJE%20STANOVNI&#352;TVA%20I%20MATERIJALNIH%20DOBARA.xlsx" TargetMode="External"/><Relationship Id="rId62" Type="http://schemas.openxmlformats.org/officeDocument/2006/relationships/diagramQuickStyle" Target="diagrams/quickStyle1.xml"/><Relationship Id="rId70" Type="http://schemas.openxmlformats.org/officeDocument/2006/relationships/hyperlink" Target="file:///E:\Prilozi\PRILOG%205.docx" TargetMode="External"/><Relationship Id="rId75" Type="http://schemas.openxmlformats.org/officeDocument/2006/relationships/hyperlink" Target="file:///E:\Prilozi\PRILOG%202.docx" TargetMode="External"/><Relationship Id="rId83" Type="http://schemas.openxmlformats.org/officeDocument/2006/relationships/image" Target="media/image7.png"/><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C:\Users\X\AppData\Local\Temp\7zO0C250E29\Tablica%203%20PLAN%20OBUKE%20I%20&#352;KOLOVANJA.xlsx" TargetMode="External"/><Relationship Id="rId23" Type="http://schemas.openxmlformats.org/officeDocument/2006/relationships/hyperlink" Target="file:///C:\Users\Dunja\SynologyDrive\1.%20CIVILNA%20ZA&#352;TITA\1.%20ANALIZE,%20PLAN%20RAZVOJA%20SUSTAVA,%20SMJERNCE\2025\GORNJI%20BOGI&#262;EVCI\Tablica%20tro&#353;kova.xlsx" TargetMode="External"/><Relationship Id="rId28" Type="http://schemas.openxmlformats.org/officeDocument/2006/relationships/hyperlink" Target="file:///C:\Users\Dunja\SynologyDrive\1.%20CIVILNA%20ZA&#352;TITA\1.%20ANALIZE,%20PLAN%20RAZVOJA%20SUSTAVA,%20SMJERNCE\2025\GORNJI%20BOGI&#262;EVCI\Tablica%20tro&#353;kova.xlsx" TargetMode="External"/><Relationship Id="rId36" Type="http://schemas.openxmlformats.org/officeDocument/2006/relationships/hyperlink" Target="file:///C:\Users\X\AppData\Local\Temp\7zO0C250E29\Tablica%203%20PLAN%20OBUKE%20I%20&#352;KOLOVANJA.xlsx" TargetMode="External"/><Relationship Id="rId49" Type="http://schemas.openxmlformats.org/officeDocument/2006/relationships/hyperlink" Target="file:///C:\Users\X\AppData\Local\Temp\7zO0C250E29\Tablica%203%20PLAN%20OBUKE%20I%20&#352;KOLOVANJA.xlsx" TargetMode="External"/><Relationship Id="rId57" Type="http://schemas.openxmlformats.org/officeDocument/2006/relationships/hyperlink" Target="file:///C:\Users\X\AppData\Local\Temp\7zO0C250E29\Tablica%202%20PLAN%20OPREMANJA%20SREDSTVIMA%20ZA%20PROVO&#272;ENJE%20EVAKUACIJE%20STANOVNI&#352;TVA%20I%20MATERIJALNIH%20DOBARA.xlsx" TargetMode="External"/><Relationship Id="rId10" Type="http://schemas.openxmlformats.org/officeDocument/2006/relationships/hyperlink" Target="http://www.gornji-bogicevci.hr" TargetMode="External"/><Relationship Id="rId31" Type="http://schemas.openxmlformats.org/officeDocument/2006/relationships/hyperlink" Target="file:///C:\Users\Dunja\SynologyDrive\1.%20CIVILNA%20ZA&#352;TITA\1.%20ANALIZE,%20PLAN%20RAZVOJA%20SUSTAVA,%20SMJERNCE\2025\GORNJI%20BOGI&#262;EVCI\Tablica%20tro&#353;kova.xlsx" TargetMode="External"/><Relationship Id="rId44" Type="http://schemas.openxmlformats.org/officeDocument/2006/relationships/hyperlink" Target="file:///C:\Users\X\AppData\Local\Temp\7zO0C250E29\Tablica%202%20PLAN%20OPREMANJA%20SREDSTVIMA%20ZA%20PROVO&#272;ENJE%20EVAKUACIJE%20STANOVNI&#352;TVA%20I%20MATERIJALNIH%20DOBARA.xlsx" TargetMode="External"/><Relationship Id="rId52" Type="http://schemas.openxmlformats.org/officeDocument/2006/relationships/hyperlink" Target="file:///C:\Users\X\AppData\Local\Temp\7zO0C250E29\Tablica%202%20PLAN%20OPREMANJA%20SREDSTVIMA%20ZA%20PROVO&#272;ENJE%20EVAKUACIJE%20STANOVNI&#352;TVA%20I%20MATERIJALNIH%20DOBARA.xlsx" TargetMode="External"/><Relationship Id="rId60" Type="http://schemas.openxmlformats.org/officeDocument/2006/relationships/diagramData" Target="diagrams/data1.xml"/><Relationship Id="rId65" Type="http://schemas.openxmlformats.org/officeDocument/2006/relationships/hyperlink" Target="file:///E:\Prilozi\PRILOG%202.docx" TargetMode="External"/><Relationship Id="rId73" Type="http://schemas.openxmlformats.org/officeDocument/2006/relationships/hyperlink" Target="file:///E:\Prilozi\PRILOG%202.docx" TargetMode="External"/><Relationship Id="rId78" Type="http://schemas.openxmlformats.org/officeDocument/2006/relationships/hyperlink" Target="file:///E:\Prilozi\PRILOG%206.docx" TargetMode="External"/><Relationship Id="rId81" Type="http://schemas.openxmlformats.org/officeDocument/2006/relationships/image" Target="media/image5.jpeg"/><Relationship Id="rId86"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civilna-zastita.gov.hr/upute-za-gradjane/82" TargetMode="External"/><Relationship Id="rId1" Type="http://schemas.openxmlformats.org/officeDocument/2006/relationships/hyperlink" Target="https://petrinja.h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colorsDef>
</file>

<file path=word/diagrams/data1.xml><?xml version="1.0" encoding="utf-8"?>
<dgm:dataModel xmlns:dgm="http://schemas.openxmlformats.org/drawingml/2006/diagram" xmlns:a="http://schemas.openxmlformats.org/drawingml/2006/main">
  <dgm:ptLst>
    <dgm:pt modelId="{1F7716F7-1315-4341-8533-82668A8FB9A8}" type="doc">
      <dgm:prSet loTypeId="urn:microsoft.com/office/officeart/2005/8/layout/orgChart1#1" loCatId="hierarchy" qsTypeId="urn:microsoft.com/office/officeart/2005/8/quickstyle/3d4#1" qsCatId="3D" csTypeId="urn:microsoft.com/office/officeart/2005/8/colors/accent1_2#1" csCatId="accent1" phldr="1"/>
      <dgm:spPr/>
      <dgm:t>
        <a:bodyPr/>
        <a:lstStyle/>
        <a:p>
          <a:endParaRPr lang="en-GB"/>
        </a:p>
      </dgm:t>
    </dgm:pt>
    <dgm:pt modelId="{A3CBC0A2-311B-493E-844B-9DF4BF7FA576}">
      <dgm:prSet phldrT="[Tekst]"/>
      <dgm:spPr>
        <a:xfrm>
          <a:off x="1141288" y="965210"/>
          <a:ext cx="1356574" cy="678287"/>
        </a:xfr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panose="020F0502020204030204"/>
              <a:ea typeface="+mn-ea"/>
              <a:cs typeface="+mn-cs"/>
            </a:rPr>
            <a:t>NADLEŽNA TIJELA SUKLADNO ZAKONU O UBLAŽAVANJU I UKLANJANJU POSLJEDICA PRIRODNIH NEPOGODA</a:t>
          </a:r>
          <a:endParaRPr lang="en-GB">
            <a:solidFill>
              <a:sysClr val="window" lastClr="FFFFFF"/>
            </a:solidFill>
            <a:latin typeface="Calibri" panose="020F0502020204030204"/>
            <a:ea typeface="+mn-ea"/>
            <a:cs typeface="+mn-cs"/>
          </a:endParaRPr>
        </a:p>
      </dgm:t>
    </dgm:pt>
    <dgm:pt modelId="{0AB42197-C4BE-411A-B47A-7F6148468F16}" type="parTrans" cxnId="{68C4C79C-40F1-4CE8-B3B7-9A3187880ADA}">
      <dgm:prSet/>
      <dgm:spPr>
        <a:xfrm>
          <a:off x="1819575" y="680329"/>
          <a:ext cx="820727" cy="284880"/>
        </a:xfrm>
        <a:noFill/>
        <a:ln w="25400" cap="flat" cmpd="sng" algn="ctr">
          <a:solidFill>
            <a:srgbClr val="4F81BD">
              <a:shade val="60000"/>
              <a:hueOff val="0"/>
              <a:satOff val="0"/>
              <a:lumOff val="0"/>
              <a:alphaOff val="0"/>
            </a:srgbClr>
          </a:solidFill>
          <a:prstDash val="solid"/>
        </a:ln>
        <a:effectLst/>
        <a:sp3d z="-40000" prstMaterial="matte"/>
      </dgm:spPr>
      <dgm:t>
        <a:bodyPr/>
        <a:lstStyle/>
        <a:p>
          <a:endParaRPr lang="en-GB"/>
        </a:p>
      </dgm:t>
    </dgm:pt>
    <dgm:pt modelId="{8B5B862A-A308-48E8-822B-131B4C8314E3}" type="sibTrans" cxnId="{68C4C79C-40F1-4CE8-B3B7-9A3187880ADA}">
      <dgm:prSet/>
      <dgm:spPr/>
      <dgm:t>
        <a:bodyPr/>
        <a:lstStyle/>
        <a:p>
          <a:endParaRPr lang="en-GB"/>
        </a:p>
      </dgm:t>
    </dgm:pt>
    <dgm:pt modelId="{C8A92091-005A-439D-B8D8-DC4870AD1771}">
      <dgm:prSet phldrT="[Tekst]"/>
      <dgm:spPr>
        <a:xfrm>
          <a:off x="2782743" y="965210"/>
          <a:ext cx="1356574" cy="678287"/>
        </a:xfr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panose="020F0502020204030204"/>
              <a:ea typeface="+mn-ea"/>
              <a:cs typeface="+mn-cs"/>
            </a:rPr>
            <a:t>SUSTAV CIVILNE ZAŠTITE SUKLADNO ZAKONU O SUSTAVU  CIVILNE ZAŠTITE</a:t>
          </a:r>
          <a:endParaRPr lang="en-GB">
            <a:solidFill>
              <a:sysClr val="window" lastClr="FFFFFF"/>
            </a:solidFill>
            <a:latin typeface="Calibri" panose="020F0502020204030204"/>
            <a:ea typeface="+mn-ea"/>
            <a:cs typeface="+mn-cs"/>
          </a:endParaRPr>
        </a:p>
      </dgm:t>
    </dgm:pt>
    <dgm:pt modelId="{C38BE989-4E95-4B42-AFC2-2DC1118A0D55}" type="parTrans" cxnId="{E5CE7528-4F08-4065-976A-31427C9E2CD3}">
      <dgm:prSet/>
      <dgm:spPr>
        <a:xfrm>
          <a:off x="2640303" y="680329"/>
          <a:ext cx="820727" cy="284880"/>
        </a:xfrm>
        <a:noFill/>
        <a:ln w="25400" cap="flat" cmpd="sng" algn="ctr">
          <a:solidFill>
            <a:srgbClr val="4F81BD">
              <a:shade val="60000"/>
              <a:hueOff val="0"/>
              <a:satOff val="0"/>
              <a:lumOff val="0"/>
              <a:alphaOff val="0"/>
            </a:srgbClr>
          </a:solidFill>
          <a:prstDash val="solid"/>
        </a:ln>
        <a:effectLst/>
        <a:sp3d z="-40000" prstMaterial="matte"/>
      </dgm:spPr>
      <dgm:t>
        <a:bodyPr/>
        <a:lstStyle/>
        <a:p>
          <a:endParaRPr lang="en-GB"/>
        </a:p>
      </dgm:t>
    </dgm:pt>
    <dgm:pt modelId="{55B7CCE1-A7AD-498B-87CF-2A9AC48C00DC}" type="sibTrans" cxnId="{E5CE7528-4F08-4065-976A-31427C9E2CD3}">
      <dgm:prSet/>
      <dgm:spPr/>
      <dgm:t>
        <a:bodyPr/>
        <a:lstStyle/>
        <a:p>
          <a:endParaRPr lang="en-GB"/>
        </a:p>
      </dgm:t>
    </dgm:pt>
    <dgm:pt modelId="{9DB3AF63-D4F8-4187-865E-A0FA56D9C862}">
      <dgm:prSet phldrT="[Tekst]"/>
      <dgm:spPr>
        <a:xfrm>
          <a:off x="3121887" y="1928377"/>
          <a:ext cx="1356574" cy="678287"/>
        </a:xfr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panose="020F0502020204030204"/>
              <a:ea typeface="+mn-ea"/>
              <a:cs typeface="+mn-cs"/>
            </a:rPr>
            <a:t>SUDIONICI SUSTAVA CIVILNE ZAŠTITE</a:t>
          </a:r>
          <a:endParaRPr lang="en-GB">
            <a:solidFill>
              <a:sysClr val="window" lastClr="FFFFFF"/>
            </a:solidFill>
            <a:latin typeface="Calibri" panose="020F0502020204030204"/>
            <a:ea typeface="+mn-ea"/>
            <a:cs typeface="+mn-cs"/>
          </a:endParaRPr>
        </a:p>
      </dgm:t>
    </dgm:pt>
    <dgm:pt modelId="{5B0A4A26-BFE9-457D-B238-EECF2BB1D4AC}" type="parTrans" cxnId="{3F66AC48-C22E-46D9-AA6F-27825BEDED12}">
      <dgm:prSet/>
      <dgm:spPr>
        <a:xfrm>
          <a:off x="2918400" y="1643497"/>
          <a:ext cx="203486" cy="624024"/>
        </a:xfrm>
        <a:noFill/>
        <a:ln w="25400" cap="flat" cmpd="sng" algn="ctr">
          <a:solidFill>
            <a:srgbClr val="4F81BD">
              <a:shade val="80000"/>
              <a:hueOff val="0"/>
              <a:satOff val="0"/>
              <a:lumOff val="0"/>
              <a:alphaOff val="0"/>
            </a:srgbClr>
          </a:solidFill>
          <a:prstDash val="solid"/>
        </a:ln>
        <a:effectLst/>
        <a:scene3d>
          <a:camera prst="orthographicFront"/>
          <a:lightRig rig="chilly" dir="t"/>
        </a:scene3d>
        <a:sp3d z="-40000" prstMaterial="matte"/>
      </dgm:spPr>
      <dgm:t>
        <a:bodyPr/>
        <a:lstStyle/>
        <a:p>
          <a:endParaRPr lang="en-GB"/>
        </a:p>
      </dgm:t>
    </dgm:pt>
    <dgm:pt modelId="{AF6F1689-E3B3-449D-A103-24EB098C816F}" type="sibTrans" cxnId="{3F66AC48-C22E-46D9-AA6F-27825BEDED12}">
      <dgm:prSet/>
      <dgm:spPr/>
      <dgm:t>
        <a:bodyPr/>
        <a:lstStyle/>
        <a:p>
          <a:endParaRPr lang="en-GB"/>
        </a:p>
      </dgm:t>
    </dgm:pt>
    <dgm:pt modelId="{BCD3BB56-6716-4144-ABAA-A77F451D2496}">
      <dgm:prSet/>
      <dgm:spPr>
        <a:xfrm>
          <a:off x="3121887" y="2891545"/>
          <a:ext cx="1356574" cy="678287"/>
        </a:xfr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panose="020F0502020204030204"/>
              <a:ea typeface="+mn-ea"/>
              <a:cs typeface="+mn-cs"/>
            </a:rPr>
            <a:t>OPERATIVNE SNAGE CIVILNE ZAŠTITE</a:t>
          </a:r>
          <a:endParaRPr lang="en-GB">
            <a:solidFill>
              <a:sysClr val="window" lastClr="FFFFFF"/>
            </a:solidFill>
            <a:latin typeface="Calibri" panose="020F0502020204030204"/>
            <a:ea typeface="+mn-ea"/>
            <a:cs typeface="+mn-cs"/>
          </a:endParaRPr>
        </a:p>
      </dgm:t>
    </dgm:pt>
    <dgm:pt modelId="{B991B400-A7D9-4F7F-AADF-383A58380944}" type="parTrans" cxnId="{5AC08AA9-19C2-4EB7-B4F0-25BE42C7C868}">
      <dgm:prSet/>
      <dgm:spPr>
        <a:xfrm>
          <a:off x="2918400" y="1643497"/>
          <a:ext cx="203486" cy="1587191"/>
        </a:xfrm>
        <a:noFill/>
        <a:ln w="25400" cap="flat" cmpd="sng" algn="ctr">
          <a:solidFill>
            <a:srgbClr val="4F81BD">
              <a:shade val="80000"/>
              <a:hueOff val="0"/>
              <a:satOff val="0"/>
              <a:lumOff val="0"/>
              <a:alphaOff val="0"/>
            </a:srgbClr>
          </a:solidFill>
          <a:prstDash val="solid"/>
        </a:ln>
        <a:effectLst/>
        <a:scene3d>
          <a:camera prst="orthographicFront"/>
          <a:lightRig rig="chilly" dir="t"/>
        </a:scene3d>
        <a:sp3d z="-40000" prstMaterial="matte"/>
      </dgm:spPr>
      <dgm:t>
        <a:bodyPr/>
        <a:lstStyle/>
        <a:p>
          <a:endParaRPr lang="en-GB"/>
        </a:p>
      </dgm:t>
    </dgm:pt>
    <dgm:pt modelId="{5BD113DC-ABF1-4C8A-A916-3E7DA04732C9}" type="sibTrans" cxnId="{5AC08AA9-19C2-4EB7-B4F0-25BE42C7C868}">
      <dgm:prSet/>
      <dgm:spPr/>
      <dgm:t>
        <a:bodyPr/>
        <a:lstStyle/>
        <a:p>
          <a:endParaRPr lang="en-GB"/>
        </a:p>
      </dgm:t>
    </dgm:pt>
    <dgm:pt modelId="{E2E8EEBE-4864-41F4-92A5-658CE98C945F}">
      <dgm:prSet phldrT="[Tekst]"/>
      <dgm:spPr>
        <a:xfrm>
          <a:off x="1962016" y="2042"/>
          <a:ext cx="1356574" cy="678287"/>
        </a:xfr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gm:spPr>
      <dgm:t>
        <a:bodyPr/>
        <a:lstStyle/>
        <a:p>
          <a:pPr>
            <a:buNone/>
          </a:pPr>
          <a:r>
            <a:rPr lang="hr-HR">
              <a:solidFill>
                <a:sysClr val="window" lastClr="FFFFFF"/>
              </a:solidFill>
              <a:latin typeface="Calibri" panose="020F0502020204030204"/>
              <a:ea typeface="+mn-ea"/>
              <a:cs typeface="+mn-cs"/>
            </a:rPr>
            <a:t>NOSITELJI MJERA</a:t>
          </a:r>
          <a:endParaRPr lang="en-GB">
            <a:solidFill>
              <a:sysClr val="window" lastClr="FFFFFF"/>
            </a:solidFill>
            <a:latin typeface="Calibri" panose="020F0502020204030204"/>
            <a:ea typeface="+mn-ea"/>
            <a:cs typeface="+mn-cs"/>
          </a:endParaRPr>
        </a:p>
      </dgm:t>
    </dgm:pt>
    <dgm:pt modelId="{CC1F9014-937E-4BF1-964F-8A4A2E2F0B09}" type="sibTrans" cxnId="{3C62A67A-3317-48A8-8EA4-9F9E2B5BBE27}">
      <dgm:prSet/>
      <dgm:spPr/>
      <dgm:t>
        <a:bodyPr/>
        <a:lstStyle/>
        <a:p>
          <a:endParaRPr lang="en-GB"/>
        </a:p>
      </dgm:t>
    </dgm:pt>
    <dgm:pt modelId="{72F0AC4D-0466-45B8-9EE6-F7238B87CCC4}" type="parTrans" cxnId="{3C62A67A-3317-48A8-8EA4-9F9E2B5BBE27}">
      <dgm:prSet/>
      <dgm:spPr/>
      <dgm:t>
        <a:bodyPr/>
        <a:lstStyle/>
        <a:p>
          <a:endParaRPr lang="en-GB"/>
        </a:p>
      </dgm:t>
    </dgm:pt>
    <dgm:pt modelId="{0DCFDC55-D485-4C7D-883B-B20805B54F26}" type="pres">
      <dgm:prSet presAssocID="{1F7716F7-1315-4341-8533-82668A8FB9A8}" presName="hierChild1" presStyleCnt="0">
        <dgm:presLayoutVars>
          <dgm:orgChart val="1"/>
          <dgm:chPref val="1"/>
          <dgm:dir/>
          <dgm:animOne val="branch"/>
          <dgm:animLvl val="lvl"/>
          <dgm:resizeHandles/>
        </dgm:presLayoutVars>
      </dgm:prSet>
      <dgm:spPr/>
      <dgm:t>
        <a:bodyPr/>
        <a:lstStyle/>
        <a:p>
          <a:endParaRPr lang="hr-HR"/>
        </a:p>
      </dgm:t>
    </dgm:pt>
    <dgm:pt modelId="{A92A0602-452E-4DB7-AEDA-3115E0252CCA}" type="pres">
      <dgm:prSet presAssocID="{E2E8EEBE-4864-41F4-92A5-658CE98C945F}" presName="hierRoot1" presStyleCnt="0">
        <dgm:presLayoutVars>
          <dgm:hierBranch val="init"/>
        </dgm:presLayoutVars>
      </dgm:prSet>
      <dgm:spPr/>
    </dgm:pt>
    <dgm:pt modelId="{7918C860-657A-4AE5-AC88-F48E18802B05}" type="pres">
      <dgm:prSet presAssocID="{E2E8EEBE-4864-41F4-92A5-658CE98C945F}" presName="rootComposite1" presStyleCnt="0"/>
      <dgm:spPr/>
    </dgm:pt>
    <dgm:pt modelId="{FCAA9621-A48E-4183-8F5D-140E501A6C96}" type="pres">
      <dgm:prSet presAssocID="{E2E8EEBE-4864-41F4-92A5-658CE98C945F}" presName="rootText1" presStyleLbl="node0" presStyleIdx="0" presStyleCnt="1">
        <dgm:presLayoutVars>
          <dgm:chPref val="3"/>
        </dgm:presLayoutVars>
      </dgm:prSet>
      <dgm:spPr>
        <a:prstGeom prst="rect">
          <a:avLst/>
        </a:prstGeom>
      </dgm:spPr>
      <dgm:t>
        <a:bodyPr/>
        <a:lstStyle/>
        <a:p>
          <a:endParaRPr lang="hr-HR"/>
        </a:p>
      </dgm:t>
    </dgm:pt>
    <dgm:pt modelId="{6462C1E4-BFCE-4849-BDE1-95833E5A708C}" type="pres">
      <dgm:prSet presAssocID="{E2E8EEBE-4864-41F4-92A5-658CE98C945F}" presName="rootConnector1" presStyleLbl="node1" presStyleIdx="0" presStyleCnt="0"/>
      <dgm:spPr/>
      <dgm:t>
        <a:bodyPr/>
        <a:lstStyle/>
        <a:p>
          <a:endParaRPr lang="hr-HR"/>
        </a:p>
      </dgm:t>
    </dgm:pt>
    <dgm:pt modelId="{CA513697-9A6E-439E-89AA-6DA2D0401BAD}" type="pres">
      <dgm:prSet presAssocID="{E2E8EEBE-4864-41F4-92A5-658CE98C945F}" presName="hierChild2" presStyleCnt="0"/>
      <dgm:spPr/>
    </dgm:pt>
    <dgm:pt modelId="{F7AE1727-FF16-4B2B-BF43-99FD83768516}" type="pres">
      <dgm:prSet presAssocID="{0AB42197-C4BE-411A-B47A-7F6148468F16}" presName="Name37" presStyleLbl="parChTrans1D2" presStyleIdx="0" presStyleCnt="2"/>
      <dgm:spPr>
        <a:custGeom>
          <a:avLst/>
          <a:gdLst/>
          <a:ahLst/>
          <a:cxnLst/>
          <a:rect l="0" t="0" r="0" b="0"/>
          <a:pathLst>
            <a:path>
              <a:moveTo>
                <a:pt x="820727" y="0"/>
              </a:moveTo>
              <a:lnTo>
                <a:pt x="820727" y="142440"/>
              </a:lnTo>
              <a:lnTo>
                <a:pt x="0" y="142440"/>
              </a:lnTo>
              <a:lnTo>
                <a:pt x="0" y="284880"/>
              </a:lnTo>
            </a:path>
          </a:pathLst>
        </a:custGeom>
      </dgm:spPr>
      <dgm:t>
        <a:bodyPr/>
        <a:lstStyle/>
        <a:p>
          <a:endParaRPr lang="hr-HR"/>
        </a:p>
      </dgm:t>
    </dgm:pt>
    <dgm:pt modelId="{2C9D461C-E519-4CC9-BF98-863444B6BE58}" type="pres">
      <dgm:prSet presAssocID="{A3CBC0A2-311B-493E-844B-9DF4BF7FA576}" presName="hierRoot2" presStyleCnt="0">
        <dgm:presLayoutVars>
          <dgm:hierBranch val="init"/>
        </dgm:presLayoutVars>
      </dgm:prSet>
      <dgm:spPr/>
    </dgm:pt>
    <dgm:pt modelId="{398535BC-C930-42AD-A40B-A2DF64451EA2}" type="pres">
      <dgm:prSet presAssocID="{A3CBC0A2-311B-493E-844B-9DF4BF7FA576}" presName="rootComposite" presStyleCnt="0"/>
      <dgm:spPr/>
    </dgm:pt>
    <dgm:pt modelId="{17D0D699-F690-48C6-B2BF-D63517669CA9}" type="pres">
      <dgm:prSet presAssocID="{A3CBC0A2-311B-493E-844B-9DF4BF7FA576}" presName="rootText" presStyleLbl="node2" presStyleIdx="0" presStyleCnt="2">
        <dgm:presLayoutVars>
          <dgm:chPref val="3"/>
        </dgm:presLayoutVars>
      </dgm:prSet>
      <dgm:spPr>
        <a:prstGeom prst="rect">
          <a:avLst/>
        </a:prstGeom>
      </dgm:spPr>
      <dgm:t>
        <a:bodyPr/>
        <a:lstStyle/>
        <a:p>
          <a:endParaRPr lang="hr-HR"/>
        </a:p>
      </dgm:t>
    </dgm:pt>
    <dgm:pt modelId="{1C4ADD99-29F1-48FF-B7B7-8F0FE7F79EBA}" type="pres">
      <dgm:prSet presAssocID="{A3CBC0A2-311B-493E-844B-9DF4BF7FA576}" presName="rootConnector" presStyleLbl="node2" presStyleIdx="0" presStyleCnt="2"/>
      <dgm:spPr/>
      <dgm:t>
        <a:bodyPr/>
        <a:lstStyle/>
        <a:p>
          <a:endParaRPr lang="hr-HR"/>
        </a:p>
      </dgm:t>
    </dgm:pt>
    <dgm:pt modelId="{AFFB7FF0-5890-4C0E-9D24-55B3EB2BBF84}" type="pres">
      <dgm:prSet presAssocID="{A3CBC0A2-311B-493E-844B-9DF4BF7FA576}" presName="hierChild4" presStyleCnt="0"/>
      <dgm:spPr/>
    </dgm:pt>
    <dgm:pt modelId="{FCAD8FA7-46D3-40BB-96B2-C9E5F804CAF7}" type="pres">
      <dgm:prSet presAssocID="{A3CBC0A2-311B-493E-844B-9DF4BF7FA576}" presName="hierChild5" presStyleCnt="0"/>
      <dgm:spPr/>
    </dgm:pt>
    <dgm:pt modelId="{ADBC1BAB-94C7-4ECD-B582-98D15523188E}" type="pres">
      <dgm:prSet presAssocID="{C38BE989-4E95-4B42-AFC2-2DC1118A0D55}" presName="Name37" presStyleLbl="parChTrans1D2" presStyleIdx="1" presStyleCnt="2"/>
      <dgm:spPr>
        <a:custGeom>
          <a:avLst/>
          <a:gdLst/>
          <a:ahLst/>
          <a:cxnLst/>
          <a:rect l="0" t="0" r="0" b="0"/>
          <a:pathLst>
            <a:path>
              <a:moveTo>
                <a:pt x="0" y="0"/>
              </a:moveTo>
              <a:lnTo>
                <a:pt x="0" y="142440"/>
              </a:lnTo>
              <a:lnTo>
                <a:pt x="820727" y="142440"/>
              </a:lnTo>
              <a:lnTo>
                <a:pt x="820727" y="284880"/>
              </a:lnTo>
            </a:path>
          </a:pathLst>
        </a:custGeom>
      </dgm:spPr>
      <dgm:t>
        <a:bodyPr/>
        <a:lstStyle/>
        <a:p>
          <a:endParaRPr lang="hr-HR"/>
        </a:p>
      </dgm:t>
    </dgm:pt>
    <dgm:pt modelId="{AFA915C6-A742-4799-9DEC-5C8EB49B8431}" type="pres">
      <dgm:prSet presAssocID="{C8A92091-005A-439D-B8D8-DC4870AD1771}" presName="hierRoot2" presStyleCnt="0">
        <dgm:presLayoutVars>
          <dgm:hierBranch val="init"/>
        </dgm:presLayoutVars>
      </dgm:prSet>
      <dgm:spPr/>
    </dgm:pt>
    <dgm:pt modelId="{653CB71B-E208-4C9C-87D0-B43070980CCB}" type="pres">
      <dgm:prSet presAssocID="{C8A92091-005A-439D-B8D8-DC4870AD1771}" presName="rootComposite" presStyleCnt="0"/>
      <dgm:spPr/>
    </dgm:pt>
    <dgm:pt modelId="{EE5C11EC-32BB-4AB7-88E0-F942E30379DB}" type="pres">
      <dgm:prSet presAssocID="{C8A92091-005A-439D-B8D8-DC4870AD1771}" presName="rootText" presStyleLbl="node2" presStyleIdx="1" presStyleCnt="2">
        <dgm:presLayoutVars>
          <dgm:chPref val="3"/>
        </dgm:presLayoutVars>
      </dgm:prSet>
      <dgm:spPr>
        <a:prstGeom prst="rect">
          <a:avLst/>
        </a:prstGeom>
      </dgm:spPr>
      <dgm:t>
        <a:bodyPr/>
        <a:lstStyle/>
        <a:p>
          <a:endParaRPr lang="hr-HR"/>
        </a:p>
      </dgm:t>
    </dgm:pt>
    <dgm:pt modelId="{E2462AE8-00CF-4349-8E53-73C1AC9D6B17}" type="pres">
      <dgm:prSet presAssocID="{C8A92091-005A-439D-B8D8-DC4870AD1771}" presName="rootConnector" presStyleLbl="node2" presStyleIdx="1" presStyleCnt="2"/>
      <dgm:spPr/>
      <dgm:t>
        <a:bodyPr/>
        <a:lstStyle/>
        <a:p>
          <a:endParaRPr lang="hr-HR"/>
        </a:p>
      </dgm:t>
    </dgm:pt>
    <dgm:pt modelId="{F4406035-095F-4B24-8A88-6DABD6CF85B1}" type="pres">
      <dgm:prSet presAssocID="{C8A92091-005A-439D-B8D8-DC4870AD1771}" presName="hierChild4" presStyleCnt="0"/>
      <dgm:spPr/>
    </dgm:pt>
    <dgm:pt modelId="{CECC5C69-E86E-4CDB-A0DF-126CF62E428A}" type="pres">
      <dgm:prSet presAssocID="{5B0A4A26-BFE9-457D-B238-EECF2BB1D4AC}" presName="Name37" presStyleLbl="parChTrans1D3" presStyleIdx="0" presStyleCnt="2"/>
      <dgm:spPr>
        <a:custGeom>
          <a:avLst/>
          <a:gdLst/>
          <a:ahLst/>
          <a:cxnLst/>
          <a:rect l="0" t="0" r="0" b="0"/>
          <a:pathLst>
            <a:path>
              <a:moveTo>
                <a:pt x="0" y="0"/>
              </a:moveTo>
              <a:lnTo>
                <a:pt x="0" y="624024"/>
              </a:lnTo>
              <a:lnTo>
                <a:pt x="203486" y="624024"/>
              </a:lnTo>
            </a:path>
          </a:pathLst>
        </a:custGeom>
      </dgm:spPr>
      <dgm:t>
        <a:bodyPr/>
        <a:lstStyle/>
        <a:p>
          <a:endParaRPr lang="hr-HR"/>
        </a:p>
      </dgm:t>
    </dgm:pt>
    <dgm:pt modelId="{6D7C0313-8859-4541-9CBF-E2D964830FAF}" type="pres">
      <dgm:prSet presAssocID="{9DB3AF63-D4F8-4187-865E-A0FA56D9C862}" presName="hierRoot2" presStyleCnt="0">
        <dgm:presLayoutVars>
          <dgm:hierBranch val="init"/>
        </dgm:presLayoutVars>
      </dgm:prSet>
      <dgm:spPr/>
    </dgm:pt>
    <dgm:pt modelId="{EDC312E2-DC84-4F39-A144-50386EF4F88F}" type="pres">
      <dgm:prSet presAssocID="{9DB3AF63-D4F8-4187-865E-A0FA56D9C862}" presName="rootComposite" presStyleCnt="0"/>
      <dgm:spPr/>
    </dgm:pt>
    <dgm:pt modelId="{43A6D9AE-8796-499A-B351-771CA69F1B8B}" type="pres">
      <dgm:prSet presAssocID="{9DB3AF63-D4F8-4187-865E-A0FA56D9C862}" presName="rootText" presStyleLbl="node3" presStyleIdx="0" presStyleCnt="2">
        <dgm:presLayoutVars>
          <dgm:chPref val="3"/>
        </dgm:presLayoutVars>
      </dgm:prSet>
      <dgm:spPr>
        <a:prstGeom prst="rect">
          <a:avLst/>
        </a:prstGeom>
      </dgm:spPr>
      <dgm:t>
        <a:bodyPr/>
        <a:lstStyle/>
        <a:p>
          <a:endParaRPr lang="hr-HR"/>
        </a:p>
      </dgm:t>
    </dgm:pt>
    <dgm:pt modelId="{77FE88E4-1DB4-4DAD-AD34-355B1BBB2DB1}" type="pres">
      <dgm:prSet presAssocID="{9DB3AF63-D4F8-4187-865E-A0FA56D9C862}" presName="rootConnector" presStyleLbl="node3" presStyleIdx="0" presStyleCnt="2"/>
      <dgm:spPr/>
      <dgm:t>
        <a:bodyPr/>
        <a:lstStyle/>
        <a:p>
          <a:endParaRPr lang="hr-HR"/>
        </a:p>
      </dgm:t>
    </dgm:pt>
    <dgm:pt modelId="{BEA88F0C-09E7-448B-8A5B-E7AB305BC5E8}" type="pres">
      <dgm:prSet presAssocID="{9DB3AF63-D4F8-4187-865E-A0FA56D9C862}" presName="hierChild4" presStyleCnt="0"/>
      <dgm:spPr/>
    </dgm:pt>
    <dgm:pt modelId="{DE3517D7-0F25-4FE1-80EA-195A64C0FB69}" type="pres">
      <dgm:prSet presAssocID="{9DB3AF63-D4F8-4187-865E-A0FA56D9C862}" presName="hierChild5" presStyleCnt="0"/>
      <dgm:spPr/>
    </dgm:pt>
    <dgm:pt modelId="{89904892-2141-4AEA-B38E-4C1931CC6AEF}" type="pres">
      <dgm:prSet presAssocID="{B991B400-A7D9-4F7F-AADF-383A58380944}" presName="Name37" presStyleLbl="parChTrans1D3" presStyleIdx="1" presStyleCnt="2"/>
      <dgm:spPr>
        <a:custGeom>
          <a:avLst/>
          <a:gdLst/>
          <a:ahLst/>
          <a:cxnLst/>
          <a:rect l="0" t="0" r="0" b="0"/>
          <a:pathLst>
            <a:path>
              <a:moveTo>
                <a:pt x="0" y="0"/>
              </a:moveTo>
              <a:lnTo>
                <a:pt x="0" y="1587191"/>
              </a:lnTo>
              <a:lnTo>
                <a:pt x="203486" y="1587191"/>
              </a:lnTo>
            </a:path>
          </a:pathLst>
        </a:custGeom>
      </dgm:spPr>
      <dgm:t>
        <a:bodyPr/>
        <a:lstStyle/>
        <a:p>
          <a:endParaRPr lang="hr-HR"/>
        </a:p>
      </dgm:t>
    </dgm:pt>
    <dgm:pt modelId="{9798A45F-28D6-4C6E-8F30-196262E5835B}" type="pres">
      <dgm:prSet presAssocID="{BCD3BB56-6716-4144-ABAA-A77F451D2496}" presName="hierRoot2" presStyleCnt="0">
        <dgm:presLayoutVars>
          <dgm:hierBranch val="init"/>
        </dgm:presLayoutVars>
      </dgm:prSet>
      <dgm:spPr/>
    </dgm:pt>
    <dgm:pt modelId="{3986564C-0921-4877-94B8-89E755D9D003}" type="pres">
      <dgm:prSet presAssocID="{BCD3BB56-6716-4144-ABAA-A77F451D2496}" presName="rootComposite" presStyleCnt="0"/>
      <dgm:spPr/>
    </dgm:pt>
    <dgm:pt modelId="{5A623199-204A-4564-9728-A959F15E74D4}" type="pres">
      <dgm:prSet presAssocID="{BCD3BB56-6716-4144-ABAA-A77F451D2496}" presName="rootText" presStyleLbl="node3" presStyleIdx="1" presStyleCnt="2">
        <dgm:presLayoutVars>
          <dgm:chPref val="3"/>
        </dgm:presLayoutVars>
      </dgm:prSet>
      <dgm:spPr>
        <a:prstGeom prst="rect">
          <a:avLst/>
        </a:prstGeom>
      </dgm:spPr>
      <dgm:t>
        <a:bodyPr/>
        <a:lstStyle/>
        <a:p>
          <a:endParaRPr lang="hr-HR"/>
        </a:p>
      </dgm:t>
    </dgm:pt>
    <dgm:pt modelId="{BD1FD6DD-B22F-474E-8326-525A119B0A36}" type="pres">
      <dgm:prSet presAssocID="{BCD3BB56-6716-4144-ABAA-A77F451D2496}" presName="rootConnector" presStyleLbl="node3" presStyleIdx="1" presStyleCnt="2"/>
      <dgm:spPr/>
      <dgm:t>
        <a:bodyPr/>
        <a:lstStyle/>
        <a:p>
          <a:endParaRPr lang="hr-HR"/>
        </a:p>
      </dgm:t>
    </dgm:pt>
    <dgm:pt modelId="{90FC7320-36E4-498C-BD67-3793978F0254}" type="pres">
      <dgm:prSet presAssocID="{BCD3BB56-6716-4144-ABAA-A77F451D2496}" presName="hierChild4" presStyleCnt="0"/>
      <dgm:spPr/>
    </dgm:pt>
    <dgm:pt modelId="{027E02A2-217D-4852-9B6D-B5F18965362F}" type="pres">
      <dgm:prSet presAssocID="{BCD3BB56-6716-4144-ABAA-A77F451D2496}" presName="hierChild5" presStyleCnt="0"/>
      <dgm:spPr/>
    </dgm:pt>
    <dgm:pt modelId="{DC0D57D5-CB60-4816-88FD-5ED498AADE3C}" type="pres">
      <dgm:prSet presAssocID="{C8A92091-005A-439D-B8D8-DC4870AD1771}" presName="hierChild5" presStyleCnt="0"/>
      <dgm:spPr/>
    </dgm:pt>
    <dgm:pt modelId="{D9BE0C90-E070-47C4-AE6D-AE1226D0353F}" type="pres">
      <dgm:prSet presAssocID="{E2E8EEBE-4864-41F4-92A5-658CE98C945F}" presName="hierChild3" presStyleCnt="0"/>
      <dgm:spPr/>
    </dgm:pt>
  </dgm:ptLst>
  <dgm:cxnLst>
    <dgm:cxn modelId="{09BCDCD1-C0F0-4067-A331-2B10AB920341}" type="presOf" srcId="{A3CBC0A2-311B-493E-844B-9DF4BF7FA576}" destId="{1C4ADD99-29F1-48FF-B7B7-8F0FE7F79EBA}" srcOrd="1" destOrd="0" presId="urn:microsoft.com/office/officeart/2005/8/layout/orgChart1#1"/>
    <dgm:cxn modelId="{BDB7BDBF-A161-479F-879D-2F5BB1ED678F}" type="presOf" srcId="{BCD3BB56-6716-4144-ABAA-A77F451D2496}" destId="{5A623199-204A-4564-9728-A959F15E74D4}" srcOrd="0" destOrd="0" presId="urn:microsoft.com/office/officeart/2005/8/layout/orgChart1#1"/>
    <dgm:cxn modelId="{4BEF25E0-D2F2-4DC3-9C60-9CE9329F5C34}" type="presOf" srcId="{C38BE989-4E95-4B42-AFC2-2DC1118A0D55}" destId="{ADBC1BAB-94C7-4ECD-B582-98D15523188E}" srcOrd="0" destOrd="0" presId="urn:microsoft.com/office/officeart/2005/8/layout/orgChart1#1"/>
    <dgm:cxn modelId="{985B77DD-2E94-44E1-9454-6DBA4CB2611E}" type="presOf" srcId="{C8A92091-005A-439D-B8D8-DC4870AD1771}" destId="{E2462AE8-00CF-4349-8E53-73C1AC9D6B17}" srcOrd="1" destOrd="0" presId="urn:microsoft.com/office/officeart/2005/8/layout/orgChart1#1"/>
    <dgm:cxn modelId="{514323BA-9934-4634-82B8-B48394B65DB3}" type="presOf" srcId="{0AB42197-C4BE-411A-B47A-7F6148468F16}" destId="{F7AE1727-FF16-4B2B-BF43-99FD83768516}" srcOrd="0" destOrd="0" presId="urn:microsoft.com/office/officeart/2005/8/layout/orgChart1#1"/>
    <dgm:cxn modelId="{3C62A67A-3317-48A8-8EA4-9F9E2B5BBE27}" srcId="{1F7716F7-1315-4341-8533-82668A8FB9A8}" destId="{E2E8EEBE-4864-41F4-92A5-658CE98C945F}" srcOrd="0" destOrd="0" parTransId="{72F0AC4D-0466-45B8-9EE6-F7238B87CCC4}" sibTransId="{CC1F9014-937E-4BF1-964F-8A4A2E2F0B09}"/>
    <dgm:cxn modelId="{3F66AC48-C22E-46D9-AA6F-27825BEDED12}" srcId="{C8A92091-005A-439D-B8D8-DC4870AD1771}" destId="{9DB3AF63-D4F8-4187-865E-A0FA56D9C862}" srcOrd="0" destOrd="0" parTransId="{5B0A4A26-BFE9-457D-B238-EECF2BB1D4AC}" sibTransId="{AF6F1689-E3B3-449D-A103-24EB098C816F}"/>
    <dgm:cxn modelId="{78556A3F-1B45-4EA0-BCC5-537756DC2D1D}" type="presOf" srcId="{B991B400-A7D9-4F7F-AADF-383A58380944}" destId="{89904892-2141-4AEA-B38E-4C1931CC6AEF}" srcOrd="0" destOrd="0" presId="urn:microsoft.com/office/officeart/2005/8/layout/orgChart1#1"/>
    <dgm:cxn modelId="{C3E36313-CC1E-493E-B53C-C280262589D0}" type="presOf" srcId="{A3CBC0A2-311B-493E-844B-9DF4BF7FA576}" destId="{17D0D699-F690-48C6-B2BF-D63517669CA9}" srcOrd="0" destOrd="0" presId="urn:microsoft.com/office/officeart/2005/8/layout/orgChart1#1"/>
    <dgm:cxn modelId="{68C4C79C-40F1-4CE8-B3B7-9A3187880ADA}" srcId="{E2E8EEBE-4864-41F4-92A5-658CE98C945F}" destId="{A3CBC0A2-311B-493E-844B-9DF4BF7FA576}" srcOrd="0" destOrd="0" parTransId="{0AB42197-C4BE-411A-B47A-7F6148468F16}" sibTransId="{8B5B862A-A308-48E8-822B-131B4C8314E3}"/>
    <dgm:cxn modelId="{BE587F0F-D951-4C66-8EDC-CA6A0E3A02D4}" type="presOf" srcId="{E2E8EEBE-4864-41F4-92A5-658CE98C945F}" destId="{FCAA9621-A48E-4183-8F5D-140E501A6C96}" srcOrd="0" destOrd="0" presId="urn:microsoft.com/office/officeart/2005/8/layout/orgChart1#1"/>
    <dgm:cxn modelId="{7A1FCF37-C1FB-4626-A445-08F34F72D81B}" type="presOf" srcId="{C8A92091-005A-439D-B8D8-DC4870AD1771}" destId="{EE5C11EC-32BB-4AB7-88E0-F942E30379DB}" srcOrd="0" destOrd="0" presId="urn:microsoft.com/office/officeart/2005/8/layout/orgChart1#1"/>
    <dgm:cxn modelId="{CC374977-984D-4668-A23E-AC38B68B8A5D}" type="presOf" srcId="{5B0A4A26-BFE9-457D-B238-EECF2BB1D4AC}" destId="{CECC5C69-E86E-4CDB-A0DF-126CF62E428A}" srcOrd="0" destOrd="0" presId="urn:microsoft.com/office/officeart/2005/8/layout/orgChart1#1"/>
    <dgm:cxn modelId="{06F89FE6-70A4-4D52-8CEF-1149E5D2550F}" type="presOf" srcId="{BCD3BB56-6716-4144-ABAA-A77F451D2496}" destId="{BD1FD6DD-B22F-474E-8326-525A119B0A36}" srcOrd="1" destOrd="0" presId="urn:microsoft.com/office/officeart/2005/8/layout/orgChart1#1"/>
    <dgm:cxn modelId="{5AC08AA9-19C2-4EB7-B4F0-25BE42C7C868}" srcId="{C8A92091-005A-439D-B8D8-DC4870AD1771}" destId="{BCD3BB56-6716-4144-ABAA-A77F451D2496}" srcOrd="1" destOrd="0" parTransId="{B991B400-A7D9-4F7F-AADF-383A58380944}" sibTransId="{5BD113DC-ABF1-4C8A-A916-3E7DA04732C9}"/>
    <dgm:cxn modelId="{0A0BF5BD-1F55-485B-8D1F-2AF779D19870}" type="presOf" srcId="{1F7716F7-1315-4341-8533-82668A8FB9A8}" destId="{0DCFDC55-D485-4C7D-883B-B20805B54F26}" srcOrd="0" destOrd="0" presId="urn:microsoft.com/office/officeart/2005/8/layout/orgChart1#1"/>
    <dgm:cxn modelId="{91DDD24B-BAFF-4E05-9976-FAEE1394D085}" type="presOf" srcId="{9DB3AF63-D4F8-4187-865E-A0FA56D9C862}" destId="{43A6D9AE-8796-499A-B351-771CA69F1B8B}" srcOrd="0" destOrd="0" presId="urn:microsoft.com/office/officeart/2005/8/layout/orgChart1#1"/>
    <dgm:cxn modelId="{E5CE7528-4F08-4065-976A-31427C9E2CD3}" srcId="{E2E8EEBE-4864-41F4-92A5-658CE98C945F}" destId="{C8A92091-005A-439D-B8D8-DC4870AD1771}" srcOrd="1" destOrd="0" parTransId="{C38BE989-4E95-4B42-AFC2-2DC1118A0D55}" sibTransId="{55B7CCE1-A7AD-498B-87CF-2A9AC48C00DC}"/>
    <dgm:cxn modelId="{4943EB9A-E907-4A88-A633-AE0E7969D3C6}" type="presOf" srcId="{E2E8EEBE-4864-41F4-92A5-658CE98C945F}" destId="{6462C1E4-BFCE-4849-BDE1-95833E5A708C}" srcOrd="1" destOrd="0" presId="urn:microsoft.com/office/officeart/2005/8/layout/orgChart1#1"/>
    <dgm:cxn modelId="{A78F316A-2C4D-41F3-BF73-269FE8F0339B}" type="presOf" srcId="{9DB3AF63-D4F8-4187-865E-A0FA56D9C862}" destId="{77FE88E4-1DB4-4DAD-AD34-355B1BBB2DB1}" srcOrd="1" destOrd="0" presId="urn:microsoft.com/office/officeart/2005/8/layout/orgChart1#1"/>
    <dgm:cxn modelId="{B7E43790-1FD8-46C0-935D-3180E1F6880C}" type="presParOf" srcId="{0DCFDC55-D485-4C7D-883B-B20805B54F26}" destId="{A92A0602-452E-4DB7-AEDA-3115E0252CCA}" srcOrd="0" destOrd="0" presId="urn:microsoft.com/office/officeart/2005/8/layout/orgChart1#1"/>
    <dgm:cxn modelId="{F0D1CBEC-6361-4F4C-8D6B-B8E27F4F899A}" type="presParOf" srcId="{A92A0602-452E-4DB7-AEDA-3115E0252CCA}" destId="{7918C860-657A-4AE5-AC88-F48E18802B05}" srcOrd="0" destOrd="0" presId="urn:microsoft.com/office/officeart/2005/8/layout/orgChart1#1"/>
    <dgm:cxn modelId="{2CC8B9B5-7226-42E4-9F63-E9EA33FEE572}" type="presParOf" srcId="{7918C860-657A-4AE5-AC88-F48E18802B05}" destId="{FCAA9621-A48E-4183-8F5D-140E501A6C96}" srcOrd="0" destOrd="0" presId="urn:microsoft.com/office/officeart/2005/8/layout/orgChart1#1"/>
    <dgm:cxn modelId="{5FD53774-63B4-4B24-9E43-F1E393F96FB7}" type="presParOf" srcId="{7918C860-657A-4AE5-AC88-F48E18802B05}" destId="{6462C1E4-BFCE-4849-BDE1-95833E5A708C}" srcOrd="1" destOrd="0" presId="urn:microsoft.com/office/officeart/2005/8/layout/orgChart1#1"/>
    <dgm:cxn modelId="{884E731D-B627-4DDB-9FF3-6BA7976099E0}" type="presParOf" srcId="{A92A0602-452E-4DB7-AEDA-3115E0252CCA}" destId="{CA513697-9A6E-439E-89AA-6DA2D0401BAD}" srcOrd="1" destOrd="0" presId="urn:microsoft.com/office/officeart/2005/8/layout/orgChart1#1"/>
    <dgm:cxn modelId="{0109AACC-7350-471D-8A68-54E4C46AC08B}" type="presParOf" srcId="{CA513697-9A6E-439E-89AA-6DA2D0401BAD}" destId="{F7AE1727-FF16-4B2B-BF43-99FD83768516}" srcOrd="0" destOrd="0" presId="urn:microsoft.com/office/officeart/2005/8/layout/orgChart1#1"/>
    <dgm:cxn modelId="{9C0A669D-59DB-417F-8925-DF326F32C658}" type="presParOf" srcId="{CA513697-9A6E-439E-89AA-6DA2D0401BAD}" destId="{2C9D461C-E519-4CC9-BF98-863444B6BE58}" srcOrd="1" destOrd="0" presId="urn:microsoft.com/office/officeart/2005/8/layout/orgChart1#1"/>
    <dgm:cxn modelId="{40B01F62-FE34-40AB-B44B-484CC40C62F1}" type="presParOf" srcId="{2C9D461C-E519-4CC9-BF98-863444B6BE58}" destId="{398535BC-C930-42AD-A40B-A2DF64451EA2}" srcOrd="0" destOrd="0" presId="urn:microsoft.com/office/officeart/2005/8/layout/orgChart1#1"/>
    <dgm:cxn modelId="{9F4FC935-C5D4-4D2F-B34C-2E75E0F07C11}" type="presParOf" srcId="{398535BC-C930-42AD-A40B-A2DF64451EA2}" destId="{17D0D699-F690-48C6-B2BF-D63517669CA9}" srcOrd="0" destOrd="0" presId="urn:microsoft.com/office/officeart/2005/8/layout/orgChart1#1"/>
    <dgm:cxn modelId="{963235D5-7BD5-4B59-B092-B61F3D4DFD9C}" type="presParOf" srcId="{398535BC-C930-42AD-A40B-A2DF64451EA2}" destId="{1C4ADD99-29F1-48FF-B7B7-8F0FE7F79EBA}" srcOrd="1" destOrd="0" presId="urn:microsoft.com/office/officeart/2005/8/layout/orgChart1#1"/>
    <dgm:cxn modelId="{C927A78A-27FC-4B20-997C-1F8871CC90D9}" type="presParOf" srcId="{2C9D461C-E519-4CC9-BF98-863444B6BE58}" destId="{AFFB7FF0-5890-4C0E-9D24-55B3EB2BBF84}" srcOrd="1" destOrd="0" presId="urn:microsoft.com/office/officeart/2005/8/layout/orgChart1#1"/>
    <dgm:cxn modelId="{2705151C-6744-47E9-A32E-C293463F5F42}" type="presParOf" srcId="{2C9D461C-E519-4CC9-BF98-863444B6BE58}" destId="{FCAD8FA7-46D3-40BB-96B2-C9E5F804CAF7}" srcOrd="2" destOrd="0" presId="urn:microsoft.com/office/officeart/2005/8/layout/orgChart1#1"/>
    <dgm:cxn modelId="{140BEC86-864C-44D0-BB70-61CFA08006E1}" type="presParOf" srcId="{CA513697-9A6E-439E-89AA-6DA2D0401BAD}" destId="{ADBC1BAB-94C7-4ECD-B582-98D15523188E}" srcOrd="2" destOrd="0" presId="urn:microsoft.com/office/officeart/2005/8/layout/orgChart1#1"/>
    <dgm:cxn modelId="{61672948-9E94-4747-AF88-F800F7975BA0}" type="presParOf" srcId="{CA513697-9A6E-439E-89AA-6DA2D0401BAD}" destId="{AFA915C6-A742-4799-9DEC-5C8EB49B8431}" srcOrd="3" destOrd="0" presId="urn:microsoft.com/office/officeart/2005/8/layout/orgChart1#1"/>
    <dgm:cxn modelId="{C660A67E-9754-4296-968A-B97D0492CD48}" type="presParOf" srcId="{AFA915C6-A742-4799-9DEC-5C8EB49B8431}" destId="{653CB71B-E208-4C9C-87D0-B43070980CCB}" srcOrd="0" destOrd="0" presId="urn:microsoft.com/office/officeart/2005/8/layout/orgChart1#1"/>
    <dgm:cxn modelId="{ACE121E9-E9B9-48CA-A213-C166A3A26DF8}" type="presParOf" srcId="{653CB71B-E208-4C9C-87D0-B43070980CCB}" destId="{EE5C11EC-32BB-4AB7-88E0-F942E30379DB}" srcOrd="0" destOrd="0" presId="urn:microsoft.com/office/officeart/2005/8/layout/orgChart1#1"/>
    <dgm:cxn modelId="{65EBA333-6328-42D7-AE72-83BFD05E523F}" type="presParOf" srcId="{653CB71B-E208-4C9C-87D0-B43070980CCB}" destId="{E2462AE8-00CF-4349-8E53-73C1AC9D6B17}" srcOrd="1" destOrd="0" presId="urn:microsoft.com/office/officeart/2005/8/layout/orgChart1#1"/>
    <dgm:cxn modelId="{BE87FDDC-FD08-44E9-B378-12EA68A52E64}" type="presParOf" srcId="{AFA915C6-A742-4799-9DEC-5C8EB49B8431}" destId="{F4406035-095F-4B24-8A88-6DABD6CF85B1}" srcOrd="1" destOrd="0" presId="urn:microsoft.com/office/officeart/2005/8/layout/orgChart1#1"/>
    <dgm:cxn modelId="{48B2492E-01AE-4187-823E-92CEC0AE8371}" type="presParOf" srcId="{F4406035-095F-4B24-8A88-6DABD6CF85B1}" destId="{CECC5C69-E86E-4CDB-A0DF-126CF62E428A}" srcOrd="0" destOrd="0" presId="urn:microsoft.com/office/officeart/2005/8/layout/orgChart1#1"/>
    <dgm:cxn modelId="{BE7E6CC7-ADF2-4DFF-BB6C-DFD3A7671BCD}" type="presParOf" srcId="{F4406035-095F-4B24-8A88-6DABD6CF85B1}" destId="{6D7C0313-8859-4541-9CBF-E2D964830FAF}" srcOrd="1" destOrd="0" presId="urn:microsoft.com/office/officeart/2005/8/layout/orgChart1#1"/>
    <dgm:cxn modelId="{A2FCDB8B-A458-46EC-964E-92893347C589}" type="presParOf" srcId="{6D7C0313-8859-4541-9CBF-E2D964830FAF}" destId="{EDC312E2-DC84-4F39-A144-50386EF4F88F}" srcOrd="0" destOrd="0" presId="urn:microsoft.com/office/officeart/2005/8/layout/orgChart1#1"/>
    <dgm:cxn modelId="{4839628C-7466-46B1-BD6E-734505A77D2F}" type="presParOf" srcId="{EDC312E2-DC84-4F39-A144-50386EF4F88F}" destId="{43A6D9AE-8796-499A-B351-771CA69F1B8B}" srcOrd="0" destOrd="0" presId="urn:microsoft.com/office/officeart/2005/8/layout/orgChart1#1"/>
    <dgm:cxn modelId="{FF651E11-E6BB-4124-9B06-B097F6DD7AE5}" type="presParOf" srcId="{EDC312E2-DC84-4F39-A144-50386EF4F88F}" destId="{77FE88E4-1DB4-4DAD-AD34-355B1BBB2DB1}" srcOrd="1" destOrd="0" presId="urn:microsoft.com/office/officeart/2005/8/layout/orgChart1#1"/>
    <dgm:cxn modelId="{581290F7-B8B3-4DBF-8E75-B829308724C7}" type="presParOf" srcId="{6D7C0313-8859-4541-9CBF-E2D964830FAF}" destId="{BEA88F0C-09E7-448B-8A5B-E7AB305BC5E8}" srcOrd="1" destOrd="0" presId="urn:microsoft.com/office/officeart/2005/8/layout/orgChart1#1"/>
    <dgm:cxn modelId="{27A3B5A4-43B9-4496-A83F-0125B84F59C0}" type="presParOf" srcId="{6D7C0313-8859-4541-9CBF-E2D964830FAF}" destId="{DE3517D7-0F25-4FE1-80EA-195A64C0FB69}" srcOrd="2" destOrd="0" presId="urn:microsoft.com/office/officeart/2005/8/layout/orgChart1#1"/>
    <dgm:cxn modelId="{44D35805-744C-4ACD-AB23-A92E31772DB8}" type="presParOf" srcId="{F4406035-095F-4B24-8A88-6DABD6CF85B1}" destId="{89904892-2141-4AEA-B38E-4C1931CC6AEF}" srcOrd="2" destOrd="0" presId="urn:microsoft.com/office/officeart/2005/8/layout/orgChart1#1"/>
    <dgm:cxn modelId="{70DB7A81-2D0B-4400-A921-64E4FEB91D5F}" type="presParOf" srcId="{F4406035-095F-4B24-8A88-6DABD6CF85B1}" destId="{9798A45F-28D6-4C6E-8F30-196262E5835B}" srcOrd="3" destOrd="0" presId="urn:microsoft.com/office/officeart/2005/8/layout/orgChart1#1"/>
    <dgm:cxn modelId="{0320A0AE-9038-4B49-B025-816EE53D7328}" type="presParOf" srcId="{9798A45F-28D6-4C6E-8F30-196262E5835B}" destId="{3986564C-0921-4877-94B8-89E755D9D003}" srcOrd="0" destOrd="0" presId="urn:microsoft.com/office/officeart/2005/8/layout/orgChart1#1"/>
    <dgm:cxn modelId="{6922045F-723B-41F5-98FD-5F3BE60E1B85}" type="presParOf" srcId="{3986564C-0921-4877-94B8-89E755D9D003}" destId="{5A623199-204A-4564-9728-A959F15E74D4}" srcOrd="0" destOrd="0" presId="urn:microsoft.com/office/officeart/2005/8/layout/orgChart1#1"/>
    <dgm:cxn modelId="{1C50E46A-413E-4D21-8FF6-0A38C5919492}" type="presParOf" srcId="{3986564C-0921-4877-94B8-89E755D9D003}" destId="{BD1FD6DD-B22F-474E-8326-525A119B0A36}" srcOrd="1" destOrd="0" presId="urn:microsoft.com/office/officeart/2005/8/layout/orgChart1#1"/>
    <dgm:cxn modelId="{3FA1C048-C891-45CE-97F0-B17AE8F0E885}" type="presParOf" srcId="{9798A45F-28D6-4C6E-8F30-196262E5835B}" destId="{90FC7320-36E4-498C-BD67-3793978F0254}" srcOrd="1" destOrd="0" presId="urn:microsoft.com/office/officeart/2005/8/layout/orgChart1#1"/>
    <dgm:cxn modelId="{834C1DE5-DDE5-4CE9-B1B1-B3F55DE73788}" type="presParOf" srcId="{9798A45F-28D6-4C6E-8F30-196262E5835B}" destId="{027E02A2-217D-4852-9B6D-B5F18965362F}" srcOrd="2" destOrd="0" presId="urn:microsoft.com/office/officeart/2005/8/layout/orgChart1#1"/>
    <dgm:cxn modelId="{5215A3BD-9360-4739-99F4-A3AA029821B8}" type="presParOf" srcId="{AFA915C6-A742-4799-9DEC-5C8EB49B8431}" destId="{DC0D57D5-CB60-4816-88FD-5ED498AADE3C}" srcOrd="2" destOrd="0" presId="urn:microsoft.com/office/officeart/2005/8/layout/orgChart1#1"/>
    <dgm:cxn modelId="{95AD7AAA-3BB8-4C8B-8D57-B4587A83A57C}" type="presParOf" srcId="{A92A0602-452E-4DB7-AEDA-3115E0252CCA}" destId="{D9BE0C90-E070-47C4-AE6D-AE1226D0353F}" srcOrd="2" destOrd="0" presId="urn:microsoft.com/office/officeart/2005/8/layout/orgChart1#1"/>
  </dgm:cxnLst>
  <dgm:bg/>
  <dgm:whole/>
  <dgm:extLst>
    <a:ext uri="http://schemas.microsoft.com/office/drawing/2008/diagram">
      <dsp:dataModelExt xmlns:dsp="http://schemas.microsoft.com/office/drawing/2008/diagram" xmlns="" relId="rId64"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9904892-2141-4AEA-B38E-4C1931CC6AEF}">
      <dsp:nvSpPr>
        <dsp:cNvPr id="0" name=""/>
        <dsp:cNvSpPr/>
      </dsp:nvSpPr>
      <dsp:spPr>
        <a:xfrm>
          <a:off x="2918400" y="1643497"/>
          <a:ext cx="203486" cy="1587191"/>
        </a:xfrm>
        <a:custGeom>
          <a:avLst/>
          <a:gdLst/>
          <a:ahLst/>
          <a:cxnLst/>
          <a:rect l="0" t="0" r="0" b="0"/>
          <a:pathLst>
            <a:path>
              <a:moveTo>
                <a:pt x="0" y="0"/>
              </a:moveTo>
              <a:lnTo>
                <a:pt x="0" y="1587191"/>
              </a:lnTo>
              <a:lnTo>
                <a:pt x="203486" y="1587191"/>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ECC5C69-E86E-4CDB-A0DF-126CF62E428A}">
      <dsp:nvSpPr>
        <dsp:cNvPr id="0" name=""/>
        <dsp:cNvSpPr/>
      </dsp:nvSpPr>
      <dsp:spPr>
        <a:xfrm>
          <a:off x="2918400" y="1643497"/>
          <a:ext cx="203486" cy="624024"/>
        </a:xfrm>
        <a:custGeom>
          <a:avLst/>
          <a:gdLst/>
          <a:ahLst/>
          <a:cxnLst/>
          <a:rect l="0" t="0" r="0" b="0"/>
          <a:pathLst>
            <a:path>
              <a:moveTo>
                <a:pt x="0" y="0"/>
              </a:moveTo>
              <a:lnTo>
                <a:pt x="0" y="624024"/>
              </a:lnTo>
              <a:lnTo>
                <a:pt x="203486" y="624024"/>
              </a:lnTo>
            </a:path>
          </a:pathLst>
        </a:custGeom>
        <a:noFill/>
        <a:ln w="25400" cap="flat" cmpd="sng" algn="ctr">
          <a:solidFill>
            <a:srgbClr val="4F81BD">
              <a:shade val="80000"/>
              <a:hueOff val="0"/>
              <a:satOff val="0"/>
              <a:lumOff val="0"/>
              <a:alphaOff val="0"/>
            </a:srgbClr>
          </a:solidFill>
          <a:prstDash val="solid"/>
          <a:miter lim="800000"/>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DBC1BAB-94C7-4ECD-B582-98D15523188E}">
      <dsp:nvSpPr>
        <dsp:cNvPr id="0" name=""/>
        <dsp:cNvSpPr/>
      </dsp:nvSpPr>
      <dsp:spPr>
        <a:xfrm>
          <a:off x="2640303" y="680329"/>
          <a:ext cx="820727" cy="284880"/>
        </a:xfrm>
        <a:custGeom>
          <a:avLst/>
          <a:gdLst/>
          <a:ahLst/>
          <a:cxnLst/>
          <a:rect l="0" t="0" r="0" b="0"/>
          <a:pathLst>
            <a:path>
              <a:moveTo>
                <a:pt x="0" y="0"/>
              </a:moveTo>
              <a:lnTo>
                <a:pt x="0" y="142440"/>
              </a:lnTo>
              <a:lnTo>
                <a:pt x="820727" y="142440"/>
              </a:lnTo>
              <a:lnTo>
                <a:pt x="820727" y="284880"/>
              </a:lnTo>
            </a:path>
          </a:pathLst>
        </a:custGeom>
        <a:noFill/>
        <a:ln w="25400" cap="flat" cmpd="sng" algn="ctr">
          <a:solidFill>
            <a:srgbClr val="4F81BD">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F7AE1727-FF16-4B2B-BF43-99FD83768516}">
      <dsp:nvSpPr>
        <dsp:cNvPr id="0" name=""/>
        <dsp:cNvSpPr/>
      </dsp:nvSpPr>
      <dsp:spPr>
        <a:xfrm>
          <a:off x="1819575" y="680329"/>
          <a:ext cx="820727" cy="284880"/>
        </a:xfrm>
        <a:custGeom>
          <a:avLst/>
          <a:gdLst/>
          <a:ahLst/>
          <a:cxnLst/>
          <a:rect l="0" t="0" r="0" b="0"/>
          <a:pathLst>
            <a:path>
              <a:moveTo>
                <a:pt x="820727" y="0"/>
              </a:moveTo>
              <a:lnTo>
                <a:pt x="820727" y="142440"/>
              </a:lnTo>
              <a:lnTo>
                <a:pt x="0" y="142440"/>
              </a:lnTo>
              <a:lnTo>
                <a:pt x="0" y="284880"/>
              </a:lnTo>
            </a:path>
          </a:pathLst>
        </a:custGeom>
        <a:noFill/>
        <a:ln w="25400" cap="flat" cmpd="sng" algn="ctr">
          <a:solidFill>
            <a:srgbClr val="4F81BD">
              <a:shade val="60000"/>
              <a:hueOff val="0"/>
              <a:satOff val="0"/>
              <a:lumOff val="0"/>
              <a:alphaOff val="0"/>
            </a:srgbClr>
          </a:solidFill>
          <a:prstDash val="solid"/>
          <a:miter lim="800000"/>
        </a:ln>
        <a:effectLst/>
        <a:sp3d z="-40000" prstMaterial="matte"/>
      </dsp:spPr>
      <dsp:style>
        <a:lnRef idx="2">
          <a:scrgbClr r="0" g="0" b="0"/>
        </a:lnRef>
        <a:fillRef idx="0">
          <a:scrgbClr r="0" g="0" b="0"/>
        </a:fillRef>
        <a:effectRef idx="0">
          <a:scrgbClr r="0" g="0" b="0"/>
        </a:effectRef>
        <a:fontRef idx="minor"/>
      </dsp:style>
    </dsp:sp>
    <dsp:sp modelId="{FCAA9621-A48E-4183-8F5D-140E501A6C96}">
      <dsp:nvSpPr>
        <dsp:cNvPr id="0" name=""/>
        <dsp:cNvSpPr/>
      </dsp:nvSpPr>
      <dsp:spPr>
        <a:xfrm>
          <a:off x="1962016" y="2042"/>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hr-HR" sz="900" kern="1200">
              <a:solidFill>
                <a:sysClr val="window" lastClr="FFFFFF"/>
              </a:solidFill>
              <a:latin typeface="Calibri" panose="020F0502020204030204"/>
              <a:ea typeface="+mn-ea"/>
              <a:cs typeface="+mn-cs"/>
            </a:rPr>
            <a:t>NOSITELJI MJERA</a:t>
          </a:r>
          <a:endParaRPr lang="en-GB" sz="900" kern="1200">
            <a:solidFill>
              <a:sysClr val="window" lastClr="FFFFFF"/>
            </a:solidFill>
            <a:latin typeface="Calibri" panose="020F0502020204030204"/>
            <a:ea typeface="+mn-ea"/>
            <a:cs typeface="+mn-cs"/>
          </a:endParaRPr>
        </a:p>
      </dsp:txBody>
      <dsp:txXfrm>
        <a:off x="1962016" y="2042"/>
        <a:ext cx="1356574" cy="678287"/>
      </dsp:txXfrm>
    </dsp:sp>
    <dsp:sp modelId="{17D0D699-F690-48C6-B2BF-D63517669CA9}">
      <dsp:nvSpPr>
        <dsp:cNvPr id="0" name=""/>
        <dsp:cNvSpPr/>
      </dsp:nvSpPr>
      <dsp:spPr>
        <a:xfrm>
          <a:off x="1141288" y="965210"/>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hr-HR" sz="900" kern="1200">
              <a:solidFill>
                <a:sysClr val="window" lastClr="FFFFFF"/>
              </a:solidFill>
              <a:latin typeface="Calibri" panose="020F0502020204030204"/>
              <a:ea typeface="+mn-ea"/>
              <a:cs typeface="+mn-cs"/>
            </a:rPr>
            <a:t>NADLEŽNA TIJELA SUKLADNO ZAKONU O UBLAŽAVANJU I UKLANJANJU POSLJEDICA PRIRODNIH NEPOGODA</a:t>
          </a:r>
          <a:endParaRPr lang="en-GB" sz="900" kern="1200">
            <a:solidFill>
              <a:sysClr val="window" lastClr="FFFFFF"/>
            </a:solidFill>
            <a:latin typeface="Calibri" panose="020F0502020204030204"/>
            <a:ea typeface="+mn-ea"/>
            <a:cs typeface="+mn-cs"/>
          </a:endParaRPr>
        </a:p>
      </dsp:txBody>
      <dsp:txXfrm>
        <a:off x="1141288" y="965210"/>
        <a:ext cx="1356574" cy="678287"/>
      </dsp:txXfrm>
    </dsp:sp>
    <dsp:sp modelId="{EE5C11EC-32BB-4AB7-88E0-F942E30379DB}">
      <dsp:nvSpPr>
        <dsp:cNvPr id="0" name=""/>
        <dsp:cNvSpPr/>
      </dsp:nvSpPr>
      <dsp:spPr>
        <a:xfrm>
          <a:off x="2782743" y="965210"/>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hr-HR" sz="900" kern="1200">
              <a:solidFill>
                <a:sysClr val="window" lastClr="FFFFFF"/>
              </a:solidFill>
              <a:latin typeface="Calibri" panose="020F0502020204030204"/>
              <a:ea typeface="+mn-ea"/>
              <a:cs typeface="+mn-cs"/>
            </a:rPr>
            <a:t>SUSTAV CIVILNE ZAŠTITE SUKLADNO ZAKONU O SUSTAVU  CIVILNE ZAŠTITE</a:t>
          </a:r>
          <a:endParaRPr lang="en-GB" sz="900" kern="1200">
            <a:solidFill>
              <a:sysClr val="window" lastClr="FFFFFF"/>
            </a:solidFill>
            <a:latin typeface="Calibri" panose="020F0502020204030204"/>
            <a:ea typeface="+mn-ea"/>
            <a:cs typeface="+mn-cs"/>
          </a:endParaRPr>
        </a:p>
      </dsp:txBody>
      <dsp:txXfrm>
        <a:off x="2782743" y="965210"/>
        <a:ext cx="1356574" cy="678287"/>
      </dsp:txXfrm>
    </dsp:sp>
    <dsp:sp modelId="{43A6D9AE-8796-499A-B351-771CA69F1B8B}">
      <dsp:nvSpPr>
        <dsp:cNvPr id="0" name=""/>
        <dsp:cNvSpPr/>
      </dsp:nvSpPr>
      <dsp:spPr>
        <a:xfrm>
          <a:off x="3121887" y="1928377"/>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hr-HR" sz="900" kern="1200">
              <a:solidFill>
                <a:sysClr val="window" lastClr="FFFFFF"/>
              </a:solidFill>
              <a:latin typeface="Calibri" panose="020F0502020204030204"/>
              <a:ea typeface="+mn-ea"/>
              <a:cs typeface="+mn-cs"/>
            </a:rPr>
            <a:t>SUDIONICI SUSTAVA CIVILNE ZAŠTITE</a:t>
          </a:r>
          <a:endParaRPr lang="en-GB" sz="900" kern="1200">
            <a:solidFill>
              <a:sysClr val="window" lastClr="FFFFFF"/>
            </a:solidFill>
            <a:latin typeface="Calibri" panose="020F0502020204030204"/>
            <a:ea typeface="+mn-ea"/>
            <a:cs typeface="+mn-cs"/>
          </a:endParaRPr>
        </a:p>
      </dsp:txBody>
      <dsp:txXfrm>
        <a:off x="3121887" y="1928377"/>
        <a:ext cx="1356574" cy="678287"/>
      </dsp:txXfrm>
    </dsp:sp>
    <dsp:sp modelId="{5A623199-204A-4564-9728-A959F15E74D4}">
      <dsp:nvSpPr>
        <dsp:cNvPr id="0" name=""/>
        <dsp:cNvSpPr/>
      </dsp:nvSpPr>
      <dsp:spPr>
        <a:xfrm>
          <a:off x="3121887" y="2891545"/>
          <a:ext cx="1356574" cy="678287"/>
        </a:xfrm>
        <a:prstGeom prst="rect">
          <a:avLst/>
        </a:prstGeom>
        <a:solidFill>
          <a:srgbClr val="4F81BD">
            <a:hueOff val="0"/>
            <a:satOff val="0"/>
            <a:lumOff val="0"/>
            <a:alphaOff val="0"/>
          </a:srgbClr>
        </a:solidFill>
        <a:ln>
          <a:noFill/>
        </a:ln>
        <a:effectLst/>
        <a:scene3d>
          <a:camera prst="orthographicFront"/>
          <a:lightRig rig="chilly" dir="t"/>
        </a:scene3d>
        <a:sp3d prstMaterial="translucentPowder">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buNone/>
          </a:pPr>
          <a:r>
            <a:rPr lang="hr-HR" sz="900" kern="1200">
              <a:solidFill>
                <a:sysClr val="window" lastClr="FFFFFF"/>
              </a:solidFill>
              <a:latin typeface="Calibri" panose="020F0502020204030204"/>
              <a:ea typeface="+mn-ea"/>
              <a:cs typeface="+mn-cs"/>
            </a:rPr>
            <a:t>OPERATIVNE SNAGE CIVILNE ZAŠTITE</a:t>
          </a:r>
          <a:endParaRPr lang="en-GB" sz="900" kern="1200">
            <a:solidFill>
              <a:sysClr val="window" lastClr="FFFFFF"/>
            </a:solidFill>
            <a:latin typeface="Calibri" panose="020F0502020204030204"/>
            <a:ea typeface="+mn-ea"/>
            <a:cs typeface="+mn-cs"/>
          </a:endParaRPr>
        </a:p>
      </dsp:txBody>
      <dsp:txXfrm>
        <a:off x="3121887" y="2891545"/>
        <a:ext cx="1356574" cy="67828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linDir" val="fromT"/>
                  <dgm:param type="chAlign" val="r"/>
                </dgm:alg>
              </dgm:if>
              <dgm:if name="Name23" func="var" arg="hierBranch" op="equ" val="r">
                <dgm:alg type="hierChild">
                  <dgm:param type="linDir" val="fromT"/>
                  <dgm:param type="chAlign" val="l"/>
                </dgm:alg>
              </dgm:if>
              <dgm:if name="Name24" func="var" arg="hierBranch" op="equ" val="hang">
                <dgm:choose name="Name25">
                  <dgm:if name="Name26" func="var" arg="dir" op="equ" val="norm">
                    <dgm:alg type="hierChild">
                      <dgm:param type="linDir" val="fromL"/>
                      <dgm:param type="chAlign" val="l"/>
                      <dgm:param type="secLinDir" val="fromT"/>
                      <dgm:param type="secChAlign" val="t"/>
                    </dgm:alg>
                  </dgm:if>
                  <dgm:else name="Name27">
                    <dgm:alg type="hierChild">
                      <dgm:param type="linDir" val="fromR"/>
                      <dgm:param type="chAlign" val="l"/>
                      <dgm:param type="secLinDir" val="fromT"/>
                      <dgm:param type="secChAlign" val="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dim" val="1D"/>
                        <dgm:param type="endSty" val="noArr"/>
                        <dgm:param type="connRout" val="bend"/>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dim" val="1D"/>
                            <dgm:param type="endSty" val="noArr"/>
                            <dgm:param type="connRout" val="bend"/>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dim" val="1D"/>
                                    <dgm:param type="endSty" val="noArr"/>
                                    <dgm:param type="connRout" val="bend"/>
                                    <dgm:param type="begPts" val="bCtr"/>
                                    <dgm:param type="endPts" val="midL midR"/>
                                  </dgm:alg>
                                </dgm:if>
                                <dgm:else name="Name45">
                                  <dgm:alg type="conn">
                                    <dgm:param type="srcNode" val="rootConnector"/>
                                    <dgm:param type="dim" val="1D"/>
                                    <dgm:param type="endSty" val="noArr"/>
                                    <dgm:param type="connRout" val="bend"/>
                                    <dgm:param type="begPts" val="bCtr"/>
                                    <dgm:param type="endPts" val="midL midR"/>
                                  </dgm:alg>
                                </dgm:else>
                              </dgm:choose>
                            </dgm:if>
                            <dgm:else name="Name46">
                              <dgm:alg type="conn">
                                <dgm:param type="dim" val="1D"/>
                                <dgm:param type="endSty" val="noArr"/>
                                <dgm:param type="connRout" val="bend"/>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dim" val="1D"/>
                                <dgm:param type="endSty" val="noArr"/>
                                <dgm:param type="connRout" val="bend"/>
                                <dgm:param type="begPts" val="bCtr"/>
                                <dgm:param type="endPts" val="midL midR"/>
                              </dgm:alg>
                            </dgm:if>
                            <dgm:else name="Name55">
                              <dgm:alg type="conn">
                                <dgm:param type="srcNode" val="rootConnector1"/>
                                <dgm:param type="dim" val="1D"/>
                                <dgm:param type="endSty" val="noArr"/>
                                <dgm:param type="connRout" val="bend"/>
                                <dgm:param type="begPts" val="bCtr"/>
                                <dgm:param type="endPts" val="midL midR"/>
                              </dgm:alg>
                            </dgm:else>
                          </dgm:choose>
                        </dgm:if>
                        <dgm:else name="Name56">
                          <dgm:choose name="Name57">
                            <dgm:if name="Name58" axis="par ch" ptType="node asst" func="cnt" op="gte" val="1">
                              <dgm:alg type="conn">
                                <dgm:param type="dim" val="1D"/>
                                <dgm:param type="endSty" val="noArr"/>
                                <dgm:param type="connRout" val="bend"/>
                                <dgm:param type="begPts" val="bCtr"/>
                                <dgm:param type="endPts" val="midL midR"/>
                              </dgm:alg>
                            </dgm:if>
                            <dgm:else name="Name59">
                              <dgm:alg type="conn">
                                <dgm:param type="srcNode" val="rootConnector"/>
                                <dgm:param type="dim" val="1D"/>
                                <dgm:param type="endSty" val="noArr"/>
                                <dgm:param type="connRout" val="bend"/>
                                <dgm:param type="begPts" val="bCtr"/>
                                <dgm:param type="endPts" val="midL mid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linDir" val="fromT"/>
                        <dgm:param type="chAlign" val="r"/>
                      </dgm:alg>
                    </dgm:if>
                    <dgm:if name="Name85" func="var" arg="hierBranch" op="equ" val="r">
                      <dgm:alg type="hierChild">
                        <dgm:param type="linDir" val="fromT"/>
                        <dgm:param type="chAlign" val="l"/>
                      </dgm:alg>
                    </dgm:if>
                    <dgm:if name="Name86" func="var" arg="hierBranch" op="equ" val="hang">
                      <dgm:choose name="Name87">
                        <dgm:if name="Name88" func="var" arg="dir" op="equ" val="norm">
                          <dgm:alg type="hierChild">
                            <dgm:param type="linDir" val="fromL"/>
                            <dgm:param type="chAlign" val="l"/>
                            <dgm:param type="secLinDir" val="fromT"/>
                            <dgm:param type="secChAlign" val="t"/>
                          </dgm:alg>
                        </dgm:if>
                        <dgm:else name="Name89">
                          <dgm:alg type="hierChild">
                            <dgm:param type="linDir" val="fromR"/>
                            <dgm:param type="chAlign" val="l"/>
                            <dgm:param type="secLinDir" val="fromT"/>
                            <dgm:param type="secChAlign" val="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linDir" val="fromT"/>
                            <dgm:param type="chAlign" val="l"/>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linDir" val="fromL"/>
                        <dgm:param type="chAlign" val="l"/>
                        <dgm:param type="secLinDir" val="fromT"/>
                        <dgm:param type="secChAlign" val="t"/>
                      </dgm:alg>
                    </dgm:if>
                    <dgm:else name="Name105">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linDir" val="fromL"/>
                  <dgm:param type="chAlign" val="l"/>
                  <dgm:param type="secLinDir" val="fromT"/>
                  <dgm:param type="secChAlign" val="t"/>
                </dgm:alg>
              </dgm:if>
              <dgm:else name="Name109">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dim" val="1D"/>
                    <dgm:param type="endSty" val="noArr"/>
                    <dgm:param type="connRout" val="bend"/>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linDir" val="fromT"/>
                        <dgm:param type="chAlign" val="r"/>
                      </dgm:alg>
                    </dgm:if>
                    <dgm:if name="Name129" func="var" arg="hierBranch" op="equ" val="r">
                      <dgm:alg type="hierChild">
                        <dgm:param type="linDir" val="fromT"/>
                        <dgm:param type="chAlign" val="l"/>
                      </dgm:alg>
                    </dgm:if>
                    <dgm:if name="Name130" func="var" arg="hierBranch" op="equ" val="hang">
                      <dgm:choose name="Name131">
                        <dgm:if name="Name132" func="var" arg="dir" op="equ" val="norm">
                          <dgm:alg type="hierChild">
                            <dgm:param type="linDir" val="fromL"/>
                            <dgm:param type="chAlign" val="l"/>
                            <dgm:param type="secLinDir" val="fromT"/>
                            <dgm:param type="secChAlign" val="t"/>
                          </dgm:alg>
                        </dgm:if>
                        <dgm:else name="Name133">
                          <dgm:alg type="hierChild">
                            <dgm:param type="linDir" val="fromR"/>
                            <dgm:param type="chAlign" val="l"/>
                            <dgm:param type="secLinDir" val="fromT"/>
                            <dgm:param type="secChAlign" val="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linDir" val="fromT"/>
                            <dgm:param type="chAlign" val="l"/>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linDir" val="fromL"/>
                        <dgm:param type="chAlign" val="l"/>
                        <dgm:param type="secLinDir" val="fromT"/>
                        <dgm:param type="secChAlign" val="t"/>
                      </dgm:alg>
                    </dgm:if>
                    <dgm:else name="Name146">
                      <dgm:alg type="hierChild">
                        <dgm:param type="linDir" val="fromR"/>
                        <dgm:param type="chAlign" val="l"/>
                        <dgm:param type="secLinDir" val="fromT"/>
                        <dgm:param type="secChAlign" val="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1">
  <dgm:title val=""/>
  <dgm:desc val=""/>
  <dgm:catLst>
    <dgm:cat type="3D" pri="11400"/>
  </dgm:catLst>
  <dgm:scene3d>
    <a:camera prst="orthographicFront"/>
    <a:lightRig rig="threePt" dir="t"/>
  </dgm:scene3d>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6B0B9-50DC-437F-9957-DA0211782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254</Pages>
  <Words>76547</Words>
  <Characters>436324</Characters>
  <Application>Microsoft Office Word</Application>
  <DocSecurity>0</DocSecurity>
  <Lines>3636</Lines>
  <Paragraphs>1023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511848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OGB</dc:creator>
  <cp:lastModifiedBy>X</cp:lastModifiedBy>
  <cp:revision>3</cp:revision>
  <dcterms:created xsi:type="dcterms:W3CDTF">2026-06-12T09:59:00Z</dcterms:created>
  <dcterms:modified xsi:type="dcterms:W3CDTF">2026-07-20T11:50:00Z</dcterms:modified>
</cp:coreProperties>
</file>