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51D" w:rsidRPr="00657414" w:rsidRDefault="0042351D" w:rsidP="0042351D">
      <w:pPr>
        <w:pStyle w:val="Bezproreda"/>
        <w:ind w:left="708"/>
        <w:rPr>
          <w:b/>
          <w:color w:val="262626"/>
          <w:sz w:val="28"/>
          <w:szCs w:val="25"/>
        </w:rPr>
      </w:pPr>
      <w:r>
        <w:rPr>
          <w:b/>
          <w:color w:val="262626"/>
          <w:sz w:val="28"/>
          <w:szCs w:val="25"/>
        </w:rPr>
        <w:t xml:space="preserve">        </w:t>
      </w:r>
      <w:r w:rsidRPr="005D323C">
        <w:rPr>
          <w:noProof/>
          <w:color w:val="262626"/>
          <w:lang w:eastAsia="hr-HR"/>
        </w:rPr>
        <w:drawing>
          <wp:inline distT="0" distB="0" distL="0" distR="0">
            <wp:extent cx="399600" cy="495300"/>
            <wp:effectExtent l="19050" t="0" r="450" b="0"/>
            <wp:docPr id="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tretch>
                      <a:fillRect/>
                    </a:stretch>
                  </pic:blipFill>
                  <pic:spPr>
                    <a:xfrm>
                      <a:off x="0" y="0"/>
                      <a:ext cx="399600" cy="495300"/>
                    </a:xfrm>
                    <a:prstGeom prst="rect">
                      <a:avLst/>
                    </a:prstGeom>
                  </pic:spPr>
                </pic:pic>
              </a:graphicData>
            </a:graphic>
          </wp:inline>
        </w:drawing>
      </w:r>
    </w:p>
    <w:p w:rsidR="0042351D" w:rsidRPr="00657414" w:rsidRDefault="0042351D" w:rsidP="0042351D">
      <w:pPr>
        <w:pStyle w:val="Bezproreda"/>
        <w:rPr>
          <w:b/>
          <w:color w:val="262626"/>
          <w:sz w:val="28"/>
          <w:szCs w:val="25"/>
        </w:rPr>
      </w:pPr>
      <w:r w:rsidRPr="00657414">
        <w:rPr>
          <w:b/>
          <w:color w:val="262626"/>
          <w:sz w:val="20"/>
          <w:szCs w:val="25"/>
        </w:rPr>
        <w:t>R</w:t>
      </w:r>
      <w:r>
        <w:rPr>
          <w:b/>
          <w:color w:val="262626"/>
          <w:sz w:val="20"/>
          <w:szCs w:val="25"/>
        </w:rPr>
        <w:t xml:space="preserve"> </w:t>
      </w:r>
      <w:r w:rsidRPr="00657414">
        <w:rPr>
          <w:b/>
          <w:color w:val="262626"/>
          <w:sz w:val="20"/>
          <w:szCs w:val="25"/>
        </w:rPr>
        <w:t>E</w:t>
      </w:r>
      <w:r>
        <w:rPr>
          <w:b/>
          <w:color w:val="262626"/>
          <w:sz w:val="20"/>
          <w:szCs w:val="25"/>
        </w:rPr>
        <w:t xml:space="preserve"> </w:t>
      </w:r>
      <w:r w:rsidRPr="00657414">
        <w:rPr>
          <w:b/>
          <w:color w:val="262626"/>
          <w:sz w:val="20"/>
          <w:szCs w:val="25"/>
        </w:rPr>
        <w:t>P</w:t>
      </w:r>
      <w:r>
        <w:rPr>
          <w:b/>
          <w:color w:val="262626"/>
          <w:sz w:val="20"/>
          <w:szCs w:val="25"/>
        </w:rPr>
        <w:t xml:space="preserve"> </w:t>
      </w:r>
      <w:r w:rsidRPr="00657414">
        <w:rPr>
          <w:b/>
          <w:color w:val="262626"/>
          <w:sz w:val="20"/>
          <w:szCs w:val="25"/>
        </w:rPr>
        <w:t>U</w:t>
      </w:r>
      <w:r>
        <w:rPr>
          <w:b/>
          <w:color w:val="262626"/>
          <w:sz w:val="20"/>
          <w:szCs w:val="25"/>
        </w:rPr>
        <w:t xml:space="preserve"> </w:t>
      </w:r>
      <w:r w:rsidRPr="00657414">
        <w:rPr>
          <w:b/>
          <w:color w:val="262626"/>
          <w:sz w:val="20"/>
          <w:szCs w:val="25"/>
        </w:rPr>
        <w:t>B</w:t>
      </w:r>
      <w:r>
        <w:rPr>
          <w:b/>
          <w:color w:val="262626"/>
          <w:sz w:val="20"/>
          <w:szCs w:val="25"/>
        </w:rPr>
        <w:t xml:space="preserve"> </w:t>
      </w:r>
      <w:r w:rsidRPr="00657414">
        <w:rPr>
          <w:b/>
          <w:color w:val="262626"/>
          <w:sz w:val="20"/>
          <w:szCs w:val="25"/>
        </w:rPr>
        <w:t>L</w:t>
      </w:r>
      <w:r>
        <w:rPr>
          <w:b/>
          <w:color w:val="262626"/>
          <w:sz w:val="20"/>
          <w:szCs w:val="25"/>
        </w:rPr>
        <w:t xml:space="preserve"> </w:t>
      </w:r>
      <w:r w:rsidRPr="00657414">
        <w:rPr>
          <w:b/>
          <w:color w:val="262626"/>
          <w:sz w:val="20"/>
          <w:szCs w:val="25"/>
        </w:rPr>
        <w:t>I</w:t>
      </w:r>
      <w:r>
        <w:rPr>
          <w:b/>
          <w:color w:val="262626"/>
          <w:sz w:val="20"/>
          <w:szCs w:val="25"/>
        </w:rPr>
        <w:t xml:space="preserve"> </w:t>
      </w:r>
      <w:r w:rsidRPr="00657414">
        <w:rPr>
          <w:b/>
          <w:color w:val="262626"/>
          <w:sz w:val="20"/>
          <w:szCs w:val="25"/>
        </w:rPr>
        <w:t>K</w:t>
      </w:r>
      <w:r>
        <w:rPr>
          <w:b/>
          <w:color w:val="262626"/>
          <w:sz w:val="20"/>
          <w:szCs w:val="25"/>
        </w:rPr>
        <w:t xml:space="preserve"> </w:t>
      </w:r>
      <w:r w:rsidRPr="00657414">
        <w:rPr>
          <w:b/>
          <w:color w:val="262626"/>
          <w:sz w:val="20"/>
          <w:szCs w:val="25"/>
        </w:rPr>
        <w:t>A</w:t>
      </w:r>
      <w:r>
        <w:rPr>
          <w:b/>
          <w:color w:val="262626"/>
          <w:sz w:val="20"/>
          <w:szCs w:val="25"/>
        </w:rPr>
        <w:t xml:space="preserve"> </w:t>
      </w:r>
      <w:r w:rsidRPr="00657414">
        <w:rPr>
          <w:b/>
          <w:color w:val="262626"/>
          <w:sz w:val="20"/>
          <w:szCs w:val="25"/>
        </w:rPr>
        <w:t xml:space="preserve"> H</w:t>
      </w:r>
      <w:r>
        <w:rPr>
          <w:b/>
          <w:color w:val="262626"/>
          <w:sz w:val="20"/>
          <w:szCs w:val="25"/>
        </w:rPr>
        <w:t xml:space="preserve"> </w:t>
      </w:r>
      <w:r w:rsidRPr="00657414">
        <w:rPr>
          <w:b/>
          <w:color w:val="262626"/>
          <w:sz w:val="20"/>
          <w:szCs w:val="25"/>
        </w:rPr>
        <w:t>R</w:t>
      </w:r>
      <w:r>
        <w:rPr>
          <w:b/>
          <w:color w:val="262626"/>
          <w:sz w:val="20"/>
          <w:szCs w:val="25"/>
        </w:rPr>
        <w:t xml:space="preserve"> </w:t>
      </w:r>
      <w:r w:rsidRPr="00657414">
        <w:rPr>
          <w:b/>
          <w:color w:val="262626"/>
          <w:sz w:val="20"/>
          <w:szCs w:val="25"/>
        </w:rPr>
        <w:t>V</w:t>
      </w:r>
      <w:r>
        <w:rPr>
          <w:b/>
          <w:color w:val="262626"/>
          <w:sz w:val="20"/>
          <w:szCs w:val="25"/>
        </w:rPr>
        <w:t xml:space="preserve"> </w:t>
      </w:r>
      <w:r w:rsidRPr="00657414">
        <w:rPr>
          <w:b/>
          <w:color w:val="262626"/>
          <w:sz w:val="20"/>
          <w:szCs w:val="25"/>
        </w:rPr>
        <w:t>A</w:t>
      </w:r>
      <w:r>
        <w:rPr>
          <w:b/>
          <w:color w:val="262626"/>
          <w:sz w:val="20"/>
          <w:szCs w:val="25"/>
        </w:rPr>
        <w:t xml:space="preserve"> </w:t>
      </w:r>
      <w:r w:rsidRPr="00657414">
        <w:rPr>
          <w:b/>
          <w:color w:val="262626"/>
          <w:sz w:val="20"/>
          <w:szCs w:val="25"/>
        </w:rPr>
        <w:t>T</w:t>
      </w:r>
      <w:r>
        <w:rPr>
          <w:b/>
          <w:color w:val="262626"/>
          <w:sz w:val="20"/>
          <w:szCs w:val="25"/>
        </w:rPr>
        <w:t xml:space="preserve"> </w:t>
      </w:r>
      <w:r w:rsidRPr="00657414">
        <w:rPr>
          <w:b/>
          <w:color w:val="262626"/>
          <w:sz w:val="20"/>
          <w:szCs w:val="25"/>
        </w:rPr>
        <w:t>S</w:t>
      </w:r>
      <w:r>
        <w:rPr>
          <w:b/>
          <w:color w:val="262626"/>
          <w:sz w:val="20"/>
          <w:szCs w:val="25"/>
        </w:rPr>
        <w:t xml:space="preserve"> </w:t>
      </w:r>
      <w:r w:rsidRPr="00657414">
        <w:rPr>
          <w:b/>
          <w:color w:val="262626"/>
          <w:sz w:val="20"/>
          <w:szCs w:val="25"/>
        </w:rPr>
        <w:t>K</w:t>
      </w:r>
      <w:r>
        <w:rPr>
          <w:b/>
          <w:color w:val="262626"/>
          <w:sz w:val="20"/>
          <w:szCs w:val="25"/>
        </w:rPr>
        <w:t xml:space="preserve"> </w:t>
      </w:r>
      <w:r w:rsidRPr="00657414">
        <w:rPr>
          <w:b/>
          <w:color w:val="262626"/>
          <w:sz w:val="20"/>
          <w:szCs w:val="25"/>
        </w:rPr>
        <w:t>A</w:t>
      </w:r>
    </w:p>
    <w:p w:rsidR="0042351D" w:rsidRPr="00657414" w:rsidRDefault="0042351D" w:rsidP="0042351D">
      <w:pPr>
        <w:pStyle w:val="Bezproreda"/>
        <w:rPr>
          <w:b/>
          <w:color w:val="262626"/>
          <w:sz w:val="19"/>
          <w:szCs w:val="19"/>
        </w:rPr>
      </w:pPr>
      <w:r w:rsidRPr="00657414">
        <w:rPr>
          <w:b/>
          <w:color w:val="262626"/>
          <w:sz w:val="20"/>
          <w:szCs w:val="19"/>
        </w:rPr>
        <w:t>BRODSKO-POSAVSKA ŽUPANIJA</w:t>
      </w:r>
    </w:p>
    <w:p w:rsidR="0042351D" w:rsidRPr="00657414" w:rsidRDefault="0042351D" w:rsidP="0042351D">
      <w:pPr>
        <w:pStyle w:val="Bezproreda"/>
        <w:rPr>
          <w:b/>
          <w:color w:val="262626"/>
          <w:sz w:val="4"/>
          <w:szCs w:val="19"/>
        </w:rPr>
      </w:pPr>
    </w:p>
    <w:tbl>
      <w:tblPr>
        <w:tblW w:w="0" w:type="auto"/>
        <w:tblInd w:w="250" w:type="dxa"/>
        <w:tblLayout w:type="fixed"/>
        <w:tblLook w:val="04A0"/>
      </w:tblPr>
      <w:tblGrid>
        <w:gridCol w:w="733"/>
        <w:gridCol w:w="2244"/>
      </w:tblGrid>
      <w:tr w:rsidR="0042351D" w:rsidRPr="00657414" w:rsidTr="00C449DC">
        <w:trPr>
          <w:trHeight w:val="143"/>
          <w:tblHeader/>
        </w:trPr>
        <w:tc>
          <w:tcPr>
            <w:tcW w:w="733" w:type="dxa"/>
          </w:tcPr>
          <w:p w:rsidR="0042351D" w:rsidRPr="00657414" w:rsidRDefault="0042351D" w:rsidP="00C449DC">
            <w:pPr>
              <w:pStyle w:val="Bezproreda"/>
              <w:jc w:val="center"/>
              <w:rPr>
                <w:rFonts w:ascii="Calibri" w:hAnsi="Calibri"/>
                <w:b/>
                <w:color w:val="262626"/>
              </w:rPr>
            </w:pPr>
            <w:r>
              <w:rPr>
                <w:rFonts w:ascii="Calibri" w:hAnsi="Calibri"/>
                <w:b/>
                <w:noProof/>
                <w:color w:val="262626"/>
                <w:lang w:eastAsia="hr-HR"/>
              </w:rPr>
              <w:drawing>
                <wp:inline distT="0" distB="0" distL="0" distR="0">
                  <wp:extent cx="371475" cy="495300"/>
                  <wp:effectExtent l="0" t="0" r="9525" b="0"/>
                  <wp:docPr id="6" name="il_fi" descr="http://upload.wikimedia.org/wikipedia/hr/4/47/Gornji_Bogi%C4%87evci_(g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hr/4/47/Gornji_Bogi%C4%87evci_(grb).gif"/>
                          <pic:cNvPicPr>
                            <a:picLocks noChangeAspect="1" noChangeArrowheads="1"/>
                          </pic:cNvPicPr>
                        </pic:nvPicPr>
                        <pic:blipFill>
                          <a:blip r:embed="rId5" cstate="print"/>
                          <a:srcRect/>
                          <a:stretch>
                            <a:fillRect/>
                          </a:stretch>
                        </pic:blipFill>
                        <pic:spPr bwMode="auto">
                          <a:xfrm>
                            <a:off x="0" y="0"/>
                            <a:ext cx="371475" cy="495300"/>
                          </a:xfrm>
                          <a:prstGeom prst="rect">
                            <a:avLst/>
                          </a:prstGeom>
                          <a:noFill/>
                          <a:ln w="9525">
                            <a:noFill/>
                            <a:miter lim="800000"/>
                            <a:headEnd/>
                            <a:tailEnd/>
                          </a:ln>
                        </pic:spPr>
                      </pic:pic>
                    </a:graphicData>
                  </a:graphic>
                </wp:inline>
              </w:drawing>
            </w:r>
          </w:p>
        </w:tc>
        <w:tc>
          <w:tcPr>
            <w:tcW w:w="2244" w:type="dxa"/>
            <w:vAlign w:val="center"/>
          </w:tcPr>
          <w:p w:rsidR="0042351D" w:rsidRPr="00657414" w:rsidRDefault="0042351D" w:rsidP="00C449DC">
            <w:pPr>
              <w:pStyle w:val="Bezproreda"/>
              <w:jc w:val="center"/>
              <w:rPr>
                <w:b/>
                <w:color w:val="262626"/>
                <w:sz w:val="28"/>
              </w:rPr>
            </w:pPr>
            <w:r w:rsidRPr="00657414">
              <w:rPr>
                <w:b/>
                <w:color w:val="262626"/>
                <w:sz w:val="20"/>
              </w:rPr>
              <w:t xml:space="preserve">OPĆINA </w:t>
            </w:r>
            <w:r>
              <w:rPr>
                <w:b/>
                <w:color w:val="262626"/>
                <w:sz w:val="20"/>
              </w:rPr>
              <w:t>GORNJI BOGIĆEVCI</w:t>
            </w:r>
          </w:p>
          <w:p w:rsidR="0042351D" w:rsidRPr="00657414" w:rsidRDefault="0042351D" w:rsidP="00C449DC">
            <w:pPr>
              <w:pStyle w:val="Bezproreda"/>
              <w:jc w:val="center"/>
              <w:rPr>
                <w:b/>
                <w:color w:val="262626"/>
                <w:sz w:val="28"/>
              </w:rPr>
            </w:pPr>
            <w:r w:rsidRPr="00657414">
              <w:rPr>
                <w:color w:val="262626"/>
                <w:sz w:val="20"/>
              </w:rPr>
              <w:t>Jedinstveni upravni odjel</w:t>
            </w:r>
          </w:p>
        </w:tc>
      </w:tr>
    </w:tbl>
    <w:p w:rsidR="00317CCD" w:rsidRDefault="00317CCD"/>
    <w:p w:rsidR="00703BAA" w:rsidRDefault="00703BAA" w:rsidP="00703BAA">
      <w:pPr>
        <w:pStyle w:val="Default"/>
      </w:pPr>
    </w:p>
    <w:p w:rsidR="00703BAA" w:rsidRDefault="00703BAA" w:rsidP="00703BAA">
      <w:pPr>
        <w:pStyle w:val="Default"/>
        <w:jc w:val="center"/>
        <w:rPr>
          <w:sz w:val="22"/>
          <w:szCs w:val="22"/>
        </w:rPr>
      </w:pPr>
      <w:r>
        <w:rPr>
          <w:b/>
          <w:bCs/>
          <w:sz w:val="22"/>
          <w:szCs w:val="22"/>
        </w:rPr>
        <w:t>O B J A V LJ U J E</w:t>
      </w:r>
    </w:p>
    <w:p w:rsidR="00703BAA" w:rsidRDefault="00703BAA" w:rsidP="00703BAA">
      <w:pPr>
        <w:pStyle w:val="Default"/>
        <w:jc w:val="center"/>
        <w:rPr>
          <w:sz w:val="36"/>
          <w:szCs w:val="36"/>
        </w:rPr>
      </w:pPr>
      <w:r>
        <w:rPr>
          <w:b/>
          <w:bCs/>
          <w:sz w:val="36"/>
          <w:szCs w:val="36"/>
        </w:rPr>
        <w:t>OTVORENI JAVNI POZIV</w:t>
      </w:r>
    </w:p>
    <w:p w:rsidR="00703BAA" w:rsidRDefault="00703BAA" w:rsidP="00703BAA">
      <w:pPr>
        <w:pStyle w:val="Default"/>
        <w:jc w:val="center"/>
        <w:rPr>
          <w:b/>
          <w:bCs/>
          <w:sz w:val="32"/>
          <w:szCs w:val="32"/>
        </w:rPr>
      </w:pPr>
      <w:r>
        <w:rPr>
          <w:b/>
          <w:bCs/>
          <w:sz w:val="32"/>
          <w:szCs w:val="32"/>
        </w:rPr>
        <w:t>za Program „Razvoj mikro poduzetništva</w:t>
      </w:r>
      <w:r w:rsidR="0078113C">
        <w:rPr>
          <w:b/>
          <w:bCs/>
          <w:sz w:val="32"/>
          <w:szCs w:val="32"/>
        </w:rPr>
        <w:t xml:space="preserve"> – RMP/20</w:t>
      </w:r>
      <w:r w:rsidR="0041006D">
        <w:rPr>
          <w:b/>
          <w:bCs/>
          <w:sz w:val="32"/>
          <w:szCs w:val="32"/>
        </w:rPr>
        <w:t>2</w:t>
      </w:r>
      <w:r w:rsidR="00BF09DB">
        <w:rPr>
          <w:b/>
          <w:bCs/>
          <w:sz w:val="32"/>
          <w:szCs w:val="32"/>
        </w:rPr>
        <w:t>5</w:t>
      </w:r>
      <w:r>
        <w:rPr>
          <w:b/>
          <w:bCs/>
          <w:sz w:val="32"/>
          <w:szCs w:val="32"/>
        </w:rPr>
        <w:t>“</w:t>
      </w:r>
    </w:p>
    <w:p w:rsidR="00703BAA" w:rsidRDefault="00703BAA" w:rsidP="00703BAA">
      <w:pPr>
        <w:pStyle w:val="Default"/>
        <w:jc w:val="center"/>
        <w:rPr>
          <w:sz w:val="32"/>
          <w:szCs w:val="32"/>
        </w:rPr>
      </w:pPr>
    </w:p>
    <w:p w:rsidR="00703BAA" w:rsidRDefault="00703BAA" w:rsidP="00703BAA">
      <w:pPr>
        <w:pStyle w:val="Default"/>
        <w:rPr>
          <w:sz w:val="22"/>
          <w:szCs w:val="22"/>
        </w:rPr>
      </w:pPr>
      <w:r>
        <w:rPr>
          <w:b/>
          <w:bCs/>
          <w:sz w:val="22"/>
          <w:szCs w:val="22"/>
        </w:rPr>
        <w:t xml:space="preserve">1. PREDMET I TRAJANJE OTVORENOG JAVNOG POZIVA </w:t>
      </w:r>
    </w:p>
    <w:p w:rsidR="00703BAA" w:rsidRDefault="00703BAA" w:rsidP="007B1F8C">
      <w:pPr>
        <w:pStyle w:val="Default"/>
        <w:jc w:val="both"/>
        <w:rPr>
          <w:sz w:val="22"/>
          <w:szCs w:val="22"/>
        </w:rPr>
      </w:pPr>
      <w:r>
        <w:rPr>
          <w:sz w:val="22"/>
          <w:szCs w:val="22"/>
        </w:rPr>
        <w:t xml:space="preserve">Predmet ovog Otvorenog javnog poziva je dodjela bespovratnih sredstava Općine Gornji </w:t>
      </w:r>
      <w:proofErr w:type="spellStart"/>
      <w:r>
        <w:rPr>
          <w:sz w:val="22"/>
          <w:szCs w:val="22"/>
        </w:rPr>
        <w:t>Bogićevci</w:t>
      </w:r>
      <w:proofErr w:type="spellEnd"/>
      <w:r>
        <w:rPr>
          <w:sz w:val="22"/>
          <w:szCs w:val="22"/>
        </w:rPr>
        <w:t>, poduzetništva i obrta (u daljnjem tekstu: Općina) temeljem Programa „Razvoj mikro poduzetništva“ za 20</w:t>
      </w:r>
      <w:r w:rsidR="00110946">
        <w:rPr>
          <w:sz w:val="22"/>
          <w:szCs w:val="22"/>
        </w:rPr>
        <w:t>2</w:t>
      </w:r>
      <w:r w:rsidR="00BF09DB">
        <w:rPr>
          <w:sz w:val="22"/>
          <w:szCs w:val="22"/>
        </w:rPr>
        <w:t>5</w:t>
      </w:r>
      <w:r>
        <w:rPr>
          <w:sz w:val="22"/>
          <w:szCs w:val="22"/>
        </w:rPr>
        <w:t xml:space="preserve">. godinu (u daljnjem tekstu: Program). </w:t>
      </w:r>
    </w:p>
    <w:p w:rsidR="00703BAA" w:rsidRDefault="00703BAA" w:rsidP="007B1F8C">
      <w:pPr>
        <w:pStyle w:val="Default"/>
        <w:jc w:val="both"/>
        <w:rPr>
          <w:b/>
          <w:bCs/>
          <w:sz w:val="22"/>
          <w:szCs w:val="22"/>
        </w:rPr>
      </w:pPr>
      <w:r>
        <w:rPr>
          <w:sz w:val="22"/>
          <w:szCs w:val="22"/>
        </w:rPr>
        <w:t xml:space="preserve">Poziv se objavljuje na mrežnim stranicama </w:t>
      </w:r>
      <w:r w:rsidR="007B1F8C">
        <w:rPr>
          <w:sz w:val="22"/>
          <w:szCs w:val="22"/>
        </w:rPr>
        <w:t>Općine</w:t>
      </w:r>
      <w:r>
        <w:rPr>
          <w:sz w:val="22"/>
          <w:szCs w:val="22"/>
        </w:rPr>
        <w:t xml:space="preserve"> (</w:t>
      </w:r>
      <w:hyperlink r:id="rId6" w:history="1">
        <w:bookmarkStart w:id="0" w:name="_Hlk527970450"/>
        <w:r w:rsidR="007B1F8C" w:rsidRPr="00FD18CB">
          <w:rPr>
            <w:rStyle w:val="Hiperveza"/>
            <w:sz w:val="22"/>
            <w:szCs w:val="22"/>
          </w:rPr>
          <w:t>www.opcinagornjibogicevci</w:t>
        </w:r>
        <w:bookmarkEnd w:id="0"/>
        <w:r w:rsidR="007B1F8C" w:rsidRPr="00FD18CB">
          <w:rPr>
            <w:rStyle w:val="Hiperveza"/>
            <w:sz w:val="22"/>
            <w:szCs w:val="22"/>
          </w:rPr>
          <w:t>.hr</w:t>
        </w:r>
      </w:hyperlink>
      <w:r w:rsidR="007B1F8C">
        <w:rPr>
          <w:sz w:val="22"/>
          <w:szCs w:val="22"/>
        </w:rPr>
        <w:t xml:space="preserve"> </w:t>
      </w:r>
      <w:r>
        <w:rPr>
          <w:sz w:val="22"/>
          <w:szCs w:val="22"/>
        </w:rPr>
        <w:t xml:space="preserve">). Prijave se zaprimaju isključivo </w:t>
      </w:r>
      <w:r w:rsidRPr="00C95CF2">
        <w:rPr>
          <w:b/>
          <w:bCs/>
          <w:sz w:val="22"/>
          <w:szCs w:val="22"/>
        </w:rPr>
        <w:t xml:space="preserve">od </w:t>
      </w:r>
      <w:r w:rsidR="00C95CF2" w:rsidRPr="00C95CF2">
        <w:rPr>
          <w:b/>
          <w:bCs/>
          <w:sz w:val="22"/>
          <w:szCs w:val="22"/>
        </w:rPr>
        <w:t>dana objave ovog Poziva</w:t>
      </w:r>
      <w:r w:rsidR="00C95CF2">
        <w:rPr>
          <w:b/>
          <w:bCs/>
          <w:sz w:val="22"/>
          <w:szCs w:val="22"/>
        </w:rPr>
        <w:t>.</w:t>
      </w:r>
      <w:r w:rsidR="00C95CF2">
        <w:rPr>
          <w:sz w:val="22"/>
          <w:szCs w:val="22"/>
        </w:rPr>
        <w:t xml:space="preserve"> </w:t>
      </w:r>
      <w:r>
        <w:rPr>
          <w:sz w:val="22"/>
          <w:szCs w:val="22"/>
        </w:rPr>
        <w:t xml:space="preserve">Otvoreni javni poziv je otvoren </w:t>
      </w:r>
      <w:r>
        <w:rPr>
          <w:b/>
          <w:bCs/>
          <w:sz w:val="22"/>
          <w:szCs w:val="22"/>
        </w:rPr>
        <w:t xml:space="preserve">do </w:t>
      </w:r>
      <w:r w:rsidR="00BF09DB">
        <w:rPr>
          <w:b/>
          <w:bCs/>
          <w:sz w:val="22"/>
          <w:szCs w:val="22"/>
        </w:rPr>
        <w:t>10</w:t>
      </w:r>
      <w:r>
        <w:rPr>
          <w:b/>
          <w:bCs/>
          <w:sz w:val="22"/>
          <w:szCs w:val="22"/>
        </w:rPr>
        <w:t xml:space="preserve">. </w:t>
      </w:r>
      <w:r w:rsidR="00356188">
        <w:rPr>
          <w:b/>
          <w:bCs/>
          <w:sz w:val="22"/>
          <w:szCs w:val="22"/>
        </w:rPr>
        <w:t>prosinca</w:t>
      </w:r>
      <w:r w:rsidR="00BF09DB">
        <w:rPr>
          <w:b/>
          <w:bCs/>
          <w:sz w:val="22"/>
          <w:szCs w:val="22"/>
        </w:rPr>
        <w:t xml:space="preserve"> </w:t>
      </w:r>
      <w:r>
        <w:rPr>
          <w:b/>
          <w:bCs/>
          <w:sz w:val="22"/>
          <w:szCs w:val="22"/>
        </w:rPr>
        <w:t>20</w:t>
      </w:r>
      <w:r w:rsidR="00110946">
        <w:rPr>
          <w:b/>
          <w:bCs/>
          <w:sz w:val="22"/>
          <w:szCs w:val="22"/>
        </w:rPr>
        <w:t>2</w:t>
      </w:r>
      <w:r w:rsidR="00BF09DB">
        <w:rPr>
          <w:b/>
          <w:bCs/>
          <w:sz w:val="22"/>
          <w:szCs w:val="22"/>
        </w:rPr>
        <w:t>5</w:t>
      </w:r>
      <w:r>
        <w:rPr>
          <w:b/>
          <w:bCs/>
          <w:sz w:val="22"/>
          <w:szCs w:val="22"/>
        </w:rPr>
        <w:t>. godine</w:t>
      </w:r>
      <w:r w:rsidR="006F7C5B">
        <w:rPr>
          <w:b/>
          <w:bCs/>
          <w:sz w:val="22"/>
          <w:szCs w:val="22"/>
        </w:rPr>
        <w:t xml:space="preserve"> </w:t>
      </w:r>
      <w:r>
        <w:rPr>
          <w:b/>
          <w:bCs/>
          <w:sz w:val="22"/>
          <w:szCs w:val="22"/>
        </w:rPr>
        <w:t xml:space="preserve"> </w:t>
      </w:r>
      <w:r w:rsidR="00413B94">
        <w:rPr>
          <w:b/>
          <w:bCs/>
          <w:sz w:val="22"/>
          <w:szCs w:val="22"/>
        </w:rPr>
        <w:t xml:space="preserve">ili do iskorištenja ukupno alociranih sredstava sukladno točki 3. programa </w:t>
      </w:r>
    </w:p>
    <w:p w:rsidR="00413B94" w:rsidRDefault="00413B94" w:rsidP="007B1F8C">
      <w:pPr>
        <w:pStyle w:val="Default"/>
        <w:jc w:val="both"/>
        <w:rPr>
          <w:sz w:val="22"/>
          <w:szCs w:val="22"/>
        </w:rPr>
      </w:pPr>
    </w:p>
    <w:p w:rsidR="00703BAA" w:rsidRDefault="00703BAA" w:rsidP="00703BAA">
      <w:pPr>
        <w:pStyle w:val="Default"/>
        <w:rPr>
          <w:sz w:val="22"/>
          <w:szCs w:val="22"/>
        </w:rPr>
      </w:pPr>
      <w:r>
        <w:rPr>
          <w:b/>
          <w:bCs/>
          <w:sz w:val="22"/>
          <w:szCs w:val="22"/>
        </w:rPr>
        <w:t xml:space="preserve">2. IZNOS PRORAČUNSKIH SREDSTAVA </w:t>
      </w:r>
    </w:p>
    <w:p w:rsidR="00703BAA" w:rsidRDefault="00703BAA" w:rsidP="00413B94">
      <w:pPr>
        <w:pStyle w:val="Default"/>
        <w:jc w:val="both"/>
        <w:rPr>
          <w:sz w:val="22"/>
          <w:szCs w:val="22"/>
        </w:rPr>
      </w:pPr>
      <w:r>
        <w:rPr>
          <w:sz w:val="22"/>
          <w:szCs w:val="22"/>
        </w:rPr>
        <w:t xml:space="preserve">Davatelj potpore je Općina Gornji </w:t>
      </w:r>
      <w:proofErr w:type="spellStart"/>
      <w:r>
        <w:rPr>
          <w:sz w:val="22"/>
          <w:szCs w:val="22"/>
        </w:rPr>
        <w:t>Bogićevci</w:t>
      </w:r>
      <w:proofErr w:type="spellEnd"/>
      <w:r>
        <w:rPr>
          <w:sz w:val="22"/>
          <w:szCs w:val="22"/>
        </w:rPr>
        <w:t xml:space="preserve">. </w:t>
      </w:r>
    </w:p>
    <w:p w:rsidR="00703BAA" w:rsidRDefault="00703BAA" w:rsidP="00413B94">
      <w:pPr>
        <w:pStyle w:val="Default"/>
        <w:jc w:val="both"/>
        <w:rPr>
          <w:sz w:val="22"/>
          <w:szCs w:val="22"/>
        </w:rPr>
      </w:pPr>
      <w:r>
        <w:rPr>
          <w:sz w:val="22"/>
          <w:szCs w:val="22"/>
        </w:rPr>
        <w:t xml:space="preserve">U proračunu Općine Gornji </w:t>
      </w:r>
      <w:proofErr w:type="spellStart"/>
      <w:r>
        <w:rPr>
          <w:sz w:val="22"/>
          <w:szCs w:val="22"/>
        </w:rPr>
        <w:t>Bogićevci</w:t>
      </w:r>
      <w:proofErr w:type="spellEnd"/>
      <w:r>
        <w:rPr>
          <w:sz w:val="22"/>
          <w:szCs w:val="22"/>
        </w:rPr>
        <w:t xml:space="preserve">, na proračunskoj aktivnosti </w:t>
      </w:r>
      <w:r w:rsidR="00413B94">
        <w:rPr>
          <w:sz w:val="22"/>
          <w:szCs w:val="22"/>
        </w:rPr>
        <w:t>„</w:t>
      </w:r>
      <w:r w:rsidR="00413B94" w:rsidRPr="00C84069">
        <w:rPr>
          <w:sz w:val="22"/>
          <w:szCs w:val="22"/>
        </w:rPr>
        <w:t>Subvencije trg</w:t>
      </w:r>
      <w:r w:rsidR="00413B94">
        <w:rPr>
          <w:sz w:val="22"/>
          <w:szCs w:val="22"/>
        </w:rPr>
        <w:t xml:space="preserve">ovačkim </w:t>
      </w:r>
      <w:r w:rsidR="00413B94" w:rsidRPr="00C84069">
        <w:rPr>
          <w:sz w:val="22"/>
          <w:szCs w:val="22"/>
        </w:rPr>
        <w:t>društvima,</w:t>
      </w:r>
      <w:r w:rsidR="00413B94">
        <w:rPr>
          <w:sz w:val="22"/>
          <w:szCs w:val="22"/>
        </w:rPr>
        <w:t xml:space="preserve"> </w:t>
      </w:r>
      <w:r w:rsidR="00413B94" w:rsidRPr="00C84069">
        <w:rPr>
          <w:sz w:val="22"/>
          <w:szCs w:val="22"/>
        </w:rPr>
        <w:t>poljop</w:t>
      </w:r>
      <w:r w:rsidR="00413B94">
        <w:rPr>
          <w:sz w:val="22"/>
          <w:szCs w:val="22"/>
        </w:rPr>
        <w:t>rivrednicima</w:t>
      </w:r>
      <w:r w:rsidR="00413B94" w:rsidRPr="00C84069">
        <w:rPr>
          <w:sz w:val="22"/>
          <w:szCs w:val="22"/>
        </w:rPr>
        <w:t xml:space="preserve"> i obrtnicima izvan javnog sektora</w:t>
      </w:r>
      <w:r w:rsidR="00413B94">
        <w:rPr>
          <w:sz w:val="22"/>
          <w:szCs w:val="22"/>
        </w:rPr>
        <w:t>“</w:t>
      </w:r>
      <w:r>
        <w:rPr>
          <w:sz w:val="22"/>
          <w:szCs w:val="22"/>
        </w:rPr>
        <w:t xml:space="preserve"> planirano je ukupno </w:t>
      </w:r>
      <w:r w:rsidR="00B64E36">
        <w:rPr>
          <w:sz w:val="22"/>
          <w:szCs w:val="22"/>
        </w:rPr>
        <w:t>7</w:t>
      </w:r>
      <w:r>
        <w:rPr>
          <w:sz w:val="22"/>
          <w:szCs w:val="22"/>
        </w:rPr>
        <w:t xml:space="preserve">.000,00 </w:t>
      </w:r>
      <w:r w:rsidR="00E76A8F">
        <w:rPr>
          <w:sz w:val="22"/>
          <w:szCs w:val="22"/>
        </w:rPr>
        <w:t>eur</w:t>
      </w:r>
      <w:r>
        <w:rPr>
          <w:sz w:val="22"/>
          <w:szCs w:val="22"/>
        </w:rPr>
        <w:t xml:space="preserve">a za dodjelu bespovratnih potpora temeljem ovog Otvorenog javnog poziva. </w:t>
      </w:r>
    </w:p>
    <w:p w:rsidR="00413B94" w:rsidRDefault="00413B94" w:rsidP="00413B94">
      <w:pPr>
        <w:pStyle w:val="Default"/>
        <w:jc w:val="both"/>
        <w:rPr>
          <w:sz w:val="22"/>
          <w:szCs w:val="22"/>
        </w:rPr>
      </w:pPr>
    </w:p>
    <w:p w:rsidR="00703BAA" w:rsidRDefault="00703BAA" w:rsidP="00703BAA">
      <w:pPr>
        <w:pStyle w:val="Default"/>
        <w:rPr>
          <w:sz w:val="22"/>
          <w:szCs w:val="22"/>
        </w:rPr>
      </w:pPr>
      <w:r>
        <w:rPr>
          <w:b/>
          <w:bCs/>
          <w:sz w:val="22"/>
          <w:szCs w:val="22"/>
        </w:rPr>
        <w:t xml:space="preserve">3. KORISNICI </w:t>
      </w:r>
    </w:p>
    <w:p w:rsidR="00703BAA" w:rsidRDefault="00703BAA" w:rsidP="00413B94">
      <w:pPr>
        <w:pStyle w:val="Default"/>
        <w:jc w:val="both"/>
        <w:rPr>
          <w:sz w:val="22"/>
          <w:szCs w:val="22"/>
        </w:rPr>
      </w:pPr>
      <w:r>
        <w:rPr>
          <w:sz w:val="22"/>
          <w:szCs w:val="22"/>
        </w:rPr>
        <w:t>Ovaj Otvoreni javni poziv namijenjen je mikro</w:t>
      </w:r>
      <w:r w:rsidR="00413B94">
        <w:rPr>
          <w:sz w:val="22"/>
          <w:szCs w:val="22"/>
        </w:rPr>
        <w:t xml:space="preserve"> </w:t>
      </w:r>
      <w:r>
        <w:rPr>
          <w:sz w:val="22"/>
          <w:szCs w:val="22"/>
        </w:rPr>
        <w:t xml:space="preserve">poduzetnicima koji </w:t>
      </w:r>
      <w:r w:rsidR="00413B94">
        <w:rPr>
          <w:sz w:val="22"/>
          <w:szCs w:val="22"/>
        </w:rPr>
        <w:t>otvaraju nov</w:t>
      </w:r>
      <w:r w:rsidR="00513722">
        <w:rPr>
          <w:sz w:val="22"/>
          <w:szCs w:val="22"/>
        </w:rPr>
        <w:t>a</w:t>
      </w:r>
      <w:r w:rsidR="00413B94">
        <w:rPr>
          <w:sz w:val="22"/>
          <w:szCs w:val="22"/>
        </w:rPr>
        <w:t xml:space="preserve"> mikro poduzeća, kao i proširenje i unaprjeđenje postojećih koji će rezultirati novim zapošljavanjem.</w:t>
      </w:r>
      <w:r w:rsidR="00513722">
        <w:rPr>
          <w:sz w:val="22"/>
          <w:szCs w:val="22"/>
        </w:rPr>
        <w:t xml:space="preserve"> </w:t>
      </w:r>
      <w:r>
        <w:rPr>
          <w:sz w:val="22"/>
          <w:szCs w:val="22"/>
        </w:rPr>
        <w:t>Kako bi se ispunili uvjeti prihvatljivosti, Podnositelji prijave koji obavljaju gospodarsku djelatnost moraju biti pravne ili fizičke osobe koje su mikro poduzeća sukladno Preporuci Europske komisije 2003/361/EC od 6. svibnja 2003</w:t>
      </w:r>
      <w:r>
        <w:rPr>
          <w:sz w:val="14"/>
          <w:szCs w:val="14"/>
        </w:rPr>
        <w:t>1</w:t>
      </w:r>
      <w:r>
        <w:rPr>
          <w:sz w:val="22"/>
          <w:szCs w:val="22"/>
        </w:rPr>
        <w:t xml:space="preserve">. </w:t>
      </w:r>
    </w:p>
    <w:p w:rsidR="00703BAA" w:rsidRDefault="00703BAA" w:rsidP="00413B94">
      <w:pPr>
        <w:pStyle w:val="Default"/>
        <w:jc w:val="both"/>
        <w:rPr>
          <w:sz w:val="18"/>
          <w:szCs w:val="18"/>
        </w:rPr>
      </w:pPr>
      <w:r>
        <w:rPr>
          <w:sz w:val="18"/>
          <w:szCs w:val="18"/>
        </w:rPr>
        <w:t xml:space="preserve">1 </w:t>
      </w:r>
      <w:hyperlink r:id="rId7" w:history="1">
        <w:r w:rsidR="00513722" w:rsidRPr="00FD18CB">
          <w:rPr>
            <w:rStyle w:val="Hiperveza"/>
            <w:sz w:val="18"/>
            <w:szCs w:val="18"/>
          </w:rPr>
          <w:t>http://www.reach-compliance.eu/english/REACH-ME/engine/sources/regulations/launch-2003-361-EC.html</w:t>
        </w:r>
      </w:hyperlink>
      <w:r w:rsidR="00513722">
        <w:rPr>
          <w:sz w:val="18"/>
          <w:szCs w:val="18"/>
        </w:rPr>
        <w:t xml:space="preserve"> </w:t>
      </w:r>
      <w:r>
        <w:rPr>
          <w:sz w:val="18"/>
          <w:szCs w:val="18"/>
        </w:rPr>
        <w:t xml:space="preserve"> </w:t>
      </w:r>
    </w:p>
    <w:p w:rsidR="00703BAA" w:rsidRDefault="003338FD" w:rsidP="00413B94">
      <w:pPr>
        <w:pStyle w:val="Default"/>
        <w:jc w:val="both"/>
        <w:rPr>
          <w:sz w:val="18"/>
          <w:szCs w:val="18"/>
        </w:rPr>
      </w:pPr>
      <w:hyperlink r:id="rId8" w:history="1">
        <w:r w:rsidR="00513722" w:rsidRPr="00FD18CB">
          <w:rPr>
            <w:rStyle w:val="Hiperveza"/>
            <w:sz w:val="18"/>
            <w:szCs w:val="18"/>
          </w:rPr>
          <w:t>http://ec.europa.eu/enterprise/policies/sme/facts-figures-analysis/sme-definition/index_hr.htm</w:t>
        </w:r>
      </w:hyperlink>
      <w:r w:rsidR="00513722">
        <w:rPr>
          <w:sz w:val="18"/>
          <w:szCs w:val="18"/>
        </w:rPr>
        <w:t xml:space="preserve"> </w:t>
      </w:r>
      <w:r w:rsidR="00703BAA">
        <w:rPr>
          <w:sz w:val="18"/>
          <w:szCs w:val="18"/>
        </w:rPr>
        <w:t xml:space="preserve"> </w:t>
      </w:r>
    </w:p>
    <w:p w:rsidR="00513722" w:rsidRDefault="003338FD" w:rsidP="00413B94">
      <w:pPr>
        <w:pStyle w:val="Default"/>
        <w:jc w:val="both"/>
        <w:rPr>
          <w:sz w:val="18"/>
          <w:szCs w:val="18"/>
        </w:rPr>
      </w:pPr>
      <w:hyperlink r:id="rId9" w:history="1">
        <w:r w:rsidR="00513722" w:rsidRPr="00FD18CB">
          <w:rPr>
            <w:rStyle w:val="Hiperveza"/>
            <w:sz w:val="18"/>
            <w:szCs w:val="18"/>
          </w:rPr>
          <w:t>https://poduzetnistvo.gov.hr/UserDocsImages/arhiva/IZRACUN%20MSP.pdf</w:t>
        </w:r>
      </w:hyperlink>
      <w:r w:rsidR="00513722">
        <w:rPr>
          <w:sz w:val="18"/>
          <w:szCs w:val="18"/>
        </w:rPr>
        <w:t xml:space="preserve"> </w:t>
      </w:r>
    </w:p>
    <w:p w:rsidR="00703BAA" w:rsidRDefault="00703BAA" w:rsidP="00413B94">
      <w:pPr>
        <w:pStyle w:val="Default"/>
        <w:jc w:val="both"/>
        <w:rPr>
          <w:sz w:val="22"/>
          <w:szCs w:val="22"/>
        </w:rPr>
      </w:pPr>
      <w:r>
        <w:rPr>
          <w:sz w:val="18"/>
          <w:szCs w:val="18"/>
        </w:rPr>
        <w:t xml:space="preserve"> </w:t>
      </w:r>
    </w:p>
    <w:p w:rsidR="00703BAA" w:rsidRDefault="00703BAA" w:rsidP="00413B94">
      <w:pPr>
        <w:pStyle w:val="Default"/>
        <w:jc w:val="both"/>
        <w:rPr>
          <w:sz w:val="22"/>
          <w:szCs w:val="22"/>
        </w:rPr>
      </w:pPr>
      <w:r>
        <w:rPr>
          <w:sz w:val="22"/>
          <w:szCs w:val="22"/>
        </w:rPr>
        <w:t xml:space="preserve">Na korisnike bespovratnih potpora po ovom Javnom pozivu primjenjivat će se odredbe Uredbe Komisije (EU) br. 1407/2013 </w:t>
      </w:r>
      <w:proofErr w:type="spellStart"/>
      <w:r>
        <w:rPr>
          <w:sz w:val="22"/>
          <w:szCs w:val="22"/>
        </w:rPr>
        <w:t>оd</w:t>
      </w:r>
      <w:proofErr w:type="spellEnd"/>
      <w:r>
        <w:rPr>
          <w:sz w:val="22"/>
          <w:szCs w:val="22"/>
        </w:rPr>
        <w:t xml:space="preserve"> 18. prosinca 2013. o primjeni članaka 107. i 108. Ugovora o funkcioniranju Europske unije na de </w:t>
      </w:r>
      <w:proofErr w:type="spellStart"/>
      <w:r>
        <w:rPr>
          <w:sz w:val="22"/>
          <w:szCs w:val="22"/>
        </w:rPr>
        <w:t>minimis</w:t>
      </w:r>
      <w:proofErr w:type="spellEnd"/>
      <w:r>
        <w:rPr>
          <w:sz w:val="22"/>
          <w:szCs w:val="22"/>
        </w:rPr>
        <w:t xml:space="preserve"> potpore. 2 </w:t>
      </w:r>
    </w:p>
    <w:p w:rsidR="00703BAA" w:rsidRDefault="00703BAA" w:rsidP="00413B94">
      <w:pPr>
        <w:pStyle w:val="Default"/>
        <w:jc w:val="both"/>
        <w:rPr>
          <w:color w:val="auto"/>
        </w:rPr>
      </w:pPr>
    </w:p>
    <w:p w:rsidR="00513722" w:rsidRDefault="00513722" w:rsidP="00413B94">
      <w:pPr>
        <w:pStyle w:val="Default"/>
        <w:jc w:val="both"/>
        <w:rPr>
          <w:color w:val="auto"/>
        </w:rPr>
      </w:pPr>
      <w:r w:rsidRPr="00513722">
        <w:rPr>
          <w:noProof/>
          <w:lang w:eastAsia="hr-HR"/>
        </w:rPr>
        <w:drawing>
          <wp:inline distT="0" distB="0" distL="0" distR="0">
            <wp:extent cx="5762625" cy="10477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1047750"/>
                    </a:xfrm>
                    <a:prstGeom prst="rect">
                      <a:avLst/>
                    </a:prstGeom>
                    <a:noFill/>
                    <a:ln>
                      <a:noFill/>
                    </a:ln>
                  </pic:spPr>
                </pic:pic>
              </a:graphicData>
            </a:graphic>
          </wp:inline>
        </w:drawing>
      </w:r>
    </w:p>
    <w:p w:rsidR="00513722" w:rsidRDefault="00513722" w:rsidP="00413B94">
      <w:pPr>
        <w:pStyle w:val="Default"/>
        <w:jc w:val="both"/>
        <w:rPr>
          <w:color w:val="auto"/>
        </w:rPr>
      </w:pPr>
      <w:r w:rsidRPr="00513722">
        <w:rPr>
          <w:noProof/>
          <w:lang w:eastAsia="hr-HR"/>
        </w:rPr>
        <w:lastRenderedPageBreak/>
        <w:drawing>
          <wp:inline distT="0" distB="0" distL="0" distR="0">
            <wp:extent cx="5762625" cy="10382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2625" cy="1038225"/>
                    </a:xfrm>
                    <a:prstGeom prst="rect">
                      <a:avLst/>
                    </a:prstGeom>
                    <a:noFill/>
                    <a:ln>
                      <a:noFill/>
                    </a:ln>
                  </pic:spPr>
                </pic:pic>
              </a:graphicData>
            </a:graphic>
          </wp:inline>
        </w:drawing>
      </w:r>
    </w:p>
    <w:p w:rsidR="00703BAA" w:rsidRDefault="00703BAA" w:rsidP="00413B94">
      <w:pPr>
        <w:pStyle w:val="Default"/>
        <w:jc w:val="both"/>
        <w:rPr>
          <w:color w:val="auto"/>
          <w:sz w:val="22"/>
          <w:szCs w:val="22"/>
        </w:rPr>
      </w:pPr>
    </w:p>
    <w:p w:rsidR="00703BAA" w:rsidRDefault="00703BAA" w:rsidP="00413B94">
      <w:pPr>
        <w:pStyle w:val="Default"/>
        <w:jc w:val="both"/>
        <w:rPr>
          <w:sz w:val="18"/>
          <w:szCs w:val="18"/>
        </w:rPr>
      </w:pPr>
      <w:r>
        <w:rPr>
          <w:sz w:val="18"/>
          <w:szCs w:val="18"/>
        </w:rPr>
        <w:t xml:space="preserve">2 Broj zaposlenih utvrđuje se temeljem prosječnog broja zaposlenih temeljem sati rada u 2017. godini. </w:t>
      </w:r>
    </w:p>
    <w:p w:rsidR="00703BAA" w:rsidRDefault="00703BAA" w:rsidP="00413B94">
      <w:pPr>
        <w:pStyle w:val="Default"/>
        <w:jc w:val="both"/>
        <w:rPr>
          <w:color w:val="auto"/>
          <w:sz w:val="22"/>
          <w:szCs w:val="22"/>
        </w:rPr>
      </w:pPr>
      <w:r>
        <w:rPr>
          <w:sz w:val="18"/>
          <w:szCs w:val="18"/>
        </w:rPr>
        <w:t xml:space="preserve">3 http://eur-lex.europa.eu/LexUriServ/LexUriServ.do?uri=OJ:L:2013:352:0001:0008:HR:PDF </w:t>
      </w:r>
    </w:p>
    <w:p w:rsidR="00703BAA" w:rsidRPr="00513722" w:rsidRDefault="00703BAA" w:rsidP="00413B94">
      <w:pPr>
        <w:pStyle w:val="Default"/>
        <w:jc w:val="both"/>
        <w:rPr>
          <w:color w:val="auto"/>
          <w:sz w:val="18"/>
          <w:szCs w:val="18"/>
        </w:rPr>
      </w:pPr>
      <w:r w:rsidRPr="00513722">
        <w:rPr>
          <w:color w:val="auto"/>
          <w:sz w:val="18"/>
          <w:szCs w:val="18"/>
        </w:rPr>
        <w:t xml:space="preserve">1401/2013 od 18. prosinca 2013. o primjeni članaka 107. i 108. Ugovora o funkcioniranju </w:t>
      </w:r>
    </w:p>
    <w:p w:rsidR="00703BAA" w:rsidRPr="00513722" w:rsidRDefault="00703BAA" w:rsidP="00413B94">
      <w:pPr>
        <w:pStyle w:val="Default"/>
        <w:jc w:val="both"/>
        <w:rPr>
          <w:color w:val="auto"/>
          <w:sz w:val="18"/>
          <w:szCs w:val="18"/>
        </w:rPr>
      </w:pPr>
      <w:r w:rsidRPr="00513722">
        <w:rPr>
          <w:color w:val="auto"/>
          <w:sz w:val="18"/>
          <w:szCs w:val="18"/>
        </w:rPr>
        <w:t xml:space="preserve">Europske unije na de </w:t>
      </w:r>
      <w:proofErr w:type="spellStart"/>
      <w:r w:rsidRPr="00513722">
        <w:rPr>
          <w:color w:val="auto"/>
          <w:sz w:val="18"/>
          <w:szCs w:val="18"/>
        </w:rPr>
        <w:t>minimis</w:t>
      </w:r>
      <w:proofErr w:type="spellEnd"/>
      <w:r w:rsidRPr="00513722">
        <w:rPr>
          <w:color w:val="auto"/>
          <w:sz w:val="18"/>
          <w:szCs w:val="18"/>
        </w:rPr>
        <w:t xml:space="preserve"> potpore3) </w:t>
      </w:r>
    </w:p>
    <w:p w:rsidR="00513722" w:rsidRDefault="00513722" w:rsidP="00413B94">
      <w:pPr>
        <w:pStyle w:val="Default"/>
        <w:jc w:val="both"/>
        <w:rPr>
          <w:color w:val="auto"/>
          <w:sz w:val="22"/>
          <w:szCs w:val="22"/>
        </w:rPr>
      </w:pPr>
    </w:p>
    <w:p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imaju u cijelosti opravdane i namjenski iskorištene potpore male vrijednosti ako su im iste dodijeljene </w:t>
      </w:r>
    </w:p>
    <w:p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njihovi partnerski subjekti imaju u cijelosti opravdane i namjenski iskorištene potpore male vrijednosti ako su im iste dodijeljene </w:t>
      </w:r>
    </w:p>
    <w:p w:rsidR="00513722" w:rsidRPr="00513722" w:rsidRDefault="00513722" w:rsidP="00513722">
      <w:pPr>
        <w:autoSpaceDE w:val="0"/>
        <w:autoSpaceDN w:val="0"/>
        <w:adjustRightInd w:val="0"/>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njihovi partnerski i povezani subjekti nemaju evidentiran dug po osnovi javnih davanja o kojima službenu evidenciju vodi Porezna uprava </w:t>
      </w:r>
    </w:p>
    <w:p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nad njima nije otvoren stečajni postupak, postupak </w:t>
      </w:r>
      <w:proofErr w:type="spellStart"/>
      <w:r w:rsidRPr="00513722">
        <w:rPr>
          <w:rFonts w:ascii="Calibri" w:eastAsiaTheme="minorHAnsi" w:hAnsi="Calibri" w:cs="Calibri"/>
          <w:sz w:val="22"/>
          <w:szCs w:val="22"/>
          <w:lang w:eastAsia="en-US"/>
        </w:rPr>
        <w:t>predstečajne</w:t>
      </w:r>
      <w:proofErr w:type="spellEnd"/>
      <w:r w:rsidRPr="00513722">
        <w:rPr>
          <w:rFonts w:ascii="Calibri" w:eastAsiaTheme="minorHAnsi" w:hAnsi="Calibri" w:cs="Calibri"/>
          <w:sz w:val="22"/>
          <w:szCs w:val="22"/>
          <w:lang w:eastAsia="en-US"/>
        </w:rPr>
        <w:t xml:space="preserve"> nagodbe ili postupak likvidacije </w:t>
      </w:r>
    </w:p>
    <w:p w:rsidR="00513722" w:rsidRPr="00513722" w:rsidRDefault="00513722" w:rsidP="00513722">
      <w:pPr>
        <w:autoSpaceDE w:val="0"/>
        <w:autoSpaceDN w:val="0"/>
        <w:adjustRightInd w:val="0"/>
        <w:spacing w:after="13"/>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nad njihovim pojedinačnim vlasnicima i partnerskim i povezanim subjektima nije otvoren stečajni postupak, postupak </w:t>
      </w:r>
      <w:proofErr w:type="spellStart"/>
      <w:r w:rsidRPr="00513722">
        <w:rPr>
          <w:rFonts w:ascii="Calibri" w:eastAsiaTheme="minorHAnsi" w:hAnsi="Calibri" w:cs="Calibri"/>
          <w:sz w:val="22"/>
          <w:szCs w:val="22"/>
          <w:lang w:eastAsia="en-US"/>
        </w:rPr>
        <w:t>predstečajne</w:t>
      </w:r>
      <w:proofErr w:type="spellEnd"/>
      <w:r w:rsidRPr="00513722">
        <w:rPr>
          <w:rFonts w:ascii="Calibri" w:eastAsiaTheme="minorHAnsi" w:hAnsi="Calibri" w:cs="Calibri"/>
          <w:sz w:val="22"/>
          <w:szCs w:val="22"/>
          <w:lang w:eastAsia="en-US"/>
        </w:rPr>
        <w:t xml:space="preserve"> nagodbe ili postupak likvidacije </w:t>
      </w:r>
    </w:p>
    <w:p w:rsidR="00513722" w:rsidRPr="00513722" w:rsidRDefault="00513722" w:rsidP="00513722">
      <w:pPr>
        <w:autoSpaceDE w:val="0"/>
        <w:autoSpaceDN w:val="0"/>
        <w:adjustRightInd w:val="0"/>
        <w:jc w:val="both"/>
        <w:rPr>
          <w:rFonts w:ascii="Calibri" w:eastAsiaTheme="minorHAnsi" w:hAnsi="Calibri" w:cs="Calibri"/>
          <w:sz w:val="22"/>
          <w:szCs w:val="22"/>
          <w:lang w:eastAsia="en-US"/>
        </w:rPr>
      </w:pPr>
      <w:r w:rsidRPr="00513722">
        <w:rPr>
          <w:rFonts w:ascii="Wingdings" w:eastAsiaTheme="minorHAnsi" w:hAnsi="Wingdings" w:cs="Wingdings"/>
          <w:sz w:val="22"/>
          <w:szCs w:val="22"/>
          <w:lang w:eastAsia="en-US"/>
        </w:rPr>
        <w:t></w:t>
      </w:r>
      <w:r w:rsidRPr="00513722">
        <w:rPr>
          <w:rFonts w:ascii="Wingdings" w:eastAsiaTheme="minorHAnsi" w:hAnsi="Wingdings" w:cs="Wingdings"/>
          <w:sz w:val="22"/>
          <w:szCs w:val="22"/>
          <w:lang w:eastAsia="en-US"/>
        </w:rPr>
        <w:t></w:t>
      </w:r>
      <w:r w:rsidRPr="00513722">
        <w:rPr>
          <w:rFonts w:ascii="Calibri" w:eastAsiaTheme="minorHAnsi" w:hAnsi="Calibri" w:cs="Calibri"/>
          <w:sz w:val="22"/>
          <w:szCs w:val="22"/>
          <w:lang w:eastAsia="en-US"/>
        </w:rPr>
        <w:t xml:space="preserve">Podnositelju prijave, pojedinačnim vlasnicima Podnositelja prijave ili osobama ovlaštenim za zastupanje Podnositelja prijave nije izrečena pravomoćna osuđujuća presuda za jedno ili više sljedećih kaznenih djela: prijevara, prijevara u gospodarskom poslovanju, primanje mita u gospodarskom poslovanju, davanje mita u gospodarskom poslovanju,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w:t>
      </w:r>
    </w:p>
    <w:p w:rsidR="00513722" w:rsidRDefault="00513722" w:rsidP="00703BAA">
      <w:pPr>
        <w:pStyle w:val="Default"/>
        <w:rPr>
          <w:b/>
          <w:bCs/>
          <w:color w:val="auto"/>
          <w:sz w:val="22"/>
          <w:szCs w:val="22"/>
        </w:rPr>
      </w:pPr>
    </w:p>
    <w:p w:rsidR="00703BAA" w:rsidRDefault="00703BAA" w:rsidP="00703BAA">
      <w:pPr>
        <w:pStyle w:val="Default"/>
        <w:rPr>
          <w:color w:val="auto"/>
          <w:sz w:val="22"/>
          <w:szCs w:val="22"/>
        </w:rPr>
      </w:pPr>
      <w:r>
        <w:rPr>
          <w:b/>
          <w:bCs/>
          <w:color w:val="auto"/>
          <w:sz w:val="22"/>
          <w:szCs w:val="22"/>
        </w:rPr>
        <w:t xml:space="preserve">4. NAMJENA BESPOVRATNIH SREDSTAVA I IZNOS POTPORE </w:t>
      </w:r>
    </w:p>
    <w:p w:rsidR="00703BAA" w:rsidRDefault="00703BAA" w:rsidP="00703BAA">
      <w:pPr>
        <w:pStyle w:val="Default"/>
        <w:rPr>
          <w:color w:val="auto"/>
          <w:sz w:val="22"/>
          <w:szCs w:val="22"/>
        </w:rPr>
      </w:pPr>
      <w:r>
        <w:rPr>
          <w:color w:val="auto"/>
          <w:sz w:val="22"/>
          <w:szCs w:val="22"/>
        </w:rPr>
        <w:t xml:space="preserve">Osnovna namjena: </w:t>
      </w:r>
    </w:p>
    <w:p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otvaranje i registracija</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BF09DB">
        <w:rPr>
          <w:rFonts w:ascii="Calibri" w:eastAsiaTheme="minorHAnsi" w:hAnsi="Calibri" w:cs="Calibri"/>
          <w:color w:val="000000"/>
          <w:sz w:val="22"/>
          <w:szCs w:val="22"/>
          <w:lang w:eastAsia="en-US"/>
        </w:rPr>
        <w:t>5</w:t>
      </w:r>
      <w:r w:rsidR="00495223">
        <w:rPr>
          <w:rFonts w:ascii="Calibri" w:eastAsiaTheme="minorHAnsi" w:hAnsi="Calibri" w:cs="Calibri"/>
          <w:color w:val="000000"/>
          <w:sz w:val="22"/>
          <w:szCs w:val="22"/>
          <w:lang w:eastAsia="en-US"/>
        </w:rPr>
        <w:t>.</w:t>
      </w:r>
      <w:r w:rsidR="006C7034">
        <w:rPr>
          <w:rFonts w:ascii="Calibri" w:eastAsiaTheme="minorHAnsi" w:hAnsi="Calibri" w:cs="Calibri"/>
          <w:color w:val="000000"/>
          <w:sz w:val="22"/>
          <w:szCs w:val="22"/>
          <w:lang w:eastAsia="en-US"/>
        </w:rPr>
        <w:t xml:space="preserve"> godini,</w:t>
      </w:r>
    </w:p>
    <w:p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ulaganje u unaprjeđenje proizvodnje</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BF09DB">
        <w:rPr>
          <w:rFonts w:ascii="Calibri" w:eastAsiaTheme="minorHAnsi" w:hAnsi="Calibri" w:cs="Calibri"/>
          <w:color w:val="000000"/>
          <w:sz w:val="22"/>
          <w:szCs w:val="22"/>
          <w:lang w:eastAsia="en-US"/>
        </w:rPr>
        <w:t>5</w:t>
      </w:r>
      <w:r w:rsidR="006C7034">
        <w:rPr>
          <w:rFonts w:ascii="Calibri" w:eastAsiaTheme="minorHAnsi" w:hAnsi="Calibri" w:cs="Calibri"/>
          <w:color w:val="000000"/>
          <w:sz w:val="22"/>
          <w:szCs w:val="22"/>
          <w:lang w:eastAsia="en-US"/>
        </w:rPr>
        <w:t>.godini</w:t>
      </w:r>
      <w:r w:rsidRPr="00513722">
        <w:rPr>
          <w:rFonts w:ascii="Calibri" w:eastAsiaTheme="minorHAnsi" w:hAnsi="Calibri" w:cs="Calibri"/>
          <w:color w:val="000000"/>
          <w:sz w:val="22"/>
          <w:szCs w:val="22"/>
          <w:lang w:eastAsia="en-US"/>
        </w:rPr>
        <w:t xml:space="preserve">, </w:t>
      </w:r>
    </w:p>
    <w:p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ulaganje u razvoj novih proizvoda/usluga</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BF09DB">
        <w:rPr>
          <w:rFonts w:ascii="Calibri" w:eastAsiaTheme="minorHAnsi" w:hAnsi="Calibri" w:cs="Calibri"/>
          <w:color w:val="000000"/>
          <w:sz w:val="22"/>
          <w:szCs w:val="22"/>
          <w:lang w:eastAsia="en-US"/>
        </w:rPr>
        <w:t>5</w:t>
      </w:r>
      <w:r w:rsidR="006C7034">
        <w:rPr>
          <w:rFonts w:ascii="Calibri" w:eastAsiaTheme="minorHAnsi" w:hAnsi="Calibri" w:cs="Calibri"/>
          <w:color w:val="000000"/>
          <w:sz w:val="22"/>
          <w:szCs w:val="22"/>
          <w:lang w:eastAsia="en-US"/>
        </w:rPr>
        <w:t>.g.</w:t>
      </w:r>
      <w:r w:rsidRPr="00513722">
        <w:rPr>
          <w:rFonts w:ascii="Calibri" w:eastAsiaTheme="minorHAnsi" w:hAnsi="Calibri" w:cs="Calibri"/>
          <w:color w:val="000000"/>
          <w:sz w:val="22"/>
          <w:szCs w:val="22"/>
          <w:lang w:eastAsia="en-US"/>
        </w:rPr>
        <w:t xml:space="preserve">, </w:t>
      </w:r>
    </w:p>
    <w:p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prilagodba, uređenje i poboljšanje poslovnog i proizvodnog prostora</w:t>
      </w:r>
      <w:r w:rsidR="006C7034">
        <w:rPr>
          <w:rFonts w:ascii="Calibri" w:eastAsiaTheme="minorHAnsi" w:hAnsi="Calibri" w:cs="Calibri"/>
          <w:color w:val="000000"/>
          <w:sz w:val="22"/>
          <w:szCs w:val="22"/>
          <w:lang w:eastAsia="en-US"/>
        </w:rPr>
        <w:t xml:space="preserve"> u </w:t>
      </w:r>
      <w:r w:rsidR="00F424F2">
        <w:rPr>
          <w:rFonts w:ascii="Calibri" w:eastAsiaTheme="minorHAnsi" w:hAnsi="Calibri" w:cs="Calibri"/>
          <w:color w:val="000000"/>
          <w:sz w:val="22"/>
          <w:szCs w:val="22"/>
          <w:lang w:eastAsia="en-US"/>
        </w:rPr>
        <w:t>202</w:t>
      </w:r>
      <w:r w:rsidR="00BF09DB">
        <w:rPr>
          <w:rFonts w:ascii="Calibri" w:eastAsiaTheme="minorHAnsi" w:hAnsi="Calibri" w:cs="Calibri"/>
          <w:color w:val="000000"/>
          <w:sz w:val="22"/>
          <w:szCs w:val="22"/>
          <w:lang w:eastAsia="en-US"/>
        </w:rPr>
        <w:t>5</w:t>
      </w:r>
      <w:r w:rsidR="006C7034">
        <w:rPr>
          <w:rFonts w:ascii="Calibri" w:eastAsiaTheme="minorHAnsi" w:hAnsi="Calibri" w:cs="Calibri"/>
          <w:color w:val="000000"/>
          <w:sz w:val="22"/>
          <w:szCs w:val="22"/>
          <w:lang w:eastAsia="en-US"/>
        </w:rPr>
        <w:t>.g.</w:t>
      </w:r>
      <w:r w:rsidRPr="00513722">
        <w:rPr>
          <w:rFonts w:ascii="Calibri" w:eastAsiaTheme="minorHAnsi" w:hAnsi="Calibri" w:cs="Calibri"/>
          <w:color w:val="000000"/>
          <w:sz w:val="22"/>
          <w:szCs w:val="22"/>
          <w:lang w:eastAsia="en-US"/>
        </w:rPr>
        <w:t xml:space="preserve">, </w:t>
      </w:r>
    </w:p>
    <w:p w:rsidR="00513722" w:rsidRPr="00513722" w:rsidRDefault="00513722" w:rsidP="00513722">
      <w:pPr>
        <w:autoSpaceDE w:val="0"/>
        <w:autoSpaceDN w:val="0"/>
        <w:adjustRightInd w:val="0"/>
        <w:rPr>
          <w:rFonts w:ascii="Calibri" w:eastAsiaTheme="minorHAnsi" w:hAnsi="Calibri" w:cs="Calibri"/>
          <w:color w:val="000000"/>
          <w:sz w:val="22"/>
          <w:szCs w:val="22"/>
          <w:lang w:eastAsia="en-US"/>
        </w:rPr>
      </w:pPr>
      <w:r w:rsidRPr="00513722">
        <w:rPr>
          <w:rFonts w:ascii="Calibri" w:eastAsiaTheme="minorHAnsi" w:hAnsi="Calibri" w:cs="Calibri"/>
          <w:color w:val="000000"/>
          <w:sz w:val="22"/>
          <w:szCs w:val="22"/>
          <w:lang w:eastAsia="en-US"/>
        </w:rPr>
        <w:t xml:space="preserve">- marketinške aktivnosti i ulaganja za izlazak na nova tržišta </w:t>
      </w:r>
      <w:r w:rsidR="006C7034">
        <w:rPr>
          <w:rFonts w:ascii="Calibri" w:eastAsiaTheme="minorHAnsi" w:hAnsi="Calibri" w:cs="Calibri"/>
          <w:color w:val="000000"/>
          <w:sz w:val="22"/>
          <w:szCs w:val="22"/>
          <w:lang w:eastAsia="en-US"/>
        </w:rPr>
        <w:t xml:space="preserve">u </w:t>
      </w:r>
      <w:r w:rsidR="00F424F2">
        <w:rPr>
          <w:rFonts w:ascii="Calibri" w:eastAsiaTheme="minorHAnsi" w:hAnsi="Calibri" w:cs="Calibri"/>
          <w:color w:val="000000"/>
          <w:sz w:val="22"/>
          <w:szCs w:val="22"/>
          <w:lang w:eastAsia="en-US"/>
        </w:rPr>
        <w:t>202</w:t>
      </w:r>
      <w:r w:rsidR="00BF09DB">
        <w:rPr>
          <w:rFonts w:ascii="Calibri" w:eastAsiaTheme="minorHAnsi" w:hAnsi="Calibri" w:cs="Calibri"/>
          <w:color w:val="000000"/>
          <w:sz w:val="22"/>
          <w:szCs w:val="22"/>
          <w:lang w:eastAsia="en-US"/>
        </w:rPr>
        <w:t>5</w:t>
      </w:r>
      <w:r w:rsidR="006C7034">
        <w:rPr>
          <w:rFonts w:ascii="Calibri" w:eastAsiaTheme="minorHAnsi" w:hAnsi="Calibri" w:cs="Calibri"/>
          <w:color w:val="000000"/>
          <w:sz w:val="22"/>
          <w:szCs w:val="22"/>
          <w:lang w:eastAsia="en-US"/>
        </w:rPr>
        <w:t>.g.</w:t>
      </w:r>
    </w:p>
    <w:p w:rsidR="00703BAA" w:rsidRDefault="00703BAA" w:rsidP="00703BAA">
      <w:pPr>
        <w:pStyle w:val="Default"/>
        <w:rPr>
          <w:color w:val="auto"/>
          <w:sz w:val="22"/>
          <w:szCs w:val="22"/>
        </w:rPr>
      </w:pPr>
      <w:r>
        <w:rPr>
          <w:color w:val="auto"/>
          <w:sz w:val="22"/>
          <w:szCs w:val="22"/>
        </w:rPr>
        <w:t xml:space="preserve">Najniži iznos potpore koji se može dodijeliti je </w:t>
      </w:r>
      <w:r w:rsidR="00E76A8F">
        <w:rPr>
          <w:color w:val="auto"/>
          <w:sz w:val="22"/>
          <w:szCs w:val="22"/>
        </w:rPr>
        <w:t>4</w:t>
      </w:r>
      <w:r>
        <w:rPr>
          <w:color w:val="auto"/>
          <w:sz w:val="22"/>
          <w:szCs w:val="22"/>
        </w:rPr>
        <w:t xml:space="preserve">00,00 </w:t>
      </w:r>
      <w:r w:rsidR="00E76A8F">
        <w:rPr>
          <w:color w:val="auto"/>
          <w:sz w:val="22"/>
          <w:szCs w:val="22"/>
        </w:rPr>
        <w:t>eur</w:t>
      </w:r>
      <w:r>
        <w:rPr>
          <w:color w:val="auto"/>
          <w:sz w:val="22"/>
          <w:szCs w:val="22"/>
        </w:rPr>
        <w:t xml:space="preserve">a. </w:t>
      </w:r>
    </w:p>
    <w:p w:rsidR="00703BAA" w:rsidRDefault="00703BAA" w:rsidP="00703BAA">
      <w:pPr>
        <w:pStyle w:val="Default"/>
        <w:rPr>
          <w:color w:val="auto"/>
          <w:sz w:val="22"/>
          <w:szCs w:val="22"/>
        </w:rPr>
      </w:pPr>
      <w:r>
        <w:rPr>
          <w:color w:val="auto"/>
          <w:sz w:val="22"/>
          <w:szCs w:val="22"/>
        </w:rPr>
        <w:t xml:space="preserve">Najviši iznos potpore koji se može dodijeliti je </w:t>
      </w:r>
      <w:r w:rsidR="00E76A8F">
        <w:rPr>
          <w:color w:val="auto"/>
          <w:sz w:val="22"/>
          <w:szCs w:val="22"/>
        </w:rPr>
        <w:t>1.330</w:t>
      </w:r>
      <w:r>
        <w:rPr>
          <w:color w:val="auto"/>
          <w:sz w:val="22"/>
          <w:szCs w:val="22"/>
        </w:rPr>
        <w:t xml:space="preserve">,00 </w:t>
      </w:r>
      <w:r w:rsidR="00E76A8F">
        <w:rPr>
          <w:color w:val="auto"/>
          <w:sz w:val="22"/>
          <w:szCs w:val="22"/>
        </w:rPr>
        <w:t>eur</w:t>
      </w:r>
      <w:r>
        <w:rPr>
          <w:color w:val="auto"/>
          <w:sz w:val="22"/>
          <w:szCs w:val="22"/>
        </w:rPr>
        <w:t xml:space="preserve">a. </w:t>
      </w:r>
    </w:p>
    <w:p w:rsidR="00513722" w:rsidRDefault="00513722" w:rsidP="00513722">
      <w:pPr>
        <w:pStyle w:val="Default"/>
        <w:rPr>
          <w:b/>
          <w:bCs/>
        </w:rPr>
      </w:pPr>
    </w:p>
    <w:p w:rsidR="00513722" w:rsidRPr="00513722" w:rsidRDefault="00513722" w:rsidP="00513722">
      <w:pPr>
        <w:pStyle w:val="Default"/>
      </w:pPr>
      <w:r w:rsidRPr="00513722">
        <w:rPr>
          <w:b/>
          <w:bCs/>
        </w:rPr>
        <w:t xml:space="preserve">5. INTENZITET POTPORE I NAČIN ISPLATE </w:t>
      </w:r>
    </w:p>
    <w:p w:rsidR="00513722" w:rsidRPr="00513722" w:rsidRDefault="00513722" w:rsidP="001C374B">
      <w:pPr>
        <w:pStyle w:val="Default"/>
        <w:jc w:val="both"/>
      </w:pPr>
      <w:r w:rsidRPr="00513722">
        <w:t>Intenzitet potpore označava udio sredstava s kojim davatelj potpore sudjeluje u financiranju predloženog projekta i može dosegnuti do 100% ukupno prihvatljivih troškova</w:t>
      </w:r>
      <w:r w:rsidR="001C374B">
        <w:t xml:space="preserve"> ili do maksimalno </w:t>
      </w:r>
      <w:r w:rsidR="00A3790C" w:rsidRPr="00A3790C">
        <w:rPr>
          <w:b/>
          <w:bCs/>
        </w:rPr>
        <w:t xml:space="preserve">1.330,00 eura </w:t>
      </w:r>
      <w:r w:rsidR="003374B5">
        <w:t xml:space="preserve">za novoosnovane </w:t>
      </w:r>
      <w:proofErr w:type="spellStart"/>
      <w:r w:rsidR="003374B5">
        <w:t>mikropoduzetnike</w:t>
      </w:r>
      <w:proofErr w:type="spellEnd"/>
      <w:r w:rsidR="003374B5">
        <w:t xml:space="preserve">, do </w:t>
      </w:r>
      <w:r w:rsidR="00A3790C" w:rsidRPr="00A3790C">
        <w:rPr>
          <w:b/>
          <w:bCs/>
          <w:sz w:val="22"/>
          <w:szCs w:val="22"/>
        </w:rPr>
        <w:t xml:space="preserve">670,00 eura </w:t>
      </w:r>
      <w:r w:rsidR="003374B5">
        <w:rPr>
          <w:sz w:val="22"/>
          <w:szCs w:val="22"/>
        </w:rPr>
        <w:t>obrtima i tvrtkama koje proširuju djelatnost</w:t>
      </w:r>
      <w:r w:rsidR="003374B5" w:rsidRPr="0013133B">
        <w:rPr>
          <w:sz w:val="22"/>
          <w:szCs w:val="22"/>
        </w:rPr>
        <w:t xml:space="preserve"> </w:t>
      </w:r>
      <w:r w:rsidR="003374B5">
        <w:rPr>
          <w:sz w:val="22"/>
          <w:szCs w:val="22"/>
        </w:rPr>
        <w:t>koja će rezultirati novim zapošljavanjem na neodređeno vrijeme</w:t>
      </w:r>
      <w:r w:rsidR="003374B5">
        <w:t xml:space="preserve"> odnosno do </w:t>
      </w:r>
      <w:r w:rsidR="00A3790C" w:rsidRPr="00A3790C">
        <w:rPr>
          <w:b/>
          <w:bCs/>
        </w:rPr>
        <w:t xml:space="preserve">400,00 eura </w:t>
      </w:r>
      <w:r w:rsidR="003374B5">
        <w:t>p</w:t>
      </w:r>
      <w:r w:rsidR="003374B5" w:rsidRPr="003374B5">
        <w:t>otpore obrtima i tvrtkama za financiranje troškova izrade projektnih prijedloga za sufinanciranje iz fondova EU i nacionalnih fondova</w:t>
      </w:r>
      <w:r w:rsidR="003374B5">
        <w:t>.</w:t>
      </w:r>
      <w:r w:rsidR="003374B5" w:rsidRPr="003374B5">
        <w:t xml:space="preserve"> </w:t>
      </w:r>
    </w:p>
    <w:p w:rsidR="003374B5" w:rsidRDefault="003374B5" w:rsidP="003374B5">
      <w:pPr>
        <w:pStyle w:val="Default"/>
        <w:jc w:val="both"/>
      </w:pPr>
      <w:r>
        <w:t>Iznos potpore se isplaćuje jednokratno i ne može biti veći od stvarnih troškova ili maksimalno do iznosa navedenih u prethodnom stavku.</w:t>
      </w:r>
    </w:p>
    <w:p w:rsidR="003374B5" w:rsidRDefault="003374B5" w:rsidP="003374B5">
      <w:pPr>
        <w:pStyle w:val="Default"/>
        <w:jc w:val="both"/>
      </w:pPr>
      <w:r>
        <w:t>Jedan gospodarski subjekt, u istoj proračunskoj godini, može se javiti po točki 1. ili po točki 2., a točka 3. se može kombinirati s točkama 1. i 2.</w:t>
      </w:r>
    </w:p>
    <w:p w:rsidR="003374B5" w:rsidRDefault="003374B5" w:rsidP="003374B5">
      <w:pPr>
        <w:pStyle w:val="Default"/>
        <w:jc w:val="both"/>
      </w:pPr>
      <w:r>
        <w:lastRenderedPageBreak/>
        <w:t>Potpore pod točkama 2. i 3. gospodarski subjekti mogu koristiti jednom u svakoj novoj proračunskoj godini ukoliko će rezultirati novim zapošljavanjem, odnosno izradom novog projektnog prijedloga.</w:t>
      </w:r>
    </w:p>
    <w:p w:rsidR="003374B5" w:rsidRDefault="003374B5" w:rsidP="003374B5">
      <w:pPr>
        <w:pStyle w:val="Default"/>
        <w:jc w:val="both"/>
      </w:pPr>
      <w:r>
        <w:t xml:space="preserve">Potporu po točki 2. u novoj proračunskoj godini ne može ostvariti gospodarski subjekt koji je u zadnje 3 godine prije podnošenja prijave imao smanjenje broja zaposlenih. </w:t>
      </w:r>
    </w:p>
    <w:p w:rsidR="003374B5" w:rsidRDefault="003374B5" w:rsidP="003374B5">
      <w:pPr>
        <w:pStyle w:val="Default"/>
        <w:jc w:val="both"/>
      </w:pPr>
      <w:r>
        <w:t>Novim zapošljavanjem ne smatra se zapošljavanje za popunjavanje radnog mjesta radnika koji je ostvario mirovinu ili je sam dao otkaz, nužno je da razlog zapošljavanja bude proširenje djelatnosti odnosno trajno povećanje opsega posla.</w:t>
      </w:r>
    </w:p>
    <w:p w:rsidR="00513722" w:rsidRPr="00513722" w:rsidRDefault="00513722" w:rsidP="003374B5">
      <w:pPr>
        <w:pStyle w:val="Default"/>
        <w:jc w:val="both"/>
      </w:pPr>
      <w:r w:rsidRPr="00513722">
        <w:rPr>
          <w:b/>
          <w:bCs/>
        </w:rPr>
        <w:t xml:space="preserve">Intenzitet potpore označava udio sredstava s kojim davatelj potpore sudjeluje u financiranju predložene aktivnosti i može dosegnuti do 100% ukupno prihvatljivih troškova. </w:t>
      </w:r>
    </w:p>
    <w:p w:rsidR="00513722" w:rsidRPr="00513722" w:rsidRDefault="00513722" w:rsidP="001C374B">
      <w:pPr>
        <w:pStyle w:val="Default"/>
        <w:jc w:val="both"/>
      </w:pPr>
      <w:r w:rsidRPr="00513722">
        <w:t xml:space="preserve">Informacije o statusu raspoloživih sredstava objavit će se na mrežnim stranicama </w:t>
      </w:r>
      <w:r w:rsidR="001C374B">
        <w:t xml:space="preserve">Općine </w:t>
      </w:r>
      <w:r w:rsidRPr="00513722">
        <w:t>(</w:t>
      </w:r>
      <w:bookmarkStart w:id="1" w:name="_Hlk528069781"/>
      <w:r w:rsidR="003338FD">
        <w:rPr>
          <w:rStyle w:val="Hiperveza"/>
        </w:rPr>
        <w:fldChar w:fldCharType="begin"/>
      </w:r>
      <w:r w:rsidR="00C61AD2">
        <w:rPr>
          <w:rStyle w:val="Hiperveza"/>
        </w:rPr>
        <w:instrText xml:space="preserve"> HYPERLINK "http://www.opcinagornjibogicevci.hr" </w:instrText>
      </w:r>
      <w:r w:rsidR="003338FD">
        <w:rPr>
          <w:rStyle w:val="Hiperveza"/>
        </w:rPr>
        <w:fldChar w:fldCharType="separate"/>
      </w:r>
      <w:r w:rsidRPr="00934EB1">
        <w:rPr>
          <w:rStyle w:val="Hiperveza"/>
        </w:rPr>
        <w:t>www.opcinagornjibogicevci</w:t>
      </w:r>
      <w:r w:rsidRPr="00513722">
        <w:rPr>
          <w:rStyle w:val="Hiperveza"/>
        </w:rPr>
        <w:t>.hr</w:t>
      </w:r>
      <w:r w:rsidR="003338FD">
        <w:rPr>
          <w:rStyle w:val="Hiperveza"/>
        </w:rPr>
        <w:fldChar w:fldCharType="end"/>
      </w:r>
      <w:bookmarkEnd w:id="1"/>
      <w:r>
        <w:t xml:space="preserve"> </w:t>
      </w:r>
      <w:r w:rsidRPr="00513722">
        <w:t xml:space="preserve">). </w:t>
      </w:r>
    </w:p>
    <w:p w:rsidR="00703BAA" w:rsidRDefault="00703BAA" w:rsidP="00703BAA">
      <w:pPr>
        <w:pStyle w:val="Default"/>
        <w:rPr>
          <w:color w:val="auto"/>
        </w:rPr>
      </w:pPr>
    </w:p>
    <w:p w:rsidR="00703BAA" w:rsidRDefault="00703BAA" w:rsidP="00703BAA">
      <w:pPr>
        <w:pStyle w:val="Default"/>
        <w:rPr>
          <w:color w:val="auto"/>
          <w:sz w:val="22"/>
          <w:szCs w:val="22"/>
        </w:rPr>
      </w:pPr>
      <w:r>
        <w:rPr>
          <w:b/>
          <w:bCs/>
          <w:color w:val="auto"/>
          <w:sz w:val="22"/>
          <w:szCs w:val="22"/>
        </w:rPr>
        <w:t xml:space="preserve">6. NAČIN PODNOŠENJA PRIJAVE ZA DODJELU BESPOVRATNE POTPORE </w:t>
      </w:r>
    </w:p>
    <w:p w:rsidR="00703BAA" w:rsidRDefault="00703BAA" w:rsidP="00C61AD2">
      <w:pPr>
        <w:pStyle w:val="Default"/>
        <w:jc w:val="both"/>
        <w:rPr>
          <w:color w:val="auto"/>
          <w:sz w:val="22"/>
          <w:szCs w:val="22"/>
        </w:rPr>
      </w:pPr>
      <w:r>
        <w:rPr>
          <w:color w:val="auto"/>
          <w:sz w:val="22"/>
          <w:szCs w:val="22"/>
        </w:rPr>
        <w:t xml:space="preserve">Cjeloviti tekst Programa i popratna dokumentacija sastavni je dio ovog Otvorenog javnog poziva i nalazi se na mrežnim stranicama </w:t>
      </w:r>
      <w:r w:rsidR="00C61AD2">
        <w:rPr>
          <w:color w:val="auto"/>
          <w:sz w:val="22"/>
          <w:szCs w:val="22"/>
        </w:rPr>
        <w:t>Općine.</w:t>
      </w:r>
      <w:r>
        <w:rPr>
          <w:color w:val="auto"/>
          <w:sz w:val="22"/>
          <w:szCs w:val="22"/>
        </w:rPr>
        <w:t xml:space="preserve"> </w:t>
      </w:r>
    </w:p>
    <w:p w:rsidR="00703BAA" w:rsidRDefault="00703BAA" w:rsidP="00C61AD2">
      <w:pPr>
        <w:pStyle w:val="Default"/>
        <w:jc w:val="both"/>
        <w:rPr>
          <w:color w:val="auto"/>
          <w:sz w:val="22"/>
          <w:szCs w:val="22"/>
        </w:rPr>
      </w:pPr>
      <w:r>
        <w:rPr>
          <w:color w:val="auto"/>
          <w:sz w:val="22"/>
          <w:szCs w:val="22"/>
        </w:rPr>
        <w:t xml:space="preserve">Prijava za dodjelu bespovratne potpore podnosi se putem pripadajućeg Prijavnog obrasca. Uz ispunjeni Prijavni obrazac obavezno se prilaže i propisana dokumentacija. </w:t>
      </w:r>
    </w:p>
    <w:p w:rsidR="00C61AD2" w:rsidRDefault="00C61AD2" w:rsidP="00703BAA">
      <w:pPr>
        <w:pStyle w:val="Default"/>
        <w:rPr>
          <w:b/>
          <w:bCs/>
          <w:color w:val="auto"/>
          <w:sz w:val="22"/>
          <w:szCs w:val="22"/>
        </w:rPr>
      </w:pPr>
    </w:p>
    <w:p w:rsidR="00703BAA" w:rsidRDefault="00703BAA" w:rsidP="00703BAA">
      <w:pPr>
        <w:pStyle w:val="Default"/>
        <w:rPr>
          <w:color w:val="auto"/>
          <w:sz w:val="22"/>
          <w:szCs w:val="22"/>
        </w:rPr>
      </w:pPr>
      <w:r>
        <w:rPr>
          <w:b/>
          <w:bCs/>
          <w:color w:val="auto"/>
          <w:sz w:val="22"/>
          <w:szCs w:val="22"/>
        </w:rPr>
        <w:t xml:space="preserve">7. POSTUPAK ODOBRAVANJA POTPORE </w:t>
      </w:r>
    </w:p>
    <w:p w:rsidR="00703BAA" w:rsidRDefault="00703BAA" w:rsidP="00C61AD2">
      <w:pPr>
        <w:pStyle w:val="Default"/>
        <w:jc w:val="both"/>
        <w:rPr>
          <w:color w:val="auto"/>
          <w:sz w:val="22"/>
          <w:szCs w:val="22"/>
        </w:rPr>
      </w:pPr>
      <w:r>
        <w:rPr>
          <w:color w:val="auto"/>
          <w:sz w:val="22"/>
          <w:szCs w:val="22"/>
        </w:rPr>
        <w:t xml:space="preserve">Sredstva se odobravaju korisnicima koji udovoljavaju administrativnim uvjetima i uvjetima prihvatljivosti za dodjelu potpore do konačne raspodjele ukupnog iznosa proračunskih sredstava osiguranih za provedbu Programa. </w:t>
      </w:r>
    </w:p>
    <w:p w:rsidR="00C61AD2" w:rsidRDefault="00C61AD2" w:rsidP="00C61AD2">
      <w:pPr>
        <w:pStyle w:val="Default"/>
        <w:jc w:val="both"/>
        <w:rPr>
          <w:color w:val="auto"/>
          <w:sz w:val="22"/>
          <w:szCs w:val="22"/>
        </w:rPr>
      </w:pPr>
    </w:p>
    <w:p w:rsidR="00703BAA" w:rsidRDefault="00703BAA" w:rsidP="00703BAA">
      <w:pPr>
        <w:pStyle w:val="Default"/>
        <w:rPr>
          <w:color w:val="auto"/>
          <w:sz w:val="22"/>
          <w:szCs w:val="22"/>
        </w:rPr>
      </w:pPr>
      <w:r>
        <w:rPr>
          <w:b/>
          <w:bCs/>
          <w:color w:val="auto"/>
          <w:sz w:val="22"/>
          <w:szCs w:val="22"/>
        </w:rPr>
        <w:t xml:space="preserve">8. NADZOR </w:t>
      </w:r>
    </w:p>
    <w:p w:rsidR="00703BAA" w:rsidRDefault="00703BAA" w:rsidP="00C61AD2">
      <w:pPr>
        <w:pStyle w:val="Default"/>
        <w:jc w:val="both"/>
        <w:rPr>
          <w:color w:val="auto"/>
          <w:sz w:val="22"/>
          <w:szCs w:val="22"/>
        </w:rPr>
      </w:pPr>
      <w:r>
        <w:rPr>
          <w:color w:val="auto"/>
          <w:sz w:val="22"/>
          <w:szCs w:val="22"/>
        </w:rPr>
        <w:t xml:space="preserve">U svrhu provođenja kontrole namjenskog korištenja sredstava Općina Gornji </w:t>
      </w:r>
      <w:proofErr w:type="spellStart"/>
      <w:r>
        <w:rPr>
          <w:color w:val="auto"/>
          <w:sz w:val="22"/>
          <w:szCs w:val="22"/>
        </w:rPr>
        <w:t>Bogićevci</w:t>
      </w:r>
      <w:proofErr w:type="spellEnd"/>
      <w:r w:rsidR="00C61AD2">
        <w:rPr>
          <w:color w:val="auto"/>
          <w:sz w:val="22"/>
          <w:szCs w:val="22"/>
        </w:rPr>
        <w:t xml:space="preserve"> </w:t>
      </w:r>
      <w:r>
        <w:rPr>
          <w:color w:val="auto"/>
          <w:sz w:val="22"/>
          <w:szCs w:val="22"/>
        </w:rPr>
        <w:t>ovlašten</w:t>
      </w:r>
      <w:r w:rsidR="00C61AD2">
        <w:rPr>
          <w:color w:val="auto"/>
          <w:sz w:val="22"/>
          <w:szCs w:val="22"/>
        </w:rPr>
        <w:t>a</w:t>
      </w:r>
      <w:r>
        <w:rPr>
          <w:color w:val="auto"/>
          <w:sz w:val="22"/>
          <w:szCs w:val="22"/>
        </w:rPr>
        <w:t xml:space="preserve"> je izvršiti provjeru korištenja odobrenih sredstava obilaskom korisnika i njegovih poslovnih objekata te uvidom u dokumentaciju na temelju koje je ostvarena potpora. </w:t>
      </w:r>
    </w:p>
    <w:p w:rsidR="00703BAA" w:rsidRDefault="00703BAA" w:rsidP="00C61AD2">
      <w:pPr>
        <w:pStyle w:val="Default"/>
        <w:jc w:val="both"/>
        <w:rPr>
          <w:b/>
          <w:bCs/>
          <w:color w:val="auto"/>
          <w:sz w:val="22"/>
          <w:szCs w:val="22"/>
        </w:rPr>
      </w:pPr>
      <w:r>
        <w:rPr>
          <w:b/>
          <w:bCs/>
          <w:color w:val="auto"/>
          <w:sz w:val="22"/>
          <w:szCs w:val="22"/>
        </w:rPr>
        <w:t xml:space="preserve">Korisnici kod kojih se prilikom kontrole utvrdi nenamjensko trošenje sredstava, bit će dužni vratiti dodijeljena sredstva s pripadajućom zakonskom zateznom kamatom te će ih se uvrstiti na popis korisnika koji nisu namjenski koristili sredstva. </w:t>
      </w:r>
    </w:p>
    <w:p w:rsidR="00C61AD2" w:rsidRDefault="00C61AD2" w:rsidP="00C61AD2">
      <w:pPr>
        <w:pStyle w:val="Default"/>
        <w:jc w:val="both"/>
        <w:rPr>
          <w:color w:val="auto"/>
          <w:sz w:val="22"/>
          <w:szCs w:val="22"/>
        </w:rPr>
      </w:pPr>
    </w:p>
    <w:p w:rsidR="00703BAA" w:rsidRDefault="00703BAA" w:rsidP="00703BAA">
      <w:pPr>
        <w:pStyle w:val="Default"/>
        <w:rPr>
          <w:color w:val="auto"/>
          <w:sz w:val="22"/>
          <w:szCs w:val="22"/>
        </w:rPr>
      </w:pPr>
      <w:r>
        <w:rPr>
          <w:b/>
          <w:bCs/>
          <w:color w:val="auto"/>
          <w:sz w:val="22"/>
          <w:szCs w:val="22"/>
        </w:rPr>
        <w:t xml:space="preserve">9. ZAVRŠNE ODREDBE </w:t>
      </w:r>
    </w:p>
    <w:p w:rsidR="00703BAA" w:rsidRDefault="00703BAA" w:rsidP="00703BAA">
      <w:pPr>
        <w:pStyle w:val="Default"/>
        <w:rPr>
          <w:color w:val="auto"/>
          <w:sz w:val="22"/>
          <w:szCs w:val="22"/>
        </w:rPr>
      </w:pPr>
      <w:r>
        <w:rPr>
          <w:b/>
          <w:bCs/>
          <w:color w:val="auto"/>
          <w:sz w:val="22"/>
          <w:szCs w:val="22"/>
        </w:rPr>
        <w:t xml:space="preserve">Općina Gornji </w:t>
      </w:r>
      <w:proofErr w:type="spellStart"/>
      <w:r>
        <w:rPr>
          <w:b/>
          <w:bCs/>
          <w:color w:val="auto"/>
          <w:sz w:val="22"/>
          <w:szCs w:val="22"/>
        </w:rPr>
        <w:t>Bogićevci</w:t>
      </w:r>
      <w:proofErr w:type="spellEnd"/>
      <w:r>
        <w:rPr>
          <w:b/>
          <w:bCs/>
          <w:color w:val="auto"/>
          <w:sz w:val="22"/>
          <w:szCs w:val="22"/>
        </w:rPr>
        <w:t xml:space="preserve"> zadržava pravo izmjena i dopuna ovog Otvorenog javnog poziva. </w:t>
      </w:r>
    </w:p>
    <w:p w:rsidR="00703BAA" w:rsidRDefault="00703BAA" w:rsidP="00703BAA">
      <w:pPr>
        <w:pStyle w:val="Default"/>
        <w:rPr>
          <w:color w:val="auto"/>
          <w:sz w:val="22"/>
          <w:szCs w:val="22"/>
        </w:rPr>
      </w:pPr>
      <w:r>
        <w:rPr>
          <w:color w:val="auto"/>
          <w:sz w:val="22"/>
          <w:szCs w:val="22"/>
        </w:rPr>
        <w:t xml:space="preserve">Eventualne izmjene i dopune Otvorenog javnog poziva objaviti će se na mrežnim stranicama Općine Gornji </w:t>
      </w:r>
      <w:proofErr w:type="spellStart"/>
      <w:r>
        <w:rPr>
          <w:color w:val="auto"/>
          <w:sz w:val="22"/>
          <w:szCs w:val="22"/>
        </w:rPr>
        <w:t>Bogićevci</w:t>
      </w:r>
      <w:proofErr w:type="spellEnd"/>
      <w:r>
        <w:rPr>
          <w:color w:val="auto"/>
          <w:sz w:val="22"/>
          <w:szCs w:val="22"/>
        </w:rPr>
        <w:t xml:space="preserve"> (</w:t>
      </w:r>
      <w:hyperlink r:id="rId12" w:history="1">
        <w:r w:rsidR="00C61AD2" w:rsidRPr="00934EB1">
          <w:rPr>
            <w:rStyle w:val="Hiperveza"/>
          </w:rPr>
          <w:t>www.opcinagornjibogicevci</w:t>
        </w:r>
        <w:r w:rsidR="00C61AD2" w:rsidRPr="00513722">
          <w:rPr>
            <w:rStyle w:val="Hiperveza"/>
          </w:rPr>
          <w:t>.hr</w:t>
        </w:r>
      </w:hyperlink>
      <w:r>
        <w:rPr>
          <w:color w:val="auto"/>
          <w:sz w:val="22"/>
          <w:szCs w:val="22"/>
        </w:rPr>
        <w:t xml:space="preserve">). </w:t>
      </w:r>
    </w:p>
    <w:p w:rsidR="00C61AD2" w:rsidRDefault="00C61AD2" w:rsidP="00703BAA">
      <w:pPr>
        <w:pStyle w:val="Default"/>
        <w:rPr>
          <w:color w:val="auto"/>
          <w:sz w:val="22"/>
          <w:szCs w:val="22"/>
        </w:rPr>
      </w:pPr>
    </w:p>
    <w:p w:rsidR="00C61AD2" w:rsidRDefault="00C61AD2" w:rsidP="00703BAA">
      <w:pPr>
        <w:pStyle w:val="Default"/>
        <w:rPr>
          <w:color w:val="auto"/>
          <w:sz w:val="22"/>
          <w:szCs w:val="22"/>
        </w:rPr>
      </w:pPr>
    </w:p>
    <w:p w:rsidR="00C61AD2" w:rsidRDefault="00C61AD2" w:rsidP="00703BAA">
      <w:pPr>
        <w:pStyle w:val="Default"/>
        <w:rPr>
          <w:color w:val="auto"/>
          <w:sz w:val="22"/>
          <w:szCs w:val="22"/>
        </w:rPr>
      </w:pPr>
    </w:p>
    <w:p w:rsidR="00C61AD2" w:rsidRDefault="00C61AD2" w:rsidP="00C61AD2">
      <w:pPr>
        <w:pStyle w:val="Default"/>
        <w:jc w:val="right"/>
        <w:rPr>
          <w:color w:val="auto"/>
          <w:sz w:val="22"/>
          <w:szCs w:val="22"/>
        </w:rPr>
      </w:pPr>
      <w:r>
        <w:rPr>
          <w:color w:val="auto"/>
          <w:sz w:val="22"/>
          <w:szCs w:val="22"/>
        </w:rPr>
        <w:t>Načelnik Općine:</w:t>
      </w:r>
    </w:p>
    <w:p w:rsidR="00C61AD2" w:rsidRDefault="00C61AD2" w:rsidP="00C61AD2">
      <w:pPr>
        <w:pStyle w:val="Default"/>
        <w:jc w:val="right"/>
        <w:rPr>
          <w:color w:val="auto"/>
          <w:sz w:val="22"/>
          <w:szCs w:val="22"/>
        </w:rPr>
      </w:pPr>
      <w:r>
        <w:rPr>
          <w:color w:val="auto"/>
          <w:sz w:val="22"/>
          <w:szCs w:val="22"/>
        </w:rPr>
        <w:t xml:space="preserve">Pavo Klarić, </w:t>
      </w:r>
      <w:proofErr w:type="spellStart"/>
      <w:r>
        <w:rPr>
          <w:color w:val="auto"/>
          <w:sz w:val="22"/>
          <w:szCs w:val="22"/>
        </w:rPr>
        <w:t>dipl.oec</w:t>
      </w:r>
      <w:proofErr w:type="spellEnd"/>
      <w:r>
        <w:rPr>
          <w:color w:val="auto"/>
          <w:sz w:val="22"/>
          <w:szCs w:val="22"/>
        </w:rPr>
        <w:t>.</w:t>
      </w:r>
    </w:p>
    <w:p w:rsidR="00C61AD2" w:rsidRDefault="00C61AD2" w:rsidP="00C61AD2">
      <w:pPr>
        <w:pStyle w:val="Default"/>
        <w:jc w:val="right"/>
        <w:rPr>
          <w:color w:val="auto"/>
          <w:sz w:val="22"/>
          <w:szCs w:val="22"/>
        </w:rPr>
      </w:pPr>
    </w:p>
    <w:p w:rsidR="00C61AD2" w:rsidRDefault="00C61AD2" w:rsidP="00C61AD2">
      <w:pPr>
        <w:pStyle w:val="Default"/>
        <w:rPr>
          <w:color w:val="auto"/>
          <w:sz w:val="22"/>
          <w:szCs w:val="22"/>
        </w:rPr>
      </w:pPr>
      <w:r>
        <w:rPr>
          <w:color w:val="auto"/>
          <w:sz w:val="22"/>
          <w:szCs w:val="22"/>
        </w:rPr>
        <w:t>KLASA: 302-0</w:t>
      </w:r>
      <w:r w:rsidR="00DD7812">
        <w:rPr>
          <w:color w:val="auto"/>
          <w:sz w:val="22"/>
          <w:szCs w:val="22"/>
        </w:rPr>
        <w:t>1-</w:t>
      </w:r>
      <w:r w:rsidR="00F424F2">
        <w:rPr>
          <w:color w:val="auto"/>
          <w:sz w:val="22"/>
          <w:szCs w:val="22"/>
        </w:rPr>
        <w:t>2</w:t>
      </w:r>
      <w:r w:rsidR="00BF09DB">
        <w:rPr>
          <w:color w:val="auto"/>
          <w:sz w:val="22"/>
          <w:szCs w:val="22"/>
        </w:rPr>
        <w:t>5</w:t>
      </w:r>
      <w:r>
        <w:rPr>
          <w:color w:val="auto"/>
          <w:sz w:val="22"/>
          <w:szCs w:val="22"/>
        </w:rPr>
        <w:t>-01</w:t>
      </w:r>
      <w:r w:rsidR="00DD7812">
        <w:rPr>
          <w:color w:val="auto"/>
          <w:sz w:val="22"/>
          <w:szCs w:val="22"/>
        </w:rPr>
        <w:t>-</w:t>
      </w:r>
      <w:r>
        <w:rPr>
          <w:color w:val="auto"/>
          <w:sz w:val="22"/>
          <w:szCs w:val="22"/>
        </w:rPr>
        <w:t xml:space="preserve">1 </w:t>
      </w:r>
    </w:p>
    <w:p w:rsidR="00C61AD2" w:rsidRDefault="00C61AD2" w:rsidP="00C61AD2">
      <w:pPr>
        <w:pStyle w:val="Default"/>
        <w:rPr>
          <w:color w:val="auto"/>
          <w:sz w:val="22"/>
          <w:szCs w:val="22"/>
        </w:rPr>
      </w:pPr>
      <w:r>
        <w:rPr>
          <w:color w:val="auto"/>
          <w:sz w:val="22"/>
          <w:szCs w:val="22"/>
        </w:rPr>
        <w:t>URBROJ: 2178</w:t>
      </w:r>
      <w:r w:rsidR="005073E3">
        <w:rPr>
          <w:color w:val="auto"/>
          <w:sz w:val="22"/>
          <w:szCs w:val="22"/>
        </w:rPr>
        <w:t>-22</w:t>
      </w:r>
      <w:r>
        <w:rPr>
          <w:color w:val="auto"/>
          <w:sz w:val="22"/>
          <w:szCs w:val="22"/>
        </w:rPr>
        <w:t>-01-</w:t>
      </w:r>
      <w:r w:rsidR="00F424F2">
        <w:rPr>
          <w:color w:val="auto"/>
          <w:sz w:val="22"/>
          <w:szCs w:val="22"/>
        </w:rPr>
        <w:t>2</w:t>
      </w:r>
      <w:r w:rsidR="00BF09DB">
        <w:rPr>
          <w:color w:val="auto"/>
          <w:sz w:val="22"/>
          <w:szCs w:val="22"/>
        </w:rPr>
        <w:t>5</w:t>
      </w:r>
      <w:r>
        <w:rPr>
          <w:color w:val="auto"/>
          <w:sz w:val="22"/>
          <w:szCs w:val="22"/>
        </w:rPr>
        <w:t xml:space="preserve">-1 </w:t>
      </w:r>
    </w:p>
    <w:p w:rsidR="0042351D" w:rsidRDefault="00C61AD2" w:rsidP="00A3790C">
      <w:r>
        <w:rPr>
          <w:sz w:val="22"/>
          <w:szCs w:val="22"/>
        </w:rPr>
        <w:t xml:space="preserve">Gornji </w:t>
      </w:r>
      <w:proofErr w:type="spellStart"/>
      <w:r>
        <w:rPr>
          <w:sz w:val="22"/>
          <w:szCs w:val="22"/>
        </w:rPr>
        <w:t>Bogićevci</w:t>
      </w:r>
      <w:proofErr w:type="spellEnd"/>
      <w:r>
        <w:rPr>
          <w:sz w:val="22"/>
          <w:szCs w:val="22"/>
        </w:rPr>
        <w:t xml:space="preserve">, </w:t>
      </w:r>
      <w:r w:rsidR="00BF09DB">
        <w:rPr>
          <w:sz w:val="22"/>
          <w:szCs w:val="22"/>
        </w:rPr>
        <w:t>1</w:t>
      </w:r>
      <w:r w:rsidR="00495223">
        <w:rPr>
          <w:sz w:val="22"/>
          <w:szCs w:val="22"/>
        </w:rPr>
        <w:t>0</w:t>
      </w:r>
      <w:r w:rsidR="00A3790C">
        <w:rPr>
          <w:sz w:val="22"/>
          <w:szCs w:val="22"/>
        </w:rPr>
        <w:t>.</w:t>
      </w:r>
      <w:r w:rsidR="00BF09DB">
        <w:rPr>
          <w:sz w:val="22"/>
          <w:szCs w:val="22"/>
        </w:rPr>
        <w:t>4</w:t>
      </w:r>
      <w:r w:rsidR="00A3790C">
        <w:rPr>
          <w:sz w:val="22"/>
          <w:szCs w:val="22"/>
        </w:rPr>
        <w:t>.202</w:t>
      </w:r>
      <w:r w:rsidR="00BF09DB">
        <w:rPr>
          <w:sz w:val="22"/>
          <w:szCs w:val="22"/>
        </w:rPr>
        <w:t>5</w:t>
      </w:r>
      <w:r w:rsidR="00A3790C">
        <w:rPr>
          <w:sz w:val="22"/>
          <w:szCs w:val="22"/>
        </w:rPr>
        <w:t>.g.</w:t>
      </w:r>
    </w:p>
    <w:sectPr w:rsidR="0042351D" w:rsidSect="00927E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351D"/>
    <w:rsid w:val="00110946"/>
    <w:rsid w:val="001C0BDA"/>
    <w:rsid w:val="001C374B"/>
    <w:rsid w:val="002E5080"/>
    <w:rsid w:val="00317CCD"/>
    <w:rsid w:val="003338FD"/>
    <w:rsid w:val="003374B5"/>
    <w:rsid w:val="00356188"/>
    <w:rsid w:val="0041006D"/>
    <w:rsid w:val="00413B94"/>
    <w:rsid w:val="0042351D"/>
    <w:rsid w:val="0043390E"/>
    <w:rsid w:val="00495223"/>
    <w:rsid w:val="005073E3"/>
    <w:rsid w:val="00513722"/>
    <w:rsid w:val="0053553F"/>
    <w:rsid w:val="006C7034"/>
    <w:rsid w:val="006F7C5B"/>
    <w:rsid w:val="00703BAA"/>
    <w:rsid w:val="0078113C"/>
    <w:rsid w:val="00790847"/>
    <w:rsid w:val="007B1F8C"/>
    <w:rsid w:val="00927EC5"/>
    <w:rsid w:val="00A3790C"/>
    <w:rsid w:val="00A66B9A"/>
    <w:rsid w:val="00B64E36"/>
    <w:rsid w:val="00BC5D44"/>
    <w:rsid w:val="00BF09DB"/>
    <w:rsid w:val="00C4335C"/>
    <w:rsid w:val="00C476DE"/>
    <w:rsid w:val="00C61AD2"/>
    <w:rsid w:val="00C65BF1"/>
    <w:rsid w:val="00C95CF2"/>
    <w:rsid w:val="00D0549C"/>
    <w:rsid w:val="00DD7812"/>
    <w:rsid w:val="00E76A8F"/>
    <w:rsid w:val="00EA79C8"/>
    <w:rsid w:val="00F424F2"/>
    <w:rsid w:val="00F5443C"/>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722"/>
    <w:pPr>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42351D"/>
    <w:pPr>
      <w:spacing w:after="0" w:line="240" w:lineRule="auto"/>
    </w:pPr>
    <w:rPr>
      <w:rFonts w:ascii="Times New Roman" w:eastAsia="Calibri" w:hAnsi="Times New Roman" w:cs="Times New Roman"/>
    </w:rPr>
  </w:style>
  <w:style w:type="paragraph" w:customStyle="1" w:styleId="Default">
    <w:name w:val="Default"/>
    <w:rsid w:val="00703BAA"/>
    <w:pPr>
      <w:autoSpaceDE w:val="0"/>
      <w:autoSpaceDN w:val="0"/>
      <w:adjustRightInd w:val="0"/>
      <w:spacing w:after="0" w:line="240" w:lineRule="auto"/>
    </w:pPr>
    <w:rPr>
      <w:rFonts w:ascii="Calibri" w:hAnsi="Calibri" w:cs="Calibri"/>
      <w:color w:val="000000"/>
      <w:sz w:val="24"/>
      <w:szCs w:val="24"/>
    </w:rPr>
  </w:style>
  <w:style w:type="character" w:styleId="Hiperveza">
    <w:name w:val="Hyperlink"/>
    <w:basedOn w:val="Zadanifontodlomka"/>
    <w:uiPriority w:val="99"/>
    <w:unhideWhenUsed/>
    <w:rsid w:val="007B1F8C"/>
    <w:rPr>
      <w:color w:val="0563C1" w:themeColor="hyperlink"/>
      <w:u w:val="single"/>
    </w:rPr>
  </w:style>
  <w:style w:type="character" w:customStyle="1" w:styleId="UnresolvedMention">
    <w:name w:val="Unresolved Mention"/>
    <w:basedOn w:val="Zadanifontodlomka"/>
    <w:uiPriority w:val="99"/>
    <w:semiHidden/>
    <w:unhideWhenUsed/>
    <w:rsid w:val="007B1F8C"/>
    <w:rPr>
      <w:color w:val="605E5C"/>
      <w:shd w:val="clear" w:color="auto" w:fill="E1DFDD"/>
    </w:rPr>
  </w:style>
  <w:style w:type="paragraph" w:styleId="Tekstbalonia">
    <w:name w:val="Balloon Text"/>
    <w:basedOn w:val="Normal"/>
    <w:link w:val="TekstbaloniaChar"/>
    <w:uiPriority w:val="99"/>
    <w:semiHidden/>
    <w:unhideWhenUsed/>
    <w:rsid w:val="00BC5D4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C5D44"/>
    <w:rPr>
      <w:rFonts w:ascii="Segoe UI" w:eastAsia="Times New Roman" w:hAnsi="Segoe UI" w:cs="Segoe UI"/>
      <w:sz w:val="18"/>
      <w:szCs w:val="18"/>
      <w:lang w:eastAsia="hr-H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terprise/policies/sme/facts-figures-analysis/sme-definition/index_hr.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reach-compliance.eu/english/REACH-ME/engine/sources/regulations/launch-2003-361-EC.html" TargetMode="External"/><Relationship Id="rId12" Type="http://schemas.openxmlformats.org/officeDocument/2006/relationships/hyperlink" Target="http://www.opcinagornjibogicevci.h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pcinagornjibogicevci.hr" TargetMode="External"/><Relationship Id="rId11" Type="http://schemas.openxmlformats.org/officeDocument/2006/relationships/image" Target="media/image4.emf"/><Relationship Id="rId5" Type="http://schemas.openxmlformats.org/officeDocument/2006/relationships/image" Target="media/image2.gif"/><Relationship Id="rId10" Type="http://schemas.openxmlformats.org/officeDocument/2006/relationships/image" Target="media/image3.emf"/><Relationship Id="rId4" Type="http://schemas.openxmlformats.org/officeDocument/2006/relationships/image" Target="media/image1.jpeg"/><Relationship Id="rId9" Type="http://schemas.openxmlformats.org/officeDocument/2006/relationships/hyperlink" Target="https://poduzetnistvo.gov.hr/UserDocsImages/arhiva/IZRACUN%20MSP.pdf"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3</Pages>
  <Words>1175</Words>
  <Characters>6703</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OGB</dc:creator>
  <cp:keywords/>
  <dc:description/>
  <cp:lastModifiedBy>X</cp:lastModifiedBy>
  <cp:revision>28</cp:revision>
  <cp:lastPrinted>2022-12-16T14:01:00Z</cp:lastPrinted>
  <dcterms:created xsi:type="dcterms:W3CDTF">2018-10-22T08:13:00Z</dcterms:created>
  <dcterms:modified xsi:type="dcterms:W3CDTF">2025-04-10T12:04:00Z</dcterms:modified>
</cp:coreProperties>
</file>