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351D" w:rsidRPr="00657414" w:rsidRDefault="0042351D" w:rsidP="0042351D">
      <w:pPr>
        <w:pStyle w:val="Bezproreda"/>
        <w:ind w:left="708"/>
        <w:rPr>
          <w:b/>
          <w:color w:val="262626"/>
          <w:sz w:val="28"/>
          <w:szCs w:val="25"/>
        </w:rPr>
      </w:pPr>
      <w:r>
        <w:rPr>
          <w:b/>
          <w:color w:val="262626"/>
          <w:sz w:val="28"/>
          <w:szCs w:val="25"/>
        </w:rPr>
        <w:t xml:space="preserve">        </w:t>
      </w:r>
      <w:r w:rsidRPr="005D323C">
        <w:rPr>
          <w:noProof/>
          <w:color w:val="262626"/>
          <w:lang w:eastAsia="hr-HR"/>
        </w:rPr>
        <w:drawing>
          <wp:inline distT="0" distB="0" distL="0" distR="0" wp14:anchorId="480F081D" wp14:editId="03B71D9A">
            <wp:extent cx="399600" cy="495300"/>
            <wp:effectExtent l="19050" t="0" r="450" b="0"/>
            <wp:docPr id="5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1D" w:rsidRPr="00657414" w:rsidRDefault="0042351D" w:rsidP="0042351D">
      <w:pPr>
        <w:pStyle w:val="Bezproreda"/>
        <w:rPr>
          <w:b/>
          <w:color w:val="262626"/>
          <w:sz w:val="28"/>
          <w:szCs w:val="25"/>
        </w:rPr>
      </w:pPr>
      <w:r w:rsidRPr="00657414">
        <w:rPr>
          <w:b/>
          <w:color w:val="262626"/>
          <w:sz w:val="20"/>
          <w:szCs w:val="25"/>
        </w:rPr>
        <w:t>R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E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P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U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B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L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I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K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A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 xml:space="preserve"> H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R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V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A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T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S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K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A</w:t>
      </w:r>
    </w:p>
    <w:p w:rsidR="0042351D" w:rsidRPr="00657414" w:rsidRDefault="0042351D" w:rsidP="0042351D">
      <w:pPr>
        <w:pStyle w:val="Bezproreda"/>
        <w:rPr>
          <w:b/>
          <w:color w:val="262626"/>
          <w:sz w:val="19"/>
          <w:szCs w:val="19"/>
        </w:rPr>
      </w:pPr>
      <w:r w:rsidRPr="00657414">
        <w:rPr>
          <w:b/>
          <w:color w:val="262626"/>
          <w:sz w:val="20"/>
          <w:szCs w:val="19"/>
        </w:rPr>
        <w:t>BRODSKO-POSAVSKA ŽUPANIJA</w:t>
      </w:r>
    </w:p>
    <w:p w:rsidR="0042351D" w:rsidRPr="00657414" w:rsidRDefault="0042351D" w:rsidP="0042351D">
      <w:pPr>
        <w:pStyle w:val="Bezproreda"/>
        <w:rPr>
          <w:b/>
          <w:color w:val="262626"/>
          <w:sz w:val="4"/>
          <w:szCs w:val="19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33"/>
        <w:gridCol w:w="2244"/>
      </w:tblGrid>
      <w:tr w:rsidR="0042351D" w:rsidRPr="00657414" w:rsidTr="00C449DC">
        <w:trPr>
          <w:trHeight w:val="143"/>
          <w:tblHeader/>
        </w:trPr>
        <w:tc>
          <w:tcPr>
            <w:tcW w:w="733" w:type="dxa"/>
          </w:tcPr>
          <w:p w:rsidR="0042351D" w:rsidRPr="00657414" w:rsidRDefault="0042351D" w:rsidP="00C449DC">
            <w:pPr>
              <w:pStyle w:val="Bezproreda"/>
              <w:jc w:val="center"/>
              <w:rPr>
                <w:rFonts w:ascii="Calibri" w:hAnsi="Calibri"/>
                <w:b/>
                <w:color w:val="262626"/>
              </w:rPr>
            </w:pPr>
            <w:r>
              <w:rPr>
                <w:rFonts w:ascii="Calibri" w:hAnsi="Calibri"/>
                <w:b/>
                <w:noProof/>
                <w:color w:val="262626"/>
                <w:lang w:eastAsia="hr-HR"/>
              </w:rPr>
              <w:drawing>
                <wp:inline distT="0" distB="0" distL="0" distR="0" wp14:anchorId="22F740FD" wp14:editId="0284EB8D">
                  <wp:extent cx="371475" cy="495300"/>
                  <wp:effectExtent l="0" t="0" r="9525" b="0"/>
                  <wp:docPr id="6" name="il_fi" descr="http://upload.wikimedia.org/wikipedia/hr/4/47/Gornji_Bogi%C4%87evci_(grb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hr/4/47/Gornji_Bogi%C4%87evci_(grb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vAlign w:val="center"/>
          </w:tcPr>
          <w:p w:rsidR="0042351D" w:rsidRPr="00657414" w:rsidRDefault="0042351D" w:rsidP="00C449DC">
            <w:pPr>
              <w:pStyle w:val="Bezproreda"/>
              <w:jc w:val="center"/>
              <w:rPr>
                <w:b/>
                <w:color w:val="262626"/>
                <w:sz w:val="28"/>
              </w:rPr>
            </w:pPr>
            <w:r w:rsidRPr="00657414">
              <w:rPr>
                <w:b/>
                <w:color w:val="262626"/>
                <w:sz w:val="20"/>
              </w:rPr>
              <w:t xml:space="preserve">OPĆINA </w:t>
            </w:r>
            <w:r>
              <w:rPr>
                <w:b/>
                <w:color w:val="262626"/>
                <w:sz w:val="20"/>
              </w:rPr>
              <w:t>GORNJI BOGIĆEVCI</w:t>
            </w:r>
          </w:p>
          <w:p w:rsidR="0042351D" w:rsidRPr="00657414" w:rsidRDefault="0042351D" w:rsidP="00C449DC">
            <w:pPr>
              <w:pStyle w:val="Bezproreda"/>
              <w:jc w:val="center"/>
              <w:rPr>
                <w:b/>
                <w:color w:val="262626"/>
                <w:sz w:val="28"/>
              </w:rPr>
            </w:pPr>
            <w:r w:rsidRPr="00657414">
              <w:rPr>
                <w:color w:val="262626"/>
                <w:sz w:val="20"/>
              </w:rPr>
              <w:t>Jedinstveni upravni odjel</w:t>
            </w:r>
          </w:p>
        </w:tc>
      </w:tr>
    </w:tbl>
    <w:p w:rsidR="00317CCD" w:rsidRDefault="00317CCD"/>
    <w:p w:rsidR="00703BAA" w:rsidRDefault="00703BAA" w:rsidP="00703BAA">
      <w:pPr>
        <w:pStyle w:val="Default"/>
      </w:pPr>
    </w:p>
    <w:p w:rsidR="00703BAA" w:rsidRDefault="00703BAA" w:rsidP="00703BA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 B J A V LJ U J E</w:t>
      </w:r>
    </w:p>
    <w:p w:rsidR="00703BAA" w:rsidRDefault="00703BAA" w:rsidP="00703BAA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OTVORENI JAVNI POZIV</w:t>
      </w:r>
    </w:p>
    <w:p w:rsidR="00703BAA" w:rsidRDefault="00703BAA" w:rsidP="00703BA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 Program „Razvoj mikro poduzetništva</w:t>
      </w:r>
      <w:r w:rsidR="0078113C">
        <w:rPr>
          <w:b/>
          <w:bCs/>
          <w:sz w:val="32"/>
          <w:szCs w:val="32"/>
        </w:rPr>
        <w:t xml:space="preserve"> – RMP/20</w:t>
      </w:r>
      <w:r w:rsidR="0041006D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“</w:t>
      </w:r>
    </w:p>
    <w:p w:rsidR="00703BAA" w:rsidRDefault="00703BAA" w:rsidP="00703BAA">
      <w:pPr>
        <w:pStyle w:val="Default"/>
        <w:jc w:val="center"/>
        <w:rPr>
          <w:sz w:val="32"/>
          <w:szCs w:val="32"/>
        </w:rPr>
      </w:pPr>
    </w:p>
    <w:p w:rsidR="00703BAA" w:rsidRDefault="00703BAA" w:rsidP="00703BA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PREDMET I TRAJANJE OTVORENOG JAVNOG POZIVA </w:t>
      </w:r>
    </w:p>
    <w:p w:rsidR="00703BAA" w:rsidRDefault="00703BAA" w:rsidP="007B1F8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Predmet ovog Otvorenog javnog poziva je dodjela bespovratnih sredstava Općine Gornji Bogićevci, poduzetništva i obrta (u daljnjem tekstu: Općina) temeljem Programa „Razvoj mikro poduzetništva“ za 20</w:t>
      </w:r>
      <w:r w:rsidR="00110946">
        <w:rPr>
          <w:sz w:val="22"/>
          <w:szCs w:val="22"/>
        </w:rPr>
        <w:t>20</w:t>
      </w:r>
      <w:r>
        <w:rPr>
          <w:sz w:val="22"/>
          <w:szCs w:val="22"/>
        </w:rPr>
        <w:t xml:space="preserve">. godinu (u daljnjem tekstu: Program). </w:t>
      </w:r>
    </w:p>
    <w:p w:rsidR="00703BAA" w:rsidRDefault="00703BAA" w:rsidP="007B1F8C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Poziv se objavljuje na mrežnim stranicama </w:t>
      </w:r>
      <w:r w:rsidR="007B1F8C">
        <w:rPr>
          <w:sz w:val="22"/>
          <w:szCs w:val="22"/>
        </w:rPr>
        <w:t>Općine</w:t>
      </w:r>
      <w:r>
        <w:rPr>
          <w:sz w:val="22"/>
          <w:szCs w:val="22"/>
        </w:rPr>
        <w:t xml:space="preserve"> (</w:t>
      </w:r>
      <w:hyperlink r:id="rId6" w:history="1">
        <w:bookmarkStart w:id="0" w:name="_Hlk527970450"/>
        <w:r w:rsidR="007B1F8C" w:rsidRPr="00FD18CB">
          <w:rPr>
            <w:rStyle w:val="Hiperveza"/>
            <w:sz w:val="22"/>
            <w:szCs w:val="22"/>
          </w:rPr>
          <w:t>www.opcinagornjibogicevci</w:t>
        </w:r>
        <w:bookmarkEnd w:id="0"/>
        <w:r w:rsidR="007B1F8C" w:rsidRPr="00FD18CB">
          <w:rPr>
            <w:rStyle w:val="Hiperveza"/>
            <w:sz w:val="22"/>
            <w:szCs w:val="22"/>
          </w:rPr>
          <w:t>.hr</w:t>
        </w:r>
      </w:hyperlink>
      <w:r w:rsidR="007B1F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). Prijave se zaprimaju isključivo od </w:t>
      </w:r>
      <w:r w:rsidR="00110946">
        <w:rPr>
          <w:sz w:val="22"/>
          <w:szCs w:val="22"/>
        </w:rPr>
        <w:t>13</w:t>
      </w:r>
      <w:r>
        <w:rPr>
          <w:sz w:val="22"/>
          <w:szCs w:val="22"/>
        </w:rPr>
        <w:t xml:space="preserve">. </w:t>
      </w:r>
      <w:r w:rsidR="00110946">
        <w:rPr>
          <w:sz w:val="22"/>
          <w:szCs w:val="22"/>
        </w:rPr>
        <w:t>srpnja</w:t>
      </w:r>
      <w:r>
        <w:rPr>
          <w:sz w:val="22"/>
          <w:szCs w:val="22"/>
        </w:rPr>
        <w:t xml:space="preserve"> 20</w:t>
      </w:r>
      <w:r w:rsidR="00110946">
        <w:rPr>
          <w:sz w:val="22"/>
          <w:szCs w:val="22"/>
        </w:rPr>
        <w:t>20</w:t>
      </w:r>
      <w:r>
        <w:rPr>
          <w:sz w:val="22"/>
          <w:szCs w:val="22"/>
        </w:rPr>
        <w:t xml:space="preserve">. godine (sukladno točki </w:t>
      </w:r>
      <w:r w:rsidR="00413B94">
        <w:rPr>
          <w:sz w:val="22"/>
          <w:szCs w:val="22"/>
        </w:rPr>
        <w:t>8</w:t>
      </w:r>
      <w:r>
        <w:rPr>
          <w:sz w:val="22"/>
          <w:szCs w:val="22"/>
        </w:rPr>
        <w:t xml:space="preserve">. Programa). Otvoreni javni poziv je otvoren </w:t>
      </w:r>
      <w:r>
        <w:rPr>
          <w:b/>
          <w:bCs/>
          <w:sz w:val="22"/>
          <w:szCs w:val="22"/>
        </w:rPr>
        <w:t xml:space="preserve">do </w:t>
      </w:r>
      <w:r w:rsidR="00413B94">
        <w:rPr>
          <w:b/>
          <w:bCs/>
          <w:sz w:val="22"/>
          <w:szCs w:val="22"/>
        </w:rPr>
        <w:t>2</w:t>
      </w:r>
      <w:r w:rsidR="00110946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 </w:t>
      </w:r>
      <w:r w:rsidR="00413B94">
        <w:rPr>
          <w:b/>
          <w:bCs/>
          <w:sz w:val="22"/>
          <w:szCs w:val="22"/>
        </w:rPr>
        <w:t>prosinca</w:t>
      </w:r>
      <w:r>
        <w:rPr>
          <w:b/>
          <w:bCs/>
          <w:sz w:val="22"/>
          <w:szCs w:val="22"/>
        </w:rPr>
        <w:t xml:space="preserve"> 20</w:t>
      </w:r>
      <w:r w:rsidR="00110946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. godine</w:t>
      </w:r>
      <w:r w:rsidR="006F7C5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413B94">
        <w:rPr>
          <w:b/>
          <w:bCs/>
          <w:sz w:val="22"/>
          <w:szCs w:val="22"/>
        </w:rPr>
        <w:t xml:space="preserve">ili do iskorištenja ukupno alociranih sredstava sukladno točki 3. programa </w:t>
      </w:r>
    </w:p>
    <w:p w:rsidR="00413B94" w:rsidRDefault="00413B94" w:rsidP="007B1F8C">
      <w:pPr>
        <w:pStyle w:val="Default"/>
        <w:jc w:val="both"/>
        <w:rPr>
          <w:sz w:val="22"/>
          <w:szCs w:val="22"/>
        </w:rPr>
      </w:pPr>
    </w:p>
    <w:p w:rsidR="00703BAA" w:rsidRDefault="00703BAA" w:rsidP="00703BA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IZNOS PRORAČUNSKIH SREDSTAVA </w:t>
      </w:r>
    </w:p>
    <w:p w:rsidR="00703BAA" w:rsidRDefault="00703BAA" w:rsidP="00413B9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Davatelj potpore je Općina Gornji Bogićevci. </w:t>
      </w:r>
    </w:p>
    <w:p w:rsidR="00703BAA" w:rsidRDefault="00703BAA" w:rsidP="00413B9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proračunu Općine Gornji Bogićevci, na proračunskoj aktivnosti </w:t>
      </w:r>
      <w:r w:rsidR="00413B94">
        <w:rPr>
          <w:sz w:val="22"/>
          <w:szCs w:val="22"/>
        </w:rPr>
        <w:t>„</w:t>
      </w:r>
      <w:r w:rsidR="00413B94" w:rsidRPr="00C84069">
        <w:rPr>
          <w:sz w:val="22"/>
          <w:szCs w:val="22"/>
        </w:rPr>
        <w:t>Subvencije trg</w:t>
      </w:r>
      <w:r w:rsidR="00413B94">
        <w:rPr>
          <w:sz w:val="22"/>
          <w:szCs w:val="22"/>
        </w:rPr>
        <w:t xml:space="preserve">ovačkim </w:t>
      </w:r>
      <w:r w:rsidR="00413B94" w:rsidRPr="00C84069">
        <w:rPr>
          <w:sz w:val="22"/>
          <w:szCs w:val="22"/>
        </w:rPr>
        <w:t>društvima,</w:t>
      </w:r>
      <w:r w:rsidR="00413B94">
        <w:rPr>
          <w:sz w:val="22"/>
          <w:szCs w:val="22"/>
        </w:rPr>
        <w:t xml:space="preserve"> </w:t>
      </w:r>
      <w:r w:rsidR="00413B94" w:rsidRPr="00C84069">
        <w:rPr>
          <w:sz w:val="22"/>
          <w:szCs w:val="22"/>
        </w:rPr>
        <w:t>poljop</w:t>
      </w:r>
      <w:r w:rsidR="00413B94">
        <w:rPr>
          <w:sz w:val="22"/>
          <w:szCs w:val="22"/>
        </w:rPr>
        <w:t>rivrednicima</w:t>
      </w:r>
      <w:r w:rsidR="00413B94" w:rsidRPr="00C84069">
        <w:rPr>
          <w:sz w:val="22"/>
          <w:szCs w:val="22"/>
        </w:rPr>
        <w:t xml:space="preserve"> i obrtnicima izvan javnog sektora</w:t>
      </w:r>
      <w:r w:rsidR="00413B94">
        <w:rPr>
          <w:sz w:val="22"/>
          <w:szCs w:val="22"/>
        </w:rPr>
        <w:t>“</w:t>
      </w:r>
      <w:r>
        <w:rPr>
          <w:sz w:val="22"/>
          <w:szCs w:val="22"/>
        </w:rPr>
        <w:t xml:space="preserve"> planirano je ukupno </w:t>
      </w:r>
      <w:r w:rsidR="001C0BDA">
        <w:rPr>
          <w:sz w:val="22"/>
          <w:szCs w:val="22"/>
        </w:rPr>
        <w:t>4</w:t>
      </w:r>
      <w:r>
        <w:rPr>
          <w:sz w:val="22"/>
          <w:szCs w:val="22"/>
        </w:rPr>
        <w:t xml:space="preserve">0.000,00 kuna za dodjelu bespovratnih potpora temeljem ovog Otvorenog javnog poziva. </w:t>
      </w:r>
    </w:p>
    <w:p w:rsidR="00413B94" w:rsidRDefault="00413B94" w:rsidP="00413B94">
      <w:pPr>
        <w:pStyle w:val="Default"/>
        <w:jc w:val="both"/>
        <w:rPr>
          <w:sz w:val="22"/>
          <w:szCs w:val="22"/>
        </w:rPr>
      </w:pPr>
    </w:p>
    <w:p w:rsidR="00703BAA" w:rsidRDefault="00703BAA" w:rsidP="00703BA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KORISNICI </w:t>
      </w:r>
    </w:p>
    <w:p w:rsidR="00703BAA" w:rsidRDefault="00703BAA" w:rsidP="00413B9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Ovaj Otvoreni javni poziv namijenjen je mikro</w:t>
      </w:r>
      <w:r w:rsidR="00413B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poduzetnicima koji </w:t>
      </w:r>
      <w:r w:rsidR="00413B94">
        <w:rPr>
          <w:sz w:val="22"/>
          <w:szCs w:val="22"/>
        </w:rPr>
        <w:t>otvaraju nov</w:t>
      </w:r>
      <w:r w:rsidR="00513722">
        <w:rPr>
          <w:sz w:val="22"/>
          <w:szCs w:val="22"/>
        </w:rPr>
        <w:t>a</w:t>
      </w:r>
      <w:r w:rsidR="00413B94">
        <w:rPr>
          <w:sz w:val="22"/>
          <w:szCs w:val="22"/>
        </w:rPr>
        <w:t xml:space="preserve"> mikro poduzeća, kao i proširenje i unaprjeđenje postojećih koji će rezultirati novim zapošljavanjem.</w:t>
      </w:r>
      <w:r w:rsidR="00513722">
        <w:rPr>
          <w:sz w:val="22"/>
          <w:szCs w:val="22"/>
        </w:rPr>
        <w:t xml:space="preserve"> </w:t>
      </w:r>
      <w:r>
        <w:rPr>
          <w:sz w:val="22"/>
          <w:szCs w:val="22"/>
        </w:rPr>
        <w:t>Kako bi se ispunili uvjeti prihvatljivosti, Podnositelji prijave koji obavljaju gospodarsku djelatnost moraju biti pravne ili fizičke osobe koje su mikro poduzeća sukladno Preporuci Europske komisije 2003/361/EC od 6. svibnja 2003</w:t>
      </w:r>
      <w:r>
        <w:rPr>
          <w:sz w:val="14"/>
          <w:szCs w:val="14"/>
        </w:rPr>
        <w:t>1</w:t>
      </w:r>
      <w:r>
        <w:rPr>
          <w:sz w:val="22"/>
          <w:szCs w:val="22"/>
        </w:rPr>
        <w:t xml:space="preserve">. </w:t>
      </w:r>
    </w:p>
    <w:p w:rsidR="00703BAA" w:rsidRDefault="00703BAA" w:rsidP="00413B9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 </w:t>
      </w:r>
      <w:hyperlink r:id="rId7" w:history="1">
        <w:r w:rsidR="00513722" w:rsidRPr="00FD18CB">
          <w:rPr>
            <w:rStyle w:val="Hiperveza"/>
            <w:sz w:val="18"/>
            <w:szCs w:val="18"/>
          </w:rPr>
          <w:t>http://www.reach-compliance.eu/english/REACH-ME/engine/sources/regulations/launch-2003-361-EC.html</w:t>
        </w:r>
      </w:hyperlink>
      <w:r w:rsidR="0051372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703BAA" w:rsidRDefault="00F424F2" w:rsidP="00413B94">
      <w:pPr>
        <w:pStyle w:val="Default"/>
        <w:jc w:val="both"/>
        <w:rPr>
          <w:sz w:val="18"/>
          <w:szCs w:val="18"/>
        </w:rPr>
      </w:pPr>
      <w:hyperlink r:id="rId8" w:history="1">
        <w:r w:rsidR="00513722" w:rsidRPr="00FD18CB">
          <w:rPr>
            <w:rStyle w:val="Hiperveza"/>
            <w:sz w:val="18"/>
            <w:szCs w:val="18"/>
          </w:rPr>
          <w:t>http://ec.europa.eu/enterprise/policies/sme/facts-figures-analysis/sme-definition/index_hr.htm</w:t>
        </w:r>
      </w:hyperlink>
      <w:r w:rsidR="00513722">
        <w:rPr>
          <w:sz w:val="18"/>
          <w:szCs w:val="18"/>
        </w:rPr>
        <w:t xml:space="preserve"> </w:t>
      </w:r>
      <w:r w:rsidR="00703BAA">
        <w:rPr>
          <w:sz w:val="18"/>
          <w:szCs w:val="18"/>
        </w:rPr>
        <w:t xml:space="preserve"> </w:t>
      </w:r>
    </w:p>
    <w:p w:rsidR="00513722" w:rsidRDefault="00F424F2" w:rsidP="00413B94">
      <w:pPr>
        <w:pStyle w:val="Default"/>
        <w:jc w:val="both"/>
        <w:rPr>
          <w:sz w:val="18"/>
          <w:szCs w:val="18"/>
        </w:rPr>
      </w:pPr>
      <w:hyperlink r:id="rId9" w:history="1">
        <w:r w:rsidR="00513722" w:rsidRPr="00FD18CB">
          <w:rPr>
            <w:rStyle w:val="Hiperveza"/>
            <w:sz w:val="18"/>
            <w:szCs w:val="18"/>
          </w:rPr>
          <w:t>https://poduzetnistvo.gov.hr/UserDocsImages/arhiva/IZRACUN%20MSP.pdf</w:t>
        </w:r>
      </w:hyperlink>
      <w:r w:rsidR="00513722">
        <w:rPr>
          <w:sz w:val="18"/>
          <w:szCs w:val="18"/>
        </w:rPr>
        <w:t xml:space="preserve"> </w:t>
      </w:r>
    </w:p>
    <w:p w:rsidR="00703BAA" w:rsidRDefault="00703BAA" w:rsidP="00413B94">
      <w:pPr>
        <w:pStyle w:val="Default"/>
        <w:jc w:val="both"/>
        <w:rPr>
          <w:sz w:val="22"/>
          <w:szCs w:val="22"/>
        </w:rPr>
      </w:pPr>
      <w:r>
        <w:rPr>
          <w:sz w:val="18"/>
          <w:szCs w:val="18"/>
        </w:rPr>
        <w:t xml:space="preserve"> </w:t>
      </w:r>
    </w:p>
    <w:p w:rsidR="00703BAA" w:rsidRDefault="00703BAA" w:rsidP="00413B9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korisnike bespovratnih potpora po ovom Javnom pozivu primjenjivat će se odredbe Uredbe Komisije (EU) br. 1407/2013 оd 18. prosinca 2013. o primjeni članaka 107. i 108. Ugovora o funkcioniranju Europske unije na de minimis potpore. 2 </w:t>
      </w:r>
    </w:p>
    <w:p w:rsidR="00703BAA" w:rsidRDefault="00703BAA" w:rsidP="00413B94">
      <w:pPr>
        <w:pStyle w:val="Default"/>
        <w:jc w:val="both"/>
        <w:rPr>
          <w:color w:val="auto"/>
        </w:rPr>
      </w:pPr>
    </w:p>
    <w:p w:rsidR="00513722" w:rsidRDefault="00513722" w:rsidP="00413B94">
      <w:pPr>
        <w:pStyle w:val="Default"/>
        <w:jc w:val="both"/>
        <w:rPr>
          <w:color w:val="auto"/>
        </w:rPr>
      </w:pPr>
      <w:r w:rsidRPr="00513722">
        <w:rPr>
          <w:noProof/>
        </w:rPr>
        <w:drawing>
          <wp:inline distT="0" distB="0" distL="0" distR="0">
            <wp:extent cx="5762625" cy="10477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722" w:rsidRDefault="00513722" w:rsidP="00413B94">
      <w:pPr>
        <w:pStyle w:val="Default"/>
        <w:jc w:val="both"/>
        <w:rPr>
          <w:color w:val="auto"/>
        </w:rPr>
      </w:pPr>
      <w:r w:rsidRPr="00513722">
        <w:rPr>
          <w:noProof/>
        </w:rPr>
        <w:drawing>
          <wp:inline distT="0" distB="0" distL="0" distR="0">
            <wp:extent cx="5762625" cy="10382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BAA" w:rsidRDefault="00703BAA" w:rsidP="00413B94">
      <w:pPr>
        <w:pStyle w:val="Default"/>
        <w:jc w:val="both"/>
        <w:rPr>
          <w:color w:val="auto"/>
          <w:sz w:val="22"/>
          <w:szCs w:val="22"/>
        </w:rPr>
      </w:pPr>
    </w:p>
    <w:p w:rsidR="00703BAA" w:rsidRDefault="00703BAA" w:rsidP="00413B9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 Broj zaposlenih utvrđuje se temeljem prosječnog broja zaposlenih temeljem sati rada u 2017. godini. </w:t>
      </w:r>
    </w:p>
    <w:p w:rsidR="00703BAA" w:rsidRDefault="00703BAA" w:rsidP="00413B94">
      <w:pPr>
        <w:pStyle w:val="Default"/>
        <w:jc w:val="both"/>
        <w:rPr>
          <w:color w:val="auto"/>
          <w:sz w:val="22"/>
          <w:szCs w:val="22"/>
        </w:rPr>
      </w:pPr>
      <w:r>
        <w:rPr>
          <w:sz w:val="18"/>
          <w:szCs w:val="18"/>
        </w:rPr>
        <w:t xml:space="preserve">3 http://eur-lex.europa.eu/LexUriServ/LexUriServ.do?uri=OJ:L:2013:352:0001:0008:HR:PDF </w:t>
      </w:r>
    </w:p>
    <w:p w:rsidR="00703BAA" w:rsidRPr="00513722" w:rsidRDefault="00703BAA" w:rsidP="00413B94">
      <w:pPr>
        <w:pStyle w:val="Default"/>
        <w:jc w:val="both"/>
        <w:rPr>
          <w:color w:val="auto"/>
          <w:sz w:val="18"/>
          <w:szCs w:val="18"/>
        </w:rPr>
      </w:pPr>
      <w:r w:rsidRPr="00513722">
        <w:rPr>
          <w:color w:val="auto"/>
          <w:sz w:val="18"/>
          <w:szCs w:val="18"/>
        </w:rPr>
        <w:lastRenderedPageBreak/>
        <w:t xml:space="preserve">1401/2013 od 18. prosinca 2013. o primjeni članaka 107. i 108. Ugovora o funkcioniranju </w:t>
      </w:r>
    </w:p>
    <w:p w:rsidR="00703BAA" w:rsidRPr="00513722" w:rsidRDefault="00703BAA" w:rsidP="00413B94">
      <w:pPr>
        <w:pStyle w:val="Default"/>
        <w:jc w:val="both"/>
        <w:rPr>
          <w:color w:val="auto"/>
          <w:sz w:val="18"/>
          <w:szCs w:val="18"/>
        </w:rPr>
      </w:pPr>
      <w:r w:rsidRPr="00513722">
        <w:rPr>
          <w:color w:val="auto"/>
          <w:sz w:val="18"/>
          <w:szCs w:val="18"/>
        </w:rPr>
        <w:t xml:space="preserve">Europske unije na de minimis potpore3) </w:t>
      </w:r>
    </w:p>
    <w:p w:rsidR="00513722" w:rsidRDefault="00513722" w:rsidP="00413B94">
      <w:pPr>
        <w:pStyle w:val="Default"/>
        <w:jc w:val="both"/>
        <w:rPr>
          <w:color w:val="auto"/>
          <w:sz w:val="22"/>
          <w:szCs w:val="22"/>
        </w:rPr>
      </w:pPr>
    </w:p>
    <w:p w:rsidR="00513722" w:rsidRPr="00513722" w:rsidRDefault="00513722" w:rsidP="00513722">
      <w:pPr>
        <w:autoSpaceDE w:val="0"/>
        <w:autoSpaceDN w:val="0"/>
        <w:adjustRightInd w:val="0"/>
        <w:spacing w:after="13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13722">
        <w:rPr>
          <w:rFonts w:ascii="Wingdings" w:eastAsiaTheme="minorHAnsi" w:hAnsi="Wingdings" w:cs="Wingdings"/>
          <w:sz w:val="22"/>
          <w:szCs w:val="22"/>
          <w:lang w:eastAsia="en-US"/>
        </w:rPr>
        <w:t></w:t>
      </w:r>
      <w:r w:rsidRPr="00513722">
        <w:rPr>
          <w:rFonts w:ascii="Wingdings" w:eastAsiaTheme="minorHAnsi" w:hAnsi="Wingdings" w:cs="Wingdings"/>
          <w:sz w:val="22"/>
          <w:szCs w:val="22"/>
          <w:lang w:eastAsia="en-US"/>
        </w:rPr>
        <w:t></w:t>
      </w:r>
      <w:r w:rsidRPr="00513722">
        <w:rPr>
          <w:rFonts w:ascii="Calibri" w:eastAsiaTheme="minorHAnsi" w:hAnsi="Calibri" w:cs="Calibri"/>
          <w:sz w:val="22"/>
          <w:szCs w:val="22"/>
          <w:lang w:eastAsia="en-US"/>
        </w:rPr>
        <w:t xml:space="preserve">imaju u cijelosti opravdane i namjenski iskorištene potpore male vrijednosti ako su im iste dodijeljene </w:t>
      </w:r>
    </w:p>
    <w:p w:rsidR="00513722" w:rsidRPr="00513722" w:rsidRDefault="00513722" w:rsidP="00513722">
      <w:pPr>
        <w:autoSpaceDE w:val="0"/>
        <w:autoSpaceDN w:val="0"/>
        <w:adjustRightInd w:val="0"/>
        <w:spacing w:after="13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13722">
        <w:rPr>
          <w:rFonts w:ascii="Wingdings" w:eastAsiaTheme="minorHAnsi" w:hAnsi="Wingdings" w:cs="Wingdings"/>
          <w:sz w:val="22"/>
          <w:szCs w:val="22"/>
          <w:lang w:eastAsia="en-US"/>
        </w:rPr>
        <w:t></w:t>
      </w:r>
      <w:r w:rsidRPr="00513722">
        <w:rPr>
          <w:rFonts w:ascii="Wingdings" w:eastAsiaTheme="minorHAnsi" w:hAnsi="Wingdings" w:cs="Wingdings"/>
          <w:sz w:val="22"/>
          <w:szCs w:val="22"/>
          <w:lang w:eastAsia="en-US"/>
        </w:rPr>
        <w:t></w:t>
      </w:r>
      <w:r w:rsidRPr="00513722">
        <w:rPr>
          <w:rFonts w:ascii="Calibri" w:eastAsiaTheme="minorHAnsi" w:hAnsi="Calibri" w:cs="Calibri"/>
          <w:sz w:val="22"/>
          <w:szCs w:val="22"/>
          <w:lang w:eastAsia="en-US"/>
        </w:rPr>
        <w:t xml:space="preserve">njihovi partnerski subjekti imaju u cijelosti opravdane i namjenski iskorištene potpore male vrijednosti ako su im iste dodijeljene </w:t>
      </w:r>
    </w:p>
    <w:p w:rsidR="00513722" w:rsidRPr="00513722" w:rsidRDefault="00513722" w:rsidP="0051372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13722">
        <w:rPr>
          <w:rFonts w:ascii="Wingdings" w:eastAsiaTheme="minorHAnsi" w:hAnsi="Wingdings" w:cs="Wingdings"/>
          <w:sz w:val="22"/>
          <w:szCs w:val="22"/>
          <w:lang w:eastAsia="en-US"/>
        </w:rPr>
        <w:t></w:t>
      </w:r>
      <w:r w:rsidRPr="00513722">
        <w:rPr>
          <w:rFonts w:ascii="Wingdings" w:eastAsiaTheme="minorHAnsi" w:hAnsi="Wingdings" w:cs="Wingdings"/>
          <w:sz w:val="22"/>
          <w:szCs w:val="22"/>
          <w:lang w:eastAsia="en-US"/>
        </w:rPr>
        <w:t></w:t>
      </w:r>
      <w:r w:rsidRPr="00513722">
        <w:rPr>
          <w:rFonts w:ascii="Calibri" w:eastAsiaTheme="minorHAnsi" w:hAnsi="Calibri" w:cs="Calibri"/>
          <w:sz w:val="22"/>
          <w:szCs w:val="22"/>
          <w:lang w:eastAsia="en-US"/>
        </w:rPr>
        <w:t xml:space="preserve">njihovi partnerski i povezani subjekti nemaju evidentiran dug po osnovi javnih davanja o kojima službenu evidenciju vodi Porezna uprava </w:t>
      </w:r>
    </w:p>
    <w:p w:rsidR="00513722" w:rsidRPr="00513722" w:rsidRDefault="00513722" w:rsidP="00513722">
      <w:pPr>
        <w:autoSpaceDE w:val="0"/>
        <w:autoSpaceDN w:val="0"/>
        <w:adjustRightInd w:val="0"/>
        <w:spacing w:after="13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13722">
        <w:rPr>
          <w:rFonts w:ascii="Wingdings" w:eastAsiaTheme="minorHAnsi" w:hAnsi="Wingdings" w:cs="Wingdings"/>
          <w:sz w:val="22"/>
          <w:szCs w:val="22"/>
          <w:lang w:eastAsia="en-US"/>
        </w:rPr>
        <w:t></w:t>
      </w:r>
      <w:r w:rsidRPr="00513722">
        <w:rPr>
          <w:rFonts w:ascii="Wingdings" w:eastAsiaTheme="minorHAnsi" w:hAnsi="Wingdings" w:cs="Wingdings"/>
          <w:sz w:val="22"/>
          <w:szCs w:val="22"/>
          <w:lang w:eastAsia="en-US"/>
        </w:rPr>
        <w:t></w:t>
      </w:r>
      <w:r w:rsidRPr="00513722">
        <w:rPr>
          <w:rFonts w:ascii="Calibri" w:eastAsiaTheme="minorHAnsi" w:hAnsi="Calibri" w:cs="Calibri"/>
          <w:sz w:val="22"/>
          <w:szCs w:val="22"/>
          <w:lang w:eastAsia="en-US"/>
        </w:rPr>
        <w:t xml:space="preserve">nad njima nije otvoren stečajni postupak, postupak predstečajne nagodbe ili postupak likvidacije </w:t>
      </w:r>
    </w:p>
    <w:p w:rsidR="00513722" w:rsidRPr="00513722" w:rsidRDefault="00513722" w:rsidP="00513722">
      <w:pPr>
        <w:autoSpaceDE w:val="0"/>
        <w:autoSpaceDN w:val="0"/>
        <w:adjustRightInd w:val="0"/>
        <w:spacing w:after="13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13722">
        <w:rPr>
          <w:rFonts w:ascii="Wingdings" w:eastAsiaTheme="minorHAnsi" w:hAnsi="Wingdings" w:cs="Wingdings"/>
          <w:sz w:val="22"/>
          <w:szCs w:val="22"/>
          <w:lang w:eastAsia="en-US"/>
        </w:rPr>
        <w:t></w:t>
      </w:r>
      <w:r w:rsidRPr="00513722">
        <w:rPr>
          <w:rFonts w:ascii="Wingdings" w:eastAsiaTheme="minorHAnsi" w:hAnsi="Wingdings" w:cs="Wingdings"/>
          <w:sz w:val="22"/>
          <w:szCs w:val="22"/>
          <w:lang w:eastAsia="en-US"/>
        </w:rPr>
        <w:t></w:t>
      </w:r>
      <w:r w:rsidRPr="00513722">
        <w:rPr>
          <w:rFonts w:ascii="Calibri" w:eastAsiaTheme="minorHAnsi" w:hAnsi="Calibri" w:cs="Calibri"/>
          <w:sz w:val="22"/>
          <w:szCs w:val="22"/>
          <w:lang w:eastAsia="en-US"/>
        </w:rPr>
        <w:t xml:space="preserve">nad njihovim pojedinačnim vlasnicima i partnerskim i povezanim subjektima nije otvoren stečajni postupak, postupak predstečajne nagodbe ili postupak likvidacije </w:t>
      </w:r>
    </w:p>
    <w:p w:rsidR="00513722" w:rsidRPr="00513722" w:rsidRDefault="00513722" w:rsidP="0051372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13722">
        <w:rPr>
          <w:rFonts w:ascii="Wingdings" w:eastAsiaTheme="minorHAnsi" w:hAnsi="Wingdings" w:cs="Wingdings"/>
          <w:sz w:val="22"/>
          <w:szCs w:val="22"/>
          <w:lang w:eastAsia="en-US"/>
        </w:rPr>
        <w:t></w:t>
      </w:r>
      <w:r w:rsidRPr="00513722">
        <w:rPr>
          <w:rFonts w:ascii="Wingdings" w:eastAsiaTheme="minorHAnsi" w:hAnsi="Wingdings" w:cs="Wingdings"/>
          <w:sz w:val="22"/>
          <w:szCs w:val="22"/>
          <w:lang w:eastAsia="en-US"/>
        </w:rPr>
        <w:t></w:t>
      </w:r>
      <w:r w:rsidRPr="00513722">
        <w:rPr>
          <w:rFonts w:ascii="Calibri" w:eastAsiaTheme="minorHAnsi" w:hAnsi="Calibri" w:cs="Calibri"/>
          <w:sz w:val="22"/>
          <w:szCs w:val="22"/>
          <w:lang w:eastAsia="en-US"/>
        </w:rPr>
        <w:t xml:space="preserve">Podnositelju prijave, pojedinačnim vlasnicima Podnositelja prijave ili osobama ovlaštenim za zastupanje Podnositelja prijave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udruženja. </w:t>
      </w:r>
    </w:p>
    <w:p w:rsidR="00513722" w:rsidRDefault="00513722" w:rsidP="00703BAA">
      <w:pPr>
        <w:pStyle w:val="Default"/>
        <w:rPr>
          <w:b/>
          <w:bCs/>
          <w:color w:val="auto"/>
          <w:sz w:val="22"/>
          <w:szCs w:val="22"/>
        </w:rPr>
      </w:pPr>
    </w:p>
    <w:p w:rsidR="00703BAA" w:rsidRDefault="00703BAA" w:rsidP="00703BA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 NAMJENA BESPOVRATNIH SREDSTAVA I IZNOS POTPORE </w:t>
      </w:r>
    </w:p>
    <w:p w:rsidR="00703BAA" w:rsidRDefault="00703BAA" w:rsidP="00703BA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Osnovna namjena: </w:t>
      </w:r>
    </w:p>
    <w:p w:rsidR="00513722" w:rsidRPr="00513722" w:rsidRDefault="00513722" w:rsidP="0051372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51372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- otvaranje i registracija</w:t>
      </w:r>
      <w:r w:rsidR="006C703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u </w:t>
      </w:r>
      <w:r w:rsidR="00F424F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2020</w:t>
      </w:r>
      <w:r w:rsidR="006C703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godini,</w:t>
      </w:r>
    </w:p>
    <w:p w:rsidR="00513722" w:rsidRPr="00513722" w:rsidRDefault="00513722" w:rsidP="0051372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51372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- ulaganje u unaprjeđenje proizvodnje</w:t>
      </w:r>
      <w:r w:rsidR="006C703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u </w:t>
      </w:r>
      <w:r w:rsidR="00F424F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2020</w:t>
      </w:r>
      <w:r w:rsidR="006C703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.godini</w:t>
      </w:r>
      <w:r w:rsidRPr="0051372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</w:t>
      </w:r>
    </w:p>
    <w:p w:rsidR="00513722" w:rsidRPr="00513722" w:rsidRDefault="00513722" w:rsidP="0051372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51372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- ulaganje u razvoj novih proizvoda/usluga</w:t>
      </w:r>
      <w:r w:rsidR="006C703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u </w:t>
      </w:r>
      <w:r w:rsidR="00F424F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2020</w:t>
      </w:r>
      <w:r w:rsidR="006C703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.g.</w:t>
      </w:r>
      <w:r w:rsidRPr="0051372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</w:t>
      </w:r>
    </w:p>
    <w:p w:rsidR="00513722" w:rsidRPr="00513722" w:rsidRDefault="00513722" w:rsidP="0051372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51372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- prilagodba, uređenje i poboljšanje poslovnog i proizvodnog prostora</w:t>
      </w:r>
      <w:r w:rsidR="006C703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u </w:t>
      </w:r>
      <w:r w:rsidR="00F424F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2020</w:t>
      </w:r>
      <w:r w:rsidR="006C703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.g.</w:t>
      </w:r>
      <w:r w:rsidRPr="0051372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</w:t>
      </w:r>
    </w:p>
    <w:p w:rsidR="00513722" w:rsidRPr="00513722" w:rsidRDefault="00513722" w:rsidP="0051372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51372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- marketinške aktivnosti i ulaganja za izlazak na nova tržišta </w:t>
      </w:r>
      <w:r w:rsidR="006C703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u </w:t>
      </w:r>
      <w:r w:rsidR="00F424F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2020</w:t>
      </w:r>
      <w:r w:rsidR="006C703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.g.</w:t>
      </w:r>
    </w:p>
    <w:p w:rsidR="00703BAA" w:rsidRDefault="00703BAA" w:rsidP="00703BA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Najniži iznos potpore koji se može dodijeliti je 2.000,00 kuna. </w:t>
      </w:r>
    </w:p>
    <w:p w:rsidR="00703BAA" w:rsidRDefault="00703BAA" w:rsidP="00703BA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Najviši iznos potpore koji se može dodijeliti je 5.000,00 kuna. </w:t>
      </w:r>
    </w:p>
    <w:p w:rsidR="00513722" w:rsidRDefault="00513722" w:rsidP="00513722">
      <w:pPr>
        <w:pStyle w:val="Default"/>
        <w:rPr>
          <w:b/>
          <w:bCs/>
        </w:rPr>
      </w:pPr>
    </w:p>
    <w:p w:rsidR="00513722" w:rsidRPr="00513722" w:rsidRDefault="00513722" w:rsidP="00513722">
      <w:pPr>
        <w:pStyle w:val="Default"/>
      </w:pPr>
      <w:r w:rsidRPr="00513722">
        <w:rPr>
          <w:b/>
          <w:bCs/>
        </w:rPr>
        <w:t xml:space="preserve">5. INTENZITET POTPORE I NAČIN ISPLATE </w:t>
      </w:r>
    </w:p>
    <w:p w:rsidR="00513722" w:rsidRPr="00513722" w:rsidRDefault="00513722" w:rsidP="001C374B">
      <w:pPr>
        <w:pStyle w:val="Default"/>
        <w:jc w:val="both"/>
      </w:pPr>
      <w:r w:rsidRPr="00513722">
        <w:t>Intenzitet potpore označava udio sredstava s kojim davatelj potpore sudjeluje u financiranju predloženog projekta i može dosegnuti do 100% ukupno prihvatljivih troškova</w:t>
      </w:r>
      <w:r w:rsidR="001C374B">
        <w:t xml:space="preserve"> ili do maksimalno 5.000,00 kn</w:t>
      </w:r>
      <w:r w:rsidRPr="00513722">
        <w:t xml:space="preserve">. </w:t>
      </w:r>
    </w:p>
    <w:p w:rsidR="001C374B" w:rsidRDefault="00513722" w:rsidP="001C374B">
      <w:pPr>
        <w:pStyle w:val="Default"/>
        <w:jc w:val="both"/>
      </w:pPr>
      <w:r w:rsidRPr="00513722">
        <w:t xml:space="preserve">Sredstva za odobrene potpore isplaćuju se korisnicima jednokratno u ukupnom iznosu dodijeljene potpore </w:t>
      </w:r>
      <w:r w:rsidR="00C476DE">
        <w:t>do kraja tekuće proračunske godine</w:t>
      </w:r>
      <w:r w:rsidRPr="00513722">
        <w:t xml:space="preserve"> od dana primitka potpisanog Ugovora o dodjeli bespovratne potpore od strane korisnika</w:t>
      </w:r>
      <w:r w:rsidR="001C374B">
        <w:t>.</w:t>
      </w:r>
    </w:p>
    <w:p w:rsidR="00513722" w:rsidRPr="00513722" w:rsidRDefault="00513722" w:rsidP="001C374B">
      <w:pPr>
        <w:pStyle w:val="Default"/>
        <w:jc w:val="both"/>
      </w:pPr>
      <w:r w:rsidRPr="00513722">
        <w:rPr>
          <w:b/>
          <w:bCs/>
        </w:rPr>
        <w:t xml:space="preserve">Intenzitet potpore označava udio sredstava s kojim davatelj potpore sudjeluje u financiranju predložene aktivnosti i može dosegnuti do 100% ukupno prihvatljivih troškova. </w:t>
      </w:r>
    </w:p>
    <w:p w:rsidR="00513722" w:rsidRPr="00513722" w:rsidRDefault="00513722" w:rsidP="001C374B">
      <w:pPr>
        <w:pStyle w:val="Default"/>
        <w:jc w:val="both"/>
      </w:pPr>
      <w:r w:rsidRPr="00513722">
        <w:t xml:space="preserve">Informacije o statusu raspoloživih sredstava objavit će se na mrežnim stranicama </w:t>
      </w:r>
      <w:r w:rsidR="001C374B">
        <w:t xml:space="preserve">Općine </w:t>
      </w:r>
      <w:r w:rsidRPr="00513722">
        <w:t>(</w:t>
      </w:r>
      <w:bookmarkStart w:id="1" w:name="_Hlk528069781"/>
      <w:r w:rsidR="00C61AD2">
        <w:rPr>
          <w:rStyle w:val="Hiperveza"/>
        </w:rPr>
        <w:fldChar w:fldCharType="begin"/>
      </w:r>
      <w:r w:rsidR="00C61AD2">
        <w:rPr>
          <w:rStyle w:val="Hiperveza"/>
        </w:rPr>
        <w:instrText xml:space="preserve"> HYPERLINK "http://www.opcinagornjibogicevci.hr" </w:instrText>
      </w:r>
      <w:r w:rsidR="00C61AD2">
        <w:rPr>
          <w:rStyle w:val="Hiperveza"/>
        </w:rPr>
        <w:fldChar w:fldCharType="separate"/>
      </w:r>
      <w:r w:rsidRPr="00934EB1">
        <w:rPr>
          <w:rStyle w:val="Hiperveza"/>
        </w:rPr>
        <w:t>www.opcinagornjibogicevci</w:t>
      </w:r>
      <w:r w:rsidRPr="00513722">
        <w:rPr>
          <w:rStyle w:val="Hiperveza"/>
        </w:rPr>
        <w:t>.hr</w:t>
      </w:r>
      <w:r w:rsidR="00C61AD2">
        <w:rPr>
          <w:rStyle w:val="Hiperveza"/>
        </w:rPr>
        <w:fldChar w:fldCharType="end"/>
      </w:r>
      <w:bookmarkEnd w:id="1"/>
      <w:r>
        <w:t xml:space="preserve"> </w:t>
      </w:r>
      <w:r w:rsidRPr="00513722">
        <w:t xml:space="preserve">). </w:t>
      </w:r>
    </w:p>
    <w:p w:rsidR="00703BAA" w:rsidRDefault="00703BAA" w:rsidP="00703BAA">
      <w:pPr>
        <w:pStyle w:val="Default"/>
        <w:rPr>
          <w:color w:val="auto"/>
        </w:rPr>
      </w:pPr>
    </w:p>
    <w:p w:rsidR="00703BAA" w:rsidRDefault="00703BAA" w:rsidP="00703BA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6. NAČIN PODNOŠENJA PRIJAVE ZA DODJELU BESPOVRATNE POTPORE </w:t>
      </w:r>
    </w:p>
    <w:p w:rsidR="00703BAA" w:rsidRDefault="00703BAA" w:rsidP="00C61AD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Cjeloviti tekst Programa i popratna dokumentacija sastavni je dio ovog Otvorenog javnog poziva i nalazi se na mrežnim stranicama </w:t>
      </w:r>
      <w:r w:rsidR="00C61AD2">
        <w:rPr>
          <w:color w:val="auto"/>
          <w:sz w:val="22"/>
          <w:szCs w:val="22"/>
        </w:rPr>
        <w:t>Općine.</w:t>
      </w:r>
      <w:r>
        <w:rPr>
          <w:color w:val="auto"/>
          <w:sz w:val="22"/>
          <w:szCs w:val="22"/>
        </w:rPr>
        <w:t xml:space="preserve"> </w:t>
      </w:r>
    </w:p>
    <w:p w:rsidR="00703BAA" w:rsidRDefault="00703BAA" w:rsidP="00C61AD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Prijava za dodjelu bespovratne potpore podnosi se putem pripadajućeg Prijavnog obrasca. Uz ispunjeni Prijavni obrazac obavezno se prilaže i propisana dokumentacija. </w:t>
      </w:r>
    </w:p>
    <w:p w:rsidR="00C61AD2" w:rsidRDefault="00C61AD2" w:rsidP="00703BAA">
      <w:pPr>
        <w:pStyle w:val="Default"/>
        <w:rPr>
          <w:b/>
          <w:bCs/>
          <w:color w:val="auto"/>
          <w:sz w:val="22"/>
          <w:szCs w:val="22"/>
        </w:rPr>
      </w:pPr>
    </w:p>
    <w:p w:rsidR="00703BAA" w:rsidRDefault="00703BAA" w:rsidP="00703BA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7. POSTUPAK ODOBRAVANJA POTPORE </w:t>
      </w:r>
    </w:p>
    <w:p w:rsidR="00703BAA" w:rsidRDefault="00703BAA" w:rsidP="00C61AD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Sredstva se odobravaju korisnicima koji udovoljavaju administrativnim uvjetima i uvjetima prihvatljivosti za dodjelu potpore do konačne raspodjele ukupnog iznosa proračunskih sredstava osiguranih za provedbu Programa. </w:t>
      </w:r>
    </w:p>
    <w:p w:rsidR="00C61AD2" w:rsidRDefault="00C61AD2" w:rsidP="00C61AD2">
      <w:pPr>
        <w:pStyle w:val="Default"/>
        <w:jc w:val="both"/>
        <w:rPr>
          <w:color w:val="auto"/>
          <w:sz w:val="22"/>
          <w:szCs w:val="22"/>
        </w:rPr>
      </w:pPr>
    </w:p>
    <w:p w:rsidR="00703BAA" w:rsidRDefault="00703BAA" w:rsidP="00703BA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8. NADZOR </w:t>
      </w:r>
    </w:p>
    <w:p w:rsidR="00703BAA" w:rsidRDefault="00703BAA" w:rsidP="00C61AD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 svrhu provođenja kontrole namjenskog korištenja sredstava Općina Gornji Bogićevci</w:t>
      </w:r>
      <w:r w:rsidR="00C61AD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ovlašten</w:t>
      </w:r>
      <w:r w:rsidR="00C61AD2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je izvršiti provjeru korištenja odobrenih sredstava obilaskom korisnika i njegovih poslovnih objekata te uvidom u dokumentaciju na temelju koje je ostvarena potpora. </w:t>
      </w:r>
    </w:p>
    <w:p w:rsidR="00703BAA" w:rsidRDefault="00703BAA" w:rsidP="00C61AD2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Korisnici kod kojih se prilikom kontrole utvrdi nenamjensko trošenje sredstava, bit će dužni vratiti dodijeljena sredstva s pripadajućom zakonskom zateznom kamatom te će ih se uvrstiti na popis korisnika koji nisu namjenski koristili sredstva. </w:t>
      </w:r>
    </w:p>
    <w:p w:rsidR="00C61AD2" w:rsidRDefault="00C61AD2" w:rsidP="00C61AD2">
      <w:pPr>
        <w:pStyle w:val="Default"/>
        <w:jc w:val="both"/>
        <w:rPr>
          <w:color w:val="auto"/>
          <w:sz w:val="22"/>
          <w:szCs w:val="22"/>
        </w:rPr>
      </w:pPr>
    </w:p>
    <w:p w:rsidR="00703BAA" w:rsidRDefault="00703BAA" w:rsidP="00703BA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9. ZAVRŠNE ODREDBE </w:t>
      </w:r>
    </w:p>
    <w:p w:rsidR="00703BAA" w:rsidRDefault="00703BAA" w:rsidP="00703BA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Općina Gornji Bogićevci zadržava pravo izmjena i dopuna ovog Otvorenog javnog poziva. </w:t>
      </w:r>
    </w:p>
    <w:p w:rsidR="00703BAA" w:rsidRDefault="00703BAA" w:rsidP="00703BA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Eventualne izmjene i dopune Otvorenog javnog poziva objaviti će se na mrežnim stranicama Općine Gornji Bogićevci (</w:t>
      </w:r>
      <w:hyperlink r:id="rId12" w:history="1">
        <w:r w:rsidR="00C61AD2" w:rsidRPr="00934EB1">
          <w:rPr>
            <w:rStyle w:val="Hiperveza"/>
          </w:rPr>
          <w:t>www.opcinagornjibogicevci</w:t>
        </w:r>
        <w:r w:rsidR="00C61AD2" w:rsidRPr="00513722">
          <w:rPr>
            <w:rStyle w:val="Hiperveza"/>
          </w:rPr>
          <w:t>.hr</w:t>
        </w:r>
      </w:hyperlink>
      <w:r>
        <w:rPr>
          <w:color w:val="auto"/>
          <w:sz w:val="22"/>
          <w:szCs w:val="22"/>
        </w:rPr>
        <w:t xml:space="preserve">). </w:t>
      </w:r>
    </w:p>
    <w:p w:rsidR="00C61AD2" w:rsidRDefault="00C61AD2" w:rsidP="00703BAA">
      <w:pPr>
        <w:pStyle w:val="Default"/>
        <w:rPr>
          <w:color w:val="auto"/>
          <w:sz w:val="22"/>
          <w:szCs w:val="22"/>
        </w:rPr>
      </w:pPr>
    </w:p>
    <w:p w:rsidR="00C61AD2" w:rsidRDefault="00C61AD2" w:rsidP="00703BAA">
      <w:pPr>
        <w:pStyle w:val="Default"/>
        <w:rPr>
          <w:color w:val="auto"/>
          <w:sz w:val="22"/>
          <w:szCs w:val="22"/>
        </w:rPr>
      </w:pPr>
    </w:p>
    <w:p w:rsidR="00C61AD2" w:rsidRDefault="00C61AD2" w:rsidP="00703BAA">
      <w:pPr>
        <w:pStyle w:val="Default"/>
        <w:rPr>
          <w:color w:val="auto"/>
          <w:sz w:val="22"/>
          <w:szCs w:val="22"/>
        </w:rPr>
      </w:pPr>
    </w:p>
    <w:p w:rsidR="00C61AD2" w:rsidRDefault="00C61AD2" w:rsidP="00C61AD2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Načelnik Općine:</w:t>
      </w:r>
    </w:p>
    <w:p w:rsidR="00C61AD2" w:rsidRDefault="00C61AD2" w:rsidP="00C61AD2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Pavo Klarić, dipl.oec.</w:t>
      </w:r>
    </w:p>
    <w:p w:rsidR="00C61AD2" w:rsidRDefault="00C61AD2" w:rsidP="00C61AD2">
      <w:pPr>
        <w:pStyle w:val="Default"/>
        <w:jc w:val="right"/>
        <w:rPr>
          <w:color w:val="auto"/>
          <w:sz w:val="22"/>
          <w:szCs w:val="22"/>
        </w:rPr>
      </w:pPr>
    </w:p>
    <w:p w:rsidR="00C61AD2" w:rsidRDefault="00C61AD2" w:rsidP="00C61AD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KLASA: 302-02/</w:t>
      </w:r>
      <w:r w:rsidR="00F424F2">
        <w:rPr>
          <w:color w:val="auto"/>
          <w:sz w:val="22"/>
          <w:szCs w:val="22"/>
        </w:rPr>
        <w:t>20</w:t>
      </w:r>
      <w:r>
        <w:rPr>
          <w:color w:val="auto"/>
          <w:sz w:val="22"/>
          <w:szCs w:val="22"/>
        </w:rPr>
        <w:t xml:space="preserve">-01/1 </w:t>
      </w:r>
    </w:p>
    <w:p w:rsidR="00C61AD2" w:rsidRDefault="00C61AD2" w:rsidP="00C61AD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URBROJ: 2178/18-01-</w:t>
      </w:r>
      <w:r w:rsidR="00F424F2">
        <w:rPr>
          <w:color w:val="auto"/>
          <w:sz w:val="22"/>
          <w:szCs w:val="22"/>
        </w:rPr>
        <w:t>20</w:t>
      </w:r>
      <w:r>
        <w:rPr>
          <w:color w:val="auto"/>
          <w:sz w:val="22"/>
          <w:szCs w:val="22"/>
        </w:rPr>
        <w:t xml:space="preserve">-1 </w:t>
      </w:r>
    </w:p>
    <w:p w:rsidR="00C61AD2" w:rsidRDefault="00C61AD2" w:rsidP="00C61AD2">
      <w:r>
        <w:rPr>
          <w:sz w:val="22"/>
          <w:szCs w:val="22"/>
        </w:rPr>
        <w:t xml:space="preserve">Gornji Bogićevci, </w:t>
      </w:r>
      <w:r w:rsidR="00F424F2">
        <w:rPr>
          <w:sz w:val="22"/>
          <w:szCs w:val="22"/>
        </w:rPr>
        <w:t>07</w:t>
      </w:r>
      <w:r>
        <w:rPr>
          <w:sz w:val="22"/>
          <w:szCs w:val="22"/>
        </w:rPr>
        <w:t xml:space="preserve">. </w:t>
      </w:r>
      <w:r w:rsidR="00F424F2">
        <w:rPr>
          <w:sz w:val="22"/>
          <w:szCs w:val="22"/>
        </w:rPr>
        <w:t>srpnj</w:t>
      </w:r>
      <w:r w:rsidR="001C0BDA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F424F2">
        <w:rPr>
          <w:sz w:val="22"/>
          <w:szCs w:val="22"/>
        </w:rPr>
        <w:t>2020</w:t>
      </w:r>
      <w:r>
        <w:rPr>
          <w:sz w:val="22"/>
          <w:szCs w:val="22"/>
        </w:rPr>
        <w:t>.</w:t>
      </w:r>
    </w:p>
    <w:p w:rsidR="00C61AD2" w:rsidRPr="00C61AD2" w:rsidRDefault="00C61AD2" w:rsidP="00703BAA">
      <w:pPr>
        <w:pStyle w:val="Default"/>
        <w:rPr>
          <w:color w:val="auto"/>
          <w:sz w:val="22"/>
          <w:szCs w:val="22"/>
        </w:rPr>
        <w:sectPr w:rsidR="00C61AD2" w:rsidRPr="00C61AD2">
          <w:pgSz w:w="11906" w:h="17338"/>
          <w:pgMar w:top="1443" w:right="1084" w:bottom="658" w:left="1243" w:header="720" w:footer="720" w:gutter="0"/>
          <w:cols w:space="720"/>
          <w:noEndnote/>
        </w:sectPr>
      </w:pPr>
    </w:p>
    <w:p w:rsidR="0042351D" w:rsidRDefault="0042351D" w:rsidP="00BC5D44">
      <w:pPr>
        <w:pStyle w:val="Default"/>
      </w:pPr>
    </w:p>
    <w:sectPr w:rsidR="0042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1D"/>
    <w:rsid w:val="00110946"/>
    <w:rsid w:val="001C0BDA"/>
    <w:rsid w:val="001C374B"/>
    <w:rsid w:val="00317CCD"/>
    <w:rsid w:val="0041006D"/>
    <w:rsid w:val="00413B94"/>
    <w:rsid w:val="0042351D"/>
    <w:rsid w:val="0043390E"/>
    <w:rsid w:val="00513722"/>
    <w:rsid w:val="006C7034"/>
    <w:rsid w:val="006F7C5B"/>
    <w:rsid w:val="00703BAA"/>
    <w:rsid w:val="0078113C"/>
    <w:rsid w:val="007B1F8C"/>
    <w:rsid w:val="00BC5D44"/>
    <w:rsid w:val="00C476DE"/>
    <w:rsid w:val="00C61AD2"/>
    <w:rsid w:val="00C65BF1"/>
    <w:rsid w:val="00F4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08DC"/>
  <w15:chartTrackingRefBased/>
  <w15:docId w15:val="{604B7077-7875-418A-83D1-DC4E356D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2351D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703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7B1F8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B1F8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5D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D4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nterprise/policies/sme/facts-figures-analysis/sme-definition/index_hr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ach-compliance.eu/english/REACH-ME/engine/sources/regulations/launch-2003-361-EC.html" TargetMode="External"/><Relationship Id="rId12" Type="http://schemas.openxmlformats.org/officeDocument/2006/relationships/hyperlink" Target="http://www.opcinagornjibogicev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gornjibogicevci.hr" TargetMode="External"/><Relationship Id="rId11" Type="http://schemas.openxmlformats.org/officeDocument/2006/relationships/image" Target="media/image4.emf"/><Relationship Id="rId5" Type="http://schemas.openxmlformats.org/officeDocument/2006/relationships/image" Target="media/image2.gif"/><Relationship Id="rId10" Type="http://schemas.openxmlformats.org/officeDocument/2006/relationships/image" Target="media/image3.emf"/><Relationship Id="rId4" Type="http://schemas.openxmlformats.org/officeDocument/2006/relationships/image" Target="media/image1.jpeg"/><Relationship Id="rId9" Type="http://schemas.openxmlformats.org/officeDocument/2006/relationships/hyperlink" Target="https://poduzetnistvo.gov.hr/UserDocsImages/arhiva/IZRACUN%20MS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OGB</dc:creator>
  <cp:keywords/>
  <dc:description/>
  <cp:lastModifiedBy>OGB</cp:lastModifiedBy>
  <cp:revision>14</cp:revision>
  <cp:lastPrinted>2019-09-23T08:40:00Z</cp:lastPrinted>
  <dcterms:created xsi:type="dcterms:W3CDTF">2018-10-22T08:13:00Z</dcterms:created>
  <dcterms:modified xsi:type="dcterms:W3CDTF">2020-07-07T09:11:00Z</dcterms:modified>
</cp:coreProperties>
</file>