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EAD" w:rsidRPr="00657414" w:rsidRDefault="00E54EAD" w:rsidP="00E54EAD">
      <w:pPr>
        <w:pStyle w:val="Bezproreda"/>
        <w:ind w:left="708"/>
        <w:rPr>
          <w:b/>
          <w:color w:val="262626"/>
          <w:sz w:val="28"/>
          <w:szCs w:val="25"/>
        </w:rPr>
      </w:pPr>
      <w:r>
        <w:rPr>
          <w:b/>
          <w:color w:val="262626"/>
          <w:sz w:val="28"/>
          <w:szCs w:val="25"/>
        </w:rPr>
        <w:t xml:space="preserve">        </w:t>
      </w:r>
      <w:r w:rsidRPr="005D323C">
        <w:rPr>
          <w:noProof/>
          <w:color w:val="262626"/>
          <w:lang w:eastAsia="hr-HR"/>
        </w:rPr>
        <w:drawing>
          <wp:inline distT="0" distB="0" distL="0" distR="0" wp14:anchorId="583A9521" wp14:editId="5A77FBD0">
            <wp:extent cx="399600" cy="495300"/>
            <wp:effectExtent l="19050" t="0" r="450" b="0"/>
            <wp:docPr id="5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EAD" w:rsidRPr="00657414" w:rsidRDefault="00E54EAD" w:rsidP="00E54EAD">
      <w:pPr>
        <w:pStyle w:val="Bezproreda"/>
        <w:rPr>
          <w:b/>
          <w:color w:val="262626"/>
          <w:sz w:val="28"/>
          <w:szCs w:val="25"/>
        </w:rPr>
      </w:pPr>
      <w:r w:rsidRPr="00657414">
        <w:rPr>
          <w:b/>
          <w:color w:val="262626"/>
          <w:sz w:val="20"/>
          <w:szCs w:val="25"/>
        </w:rPr>
        <w:t>R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E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P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U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B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L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I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K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 xml:space="preserve"> H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R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V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T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S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K</w:t>
      </w:r>
      <w:r>
        <w:rPr>
          <w:b/>
          <w:color w:val="262626"/>
          <w:sz w:val="20"/>
          <w:szCs w:val="25"/>
        </w:rPr>
        <w:t xml:space="preserve"> </w:t>
      </w:r>
      <w:r w:rsidRPr="00657414">
        <w:rPr>
          <w:b/>
          <w:color w:val="262626"/>
          <w:sz w:val="20"/>
          <w:szCs w:val="25"/>
        </w:rPr>
        <w:t>A</w:t>
      </w:r>
    </w:p>
    <w:p w:rsidR="00E54EAD" w:rsidRPr="00657414" w:rsidRDefault="00E54EAD" w:rsidP="00E54EAD">
      <w:pPr>
        <w:pStyle w:val="Bezproreda"/>
        <w:rPr>
          <w:b/>
          <w:color w:val="262626"/>
          <w:sz w:val="19"/>
          <w:szCs w:val="19"/>
        </w:rPr>
      </w:pPr>
      <w:r w:rsidRPr="00657414">
        <w:rPr>
          <w:b/>
          <w:color w:val="262626"/>
          <w:sz w:val="20"/>
          <w:szCs w:val="19"/>
        </w:rPr>
        <w:t>BRODSKO-POSAVSKA ŽUPANIJA</w:t>
      </w:r>
    </w:p>
    <w:p w:rsidR="00E54EAD" w:rsidRPr="00657414" w:rsidRDefault="00E54EAD" w:rsidP="00E54EAD">
      <w:pPr>
        <w:pStyle w:val="Bezproreda"/>
        <w:rPr>
          <w:b/>
          <w:color w:val="262626"/>
          <w:sz w:val="4"/>
          <w:szCs w:val="19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33"/>
        <w:gridCol w:w="2244"/>
      </w:tblGrid>
      <w:tr w:rsidR="00E54EAD" w:rsidRPr="00657414" w:rsidTr="0018273F">
        <w:trPr>
          <w:trHeight w:val="143"/>
          <w:tblHeader/>
        </w:trPr>
        <w:tc>
          <w:tcPr>
            <w:tcW w:w="733" w:type="dxa"/>
          </w:tcPr>
          <w:p w:rsidR="00E54EAD" w:rsidRPr="00657414" w:rsidRDefault="00E54EAD" w:rsidP="0018273F">
            <w:pPr>
              <w:pStyle w:val="Bezproreda"/>
              <w:jc w:val="center"/>
              <w:rPr>
                <w:rFonts w:ascii="Calibri" w:hAnsi="Calibri"/>
                <w:b/>
                <w:color w:val="262626"/>
              </w:rPr>
            </w:pPr>
            <w:r>
              <w:rPr>
                <w:rFonts w:ascii="Calibri" w:hAnsi="Calibri"/>
                <w:b/>
                <w:noProof/>
                <w:color w:val="262626"/>
                <w:lang w:eastAsia="hr-HR"/>
              </w:rPr>
              <w:drawing>
                <wp:inline distT="0" distB="0" distL="0" distR="0" wp14:anchorId="480438D2" wp14:editId="6504BD75">
                  <wp:extent cx="371475" cy="495300"/>
                  <wp:effectExtent l="0" t="0" r="9525" b="0"/>
                  <wp:docPr id="6" name="il_fi" descr="http://upload.wikimedia.org/wikipedia/hr/4/47/Gornji_Bogi%C4%87evci_(grb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pload.wikimedia.org/wikipedia/hr/4/47/Gornji_Bogi%C4%87evci_(grb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vAlign w:val="center"/>
          </w:tcPr>
          <w:p w:rsidR="00E54EAD" w:rsidRPr="00657414" w:rsidRDefault="00E54EAD" w:rsidP="0018273F">
            <w:pPr>
              <w:pStyle w:val="Bezproreda"/>
              <w:jc w:val="center"/>
              <w:rPr>
                <w:b/>
                <w:color w:val="262626"/>
                <w:sz w:val="28"/>
              </w:rPr>
            </w:pPr>
            <w:r w:rsidRPr="00657414">
              <w:rPr>
                <w:b/>
                <w:color w:val="262626"/>
                <w:sz w:val="20"/>
              </w:rPr>
              <w:t xml:space="preserve">OPĆINA </w:t>
            </w:r>
            <w:r>
              <w:rPr>
                <w:b/>
                <w:color w:val="262626"/>
                <w:sz w:val="20"/>
              </w:rPr>
              <w:t>GORNJI BOGIĆEVCI</w:t>
            </w:r>
          </w:p>
          <w:p w:rsidR="00E54EAD" w:rsidRPr="00657414" w:rsidRDefault="00E54EAD" w:rsidP="0018273F">
            <w:pPr>
              <w:pStyle w:val="Bezproreda"/>
              <w:jc w:val="center"/>
              <w:rPr>
                <w:b/>
                <w:color w:val="262626"/>
                <w:sz w:val="28"/>
              </w:rPr>
            </w:pPr>
            <w:r w:rsidRPr="00657414">
              <w:rPr>
                <w:color w:val="262626"/>
                <w:sz w:val="20"/>
              </w:rPr>
              <w:t>Jedinstveni upravni odjel</w:t>
            </w:r>
          </w:p>
        </w:tc>
      </w:tr>
    </w:tbl>
    <w:p w:rsidR="00317CCD" w:rsidRDefault="00317CCD"/>
    <w:p w:rsidR="00E54EAD" w:rsidRDefault="00E54EAD" w:rsidP="00E54EAD">
      <w:pPr>
        <w:pStyle w:val="Default"/>
      </w:pPr>
    </w:p>
    <w:p w:rsidR="00E54EAD" w:rsidRDefault="00E54EAD" w:rsidP="001669E8">
      <w:pPr>
        <w:pStyle w:val="Default"/>
        <w:jc w:val="both"/>
        <w:rPr>
          <w:sz w:val="22"/>
          <w:szCs w:val="22"/>
        </w:rPr>
      </w:pPr>
      <w:r>
        <w:t xml:space="preserve"> </w:t>
      </w:r>
      <w:r w:rsidR="001669E8">
        <w:tab/>
      </w:r>
      <w:r>
        <w:rPr>
          <w:sz w:val="22"/>
          <w:szCs w:val="22"/>
        </w:rPr>
        <w:t xml:space="preserve">Temeljem članka 2. </w:t>
      </w:r>
      <w:r w:rsidR="001669E8">
        <w:rPr>
          <w:sz w:val="22"/>
          <w:szCs w:val="22"/>
        </w:rPr>
        <w:t xml:space="preserve">Plana proračuna općine Gornji </w:t>
      </w:r>
      <w:proofErr w:type="spellStart"/>
      <w:r w:rsidR="001669E8">
        <w:rPr>
          <w:sz w:val="22"/>
          <w:szCs w:val="22"/>
        </w:rPr>
        <w:t>Bogićevci</w:t>
      </w:r>
      <w:proofErr w:type="spellEnd"/>
      <w:r w:rsidR="001669E8">
        <w:rPr>
          <w:sz w:val="22"/>
          <w:szCs w:val="22"/>
        </w:rPr>
        <w:t xml:space="preserve"> za razdoblje 201</w:t>
      </w:r>
      <w:r w:rsidR="00633334">
        <w:rPr>
          <w:sz w:val="22"/>
          <w:szCs w:val="22"/>
        </w:rPr>
        <w:t>9</w:t>
      </w:r>
      <w:r w:rsidR="001669E8">
        <w:rPr>
          <w:sz w:val="22"/>
          <w:szCs w:val="22"/>
        </w:rPr>
        <w:t xml:space="preserve"> – 202</w:t>
      </w:r>
      <w:bookmarkStart w:id="0" w:name="_Hlk527631103"/>
      <w:r w:rsidR="00633334">
        <w:rPr>
          <w:sz w:val="22"/>
          <w:szCs w:val="22"/>
        </w:rPr>
        <w:t>1</w:t>
      </w:r>
      <w:r>
        <w:rPr>
          <w:sz w:val="22"/>
          <w:szCs w:val="22"/>
        </w:rPr>
        <w:t>(„</w:t>
      </w:r>
      <w:r w:rsidR="001669E8">
        <w:rPr>
          <w:sz w:val="22"/>
          <w:szCs w:val="22"/>
        </w:rPr>
        <w:t xml:space="preserve">Službeni glasnik općine Gornji </w:t>
      </w:r>
      <w:proofErr w:type="spellStart"/>
      <w:r w:rsidR="001669E8">
        <w:rPr>
          <w:sz w:val="22"/>
          <w:szCs w:val="22"/>
        </w:rPr>
        <w:t>Bogićevci</w:t>
      </w:r>
      <w:proofErr w:type="spellEnd"/>
      <w:r>
        <w:rPr>
          <w:sz w:val="22"/>
          <w:szCs w:val="22"/>
        </w:rPr>
        <w:t xml:space="preserve">“, broj </w:t>
      </w:r>
      <w:r w:rsidR="001669E8">
        <w:rPr>
          <w:sz w:val="22"/>
          <w:szCs w:val="22"/>
        </w:rPr>
        <w:t>04/17</w:t>
      </w:r>
      <w:r>
        <w:rPr>
          <w:sz w:val="22"/>
          <w:szCs w:val="22"/>
        </w:rPr>
        <w:t>)</w:t>
      </w:r>
      <w:bookmarkEnd w:id="0"/>
      <w:r>
        <w:rPr>
          <w:sz w:val="22"/>
          <w:szCs w:val="22"/>
        </w:rPr>
        <w:t>, te Strate</w:t>
      </w:r>
      <w:r w:rsidR="001669E8">
        <w:rPr>
          <w:sz w:val="22"/>
          <w:szCs w:val="22"/>
        </w:rPr>
        <w:t>škog</w:t>
      </w:r>
      <w:r>
        <w:rPr>
          <w:sz w:val="22"/>
          <w:szCs w:val="22"/>
        </w:rPr>
        <w:t xml:space="preserve"> razvoj</w:t>
      </w:r>
      <w:r w:rsidR="001669E8">
        <w:rPr>
          <w:sz w:val="22"/>
          <w:szCs w:val="22"/>
        </w:rPr>
        <w:t xml:space="preserve">nog programa Općine Gornji </w:t>
      </w:r>
      <w:proofErr w:type="spellStart"/>
      <w:r w:rsidR="001669E8">
        <w:rPr>
          <w:sz w:val="22"/>
          <w:szCs w:val="22"/>
        </w:rPr>
        <w:t>Bogićevci</w:t>
      </w:r>
      <w:proofErr w:type="spellEnd"/>
      <w:r>
        <w:rPr>
          <w:sz w:val="22"/>
          <w:szCs w:val="22"/>
        </w:rPr>
        <w:t xml:space="preserve"> </w:t>
      </w:r>
      <w:r w:rsidR="001669E8">
        <w:rPr>
          <w:sz w:val="22"/>
          <w:szCs w:val="22"/>
        </w:rPr>
        <w:t>za razdoblje 2016 – 2020.</w:t>
      </w:r>
      <w:r w:rsidR="00C6193B">
        <w:rPr>
          <w:sz w:val="22"/>
          <w:szCs w:val="22"/>
        </w:rPr>
        <w:t xml:space="preserve">, prioritet 2.2. </w:t>
      </w:r>
      <w:r w:rsidR="00C6193B" w:rsidRPr="00C6193B">
        <w:rPr>
          <w:sz w:val="22"/>
          <w:szCs w:val="22"/>
        </w:rPr>
        <w:t>Podrška rastu i razvoju malog i srednjeg poduzetništva</w:t>
      </w:r>
      <w:r w:rsidR="001669E8">
        <w:rPr>
          <w:sz w:val="22"/>
          <w:szCs w:val="22"/>
        </w:rPr>
        <w:t xml:space="preserve"> </w:t>
      </w:r>
      <w:r w:rsidR="00C6193B">
        <w:rPr>
          <w:sz w:val="22"/>
          <w:szCs w:val="22"/>
        </w:rPr>
        <w:t xml:space="preserve">(„Službeni glasnik općine Gornji </w:t>
      </w:r>
      <w:proofErr w:type="spellStart"/>
      <w:r w:rsidR="00C6193B">
        <w:rPr>
          <w:sz w:val="22"/>
          <w:szCs w:val="22"/>
        </w:rPr>
        <w:t>Bogićevci</w:t>
      </w:r>
      <w:proofErr w:type="spellEnd"/>
      <w:r w:rsidR="00C6193B">
        <w:rPr>
          <w:sz w:val="22"/>
          <w:szCs w:val="22"/>
        </w:rPr>
        <w:t>“, broj 04/16)</w:t>
      </w:r>
      <w:r>
        <w:rPr>
          <w:sz w:val="22"/>
          <w:szCs w:val="22"/>
        </w:rPr>
        <w:t xml:space="preserve">, </w:t>
      </w:r>
      <w:r w:rsidR="001669E8">
        <w:rPr>
          <w:sz w:val="22"/>
          <w:szCs w:val="22"/>
        </w:rPr>
        <w:t xml:space="preserve">općina Gornji </w:t>
      </w:r>
      <w:proofErr w:type="spellStart"/>
      <w:r w:rsidR="001669E8">
        <w:rPr>
          <w:sz w:val="22"/>
          <w:szCs w:val="22"/>
        </w:rPr>
        <w:t>Bogićevci</w:t>
      </w:r>
      <w:proofErr w:type="spellEnd"/>
      <w:r w:rsidR="002A5821">
        <w:rPr>
          <w:sz w:val="22"/>
          <w:szCs w:val="22"/>
        </w:rPr>
        <w:t xml:space="preserve"> dana </w:t>
      </w:r>
      <w:r w:rsidR="007636C9">
        <w:rPr>
          <w:sz w:val="22"/>
          <w:szCs w:val="22"/>
        </w:rPr>
        <w:t>07</w:t>
      </w:r>
      <w:r w:rsidR="002A5821">
        <w:rPr>
          <w:sz w:val="22"/>
          <w:szCs w:val="22"/>
        </w:rPr>
        <w:t xml:space="preserve">. </w:t>
      </w:r>
      <w:r w:rsidR="008908F8">
        <w:rPr>
          <w:sz w:val="22"/>
          <w:szCs w:val="22"/>
        </w:rPr>
        <w:t>s</w:t>
      </w:r>
      <w:r w:rsidR="007636C9">
        <w:rPr>
          <w:sz w:val="22"/>
          <w:szCs w:val="22"/>
        </w:rPr>
        <w:t>rpnj</w:t>
      </w:r>
      <w:r w:rsidR="002A5821">
        <w:rPr>
          <w:sz w:val="22"/>
          <w:szCs w:val="22"/>
        </w:rPr>
        <w:t>a 20</w:t>
      </w:r>
      <w:r w:rsidR="007636C9">
        <w:rPr>
          <w:sz w:val="22"/>
          <w:szCs w:val="22"/>
        </w:rPr>
        <w:t>20</w:t>
      </w:r>
      <w:r w:rsidR="002A5821">
        <w:rPr>
          <w:sz w:val="22"/>
          <w:szCs w:val="22"/>
        </w:rPr>
        <w:t>.godine</w:t>
      </w:r>
      <w:r w:rsidR="001669E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C6193B">
        <w:rPr>
          <w:sz w:val="22"/>
          <w:szCs w:val="22"/>
        </w:rPr>
        <w:t xml:space="preserve">  </w:t>
      </w:r>
      <w:r>
        <w:rPr>
          <w:sz w:val="22"/>
          <w:szCs w:val="22"/>
        </w:rPr>
        <w:t>d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</w:p>
    <w:p w:rsidR="001669E8" w:rsidRDefault="001669E8" w:rsidP="001669E8">
      <w:pPr>
        <w:pStyle w:val="Default"/>
        <w:jc w:val="both"/>
        <w:rPr>
          <w:sz w:val="22"/>
          <w:szCs w:val="22"/>
        </w:rPr>
      </w:pPr>
    </w:p>
    <w:p w:rsidR="00E54EAD" w:rsidRDefault="00E54EAD" w:rsidP="001669E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 R O G R A M</w:t>
      </w:r>
    </w:p>
    <w:p w:rsidR="00E54EAD" w:rsidRDefault="00E54EAD" w:rsidP="001669E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„RAZVOJ</w:t>
      </w:r>
      <w:r w:rsidR="005964D4">
        <w:rPr>
          <w:b/>
          <w:bCs/>
          <w:sz w:val="23"/>
          <w:szCs w:val="23"/>
        </w:rPr>
        <w:t xml:space="preserve"> MIKRO </w:t>
      </w:r>
      <w:r w:rsidR="000D60B5">
        <w:rPr>
          <w:b/>
          <w:bCs/>
          <w:sz w:val="23"/>
          <w:szCs w:val="23"/>
        </w:rPr>
        <w:t>PODUZETNIŠTVA</w:t>
      </w:r>
      <w:r w:rsidR="001D6124">
        <w:rPr>
          <w:b/>
          <w:bCs/>
          <w:sz w:val="23"/>
          <w:szCs w:val="23"/>
        </w:rPr>
        <w:t xml:space="preserve"> </w:t>
      </w:r>
      <w:r w:rsidR="007A562C">
        <w:rPr>
          <w:b/>
          <w:bCs/>
          <w:sz w:val="23"/>
          <w:szCs w:val="23"/>
        </w:rPr>
        <w:t>– RMP/</w:t>
      </w:r>
      <w:r w:rsidR="001D6124">
        <w:rPr>
          <w:b/>
          <w:bCs/>
          <w:sz w:val="23"/>
          <w:szCs w:val="23"/>
        </w:rPr>
        <w:t>20</w:t>
      </w:r>
      <w:r w:rsidR="007636C9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>“</w:t>
      </w:r>
    </w:p>
    <w:p w:rsidR="001669E8" w:rsidRDefault="001669E8" w:rsidP="001669E8">
      <w:pPr>
        <w:pStyle w:val="Default"/>
        <w:jc w:val="center"/>
        <w:rPr>
          <w:sz w:val="23"/>
          <w:szCs w:val="23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PREDMET PROGRAMA </w:t>
      </w:r>
    </w:p>
    <w:p w:rsidR="009D307E" w:rsidRPr="009D307E" w:rsidRDefault="00E54EAD" w:rsidP="00C84069">
      <w:pPr>
        <w:pStyle w:val="Default"/>
        <w:jc w:val="both"/>
      </w:pPr>
      <w:r>
        <w:rPr>
          <w:sz w:val="22"/>
          <w:szCs w:val="22"/>
        </w:rPr>
        <w:t xml:space="preserve">Dodjela bespovratnih sredstava namijenjenih </w:t>
      </w:r>
      <w:r w:rsidR="000D60B5">
        <w:rPr>
          <w:sz w:val="22"/>
          <w:szCs w:val="22"/>
        </w:rPr>
        <w:t xml:space="preserve">otvaranju novih </w:t>
      </w:r>
      <w:r w:rsidR="0039006F">
        <w:rPr>
          <w:sz w:val="22"/>
          <w:szCs w:val="22"/>
        </w:rPr>
        <w:t>mikro poduzeća</w:t>
      </w:r>
      <w:r w:rsidR="000D60B5">
        <w:rPr>
          <w:sz w:val="22"/>
          <w:szCs w:val="22"/>
        </w:rPr>
        <w:t>, kao i proširenje i unaprjeđenje postojećih</w:t>
      </w:r>
      <w:r w:rsidR="00C311A6">
        <w:rPr>
          <w:sz w:val="22"/>
          <w:szCs w:val="22"/>
        </w:rPr>
        <w:t xml:space="preserve"> koji će rezultirati novim zapošljavanjem.</w:t>
      </w:r>
      <w:r w:rsidR="005964D4">
        <w:rPr>
          <w:sz w:val="22"/>
          <w:szCs w:val="22"/>
        </w:rPr>
        <w:t xml:space="preserve"> Pri definiranju mikro poduzeća vodite će se </w:t>
      </w:r>
      <w:r w:rsidR="005964D4">
        <w:t>definicijom malog i srednjeg poduzetništva u natječajima za dodjelu sredstava iz fondova EU koja se nalazi na slijedećoj poveznici:</w:t>
      </w:r>
    </w:p>
    <w:p w:rsidR="005964D4" w:rsidRDefault="007636C9" w:rsidP="00E54EAD">
      <w:pPr>
        <w:pStyle w:val="Default"/>
        <w:rPr>
          <w:sz w:val="22"/>
          <w:szCs w:val="22"/>
        </w:rPr>
      </w:pPr>
      <w:hyperlink r:id="rId6" w:history="1">
        <w:r w:rsidR="005964D4" w:rsidRPr="0076118F">
          <w:rPr>
            <w:rStyle w:val="Hiperveza"/>
            <w:sz w:val="22"/>
            <w:szCs w:val="22"/>
          </w:rPr>
          <w:t>https://www.hgk.hr/documents/vodiczadefinicijumalogisrednjegpoduzetnistvaunatjecajimazadodjelusredstavaizfondovaeuhgkanaliza0120144457b5747dec0a7.pdf</w:t>
        </w:r>
      </w:hyperlink>
      <w:r w:rsidR="005964D4">
        <w:rPr>
          <w:sz w:val="22"/>
          <w:szCs w:val="22"/>
        </w:rPr>
        <w:t xml:space="preserve"> </w:t>
      </w:r>
    </w:p>
    <w:p w:rsidR="00C84069" w:rsidRDefault="00C84069" w:rsidP="00E54EAD">
      <w:pPr>
        <w:pStyle w:val="Default"/>
        <w:rPr>
          <w:b/>
          <w:bCs/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CILJEVI PROGRAMA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Ciljevi ovog Programa su: </w:t>
      </w:r>
    </w:p>
    <w:p w:rsidR="00E54EAD" w:rsidRDefault="00E54EAD" w:rsidP="00E54EAD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C84069">
        <w:rPr>
          <w:sz w:val="22"/>
          <w:szCs w:val="22"/>
        </w:rPr>
        <w:t>poticanje razvoja gospodarstva</w:t>
      </w:r>
      <w:r>
        <w:rPr>
          <w:sz w:val="22"/>
          <w:szCs w:val="22"/>
        </w:rPr>
        <w:t xml:space="preserve"> </w:t>
      </w:r>
    </w:p>
    <w:p w:rsidR="00E54EAD" w:rsidRDefault="00E54EAD" w:rsidP="00E54EAD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 w:rsidR="00C84069">
        <w:rPr>
          <w:sz w:val="22"/>
          <w:szCs w:val="22"/>
        </w:rPr>
        <w:t>poticanje zapošljavanja i samozapošljavanja</w:t>
      </w:r>
    </w:p>
    <w:p w:rsidR="00E54EAD" w:rsidRDefault="00E54EAD" w:rsidP="00E54EAD">
      <w:pPr>
        <w:pStyle w:val="Default"/>
        <w:rPr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IZNOS PRORAČUNSKIH SREDSTAVA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Davatelj potpore je </w:t>
      </w:r>
      <w:bookmarkStart w:id="1" w:name="_Hlk527626486"/>
      <w:r w:rsidR="00C84069">
        <w:rPr>
          <w:sz w:val="22"/>
          <w:szCs w:val="22"/>
        </w:rPr>
        <w:t xml:space="preserve">Općina Gornji </w:t>
      </w:r>
      <w:proofErr w:type="spellStart"/>
      <w:r w:rsidR="00C84069">
        <w:rPr>
          <w:sz w:val="22"/>
          <w:szCs w:val="22"/>
        </w:rPr>
        <w:t>Bogićevci</w:t>
      </w:r>
      <w:bookmarkEnd w:id="1"/>
      <w:proofErr w:type="spellEnd"/>
      <w:r>
        <w:rPr>
          <w:sz w:val="22"/>
          <w:szCs w:val="22"/>
        </w:rPr>
        <w:t xml:space="preserve">. </w:t>
      </w:r>
    </w:p>
    <w:p w:rsidR="00E54EAD" w:rsidRDefault="00E54EAD" w:rsidP="00C8406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proračunu </w:t>
      </w:r>
      <w:r w:rsidR="00C84069">
        <w:rPr>
          <w:sz w:val="22"/>
          <w:szCs w:val="22"/>
        </w:rPr>
        <w:t xml:space="preserve">Općine Gornji </w:t>
      </w:r>
      <w:proofErr w:type="spellStart"/>
      <w:r w:rsidR="00C84069">
        <w:rPr>
          <w:sz w:val="22"/>
          <w:szCs w:val="22"/>
        </w:rPr>
        <w:t>Bogićevci</w:t>
      </w:r>
      <w:proofErr w:type="spellEnd"/>
      <w:r>
        <w:rPr>
          <w:sz w:val="22"/>
          <w:szCs w:val="22"/>
        </w:rPr>
        <w:t xml:space="preserve">, na proračunskoj aktivnosti </w:t>
      </w:r>
      <w:r w:rsidR="00C84069">
        <w:rPr>
          <w:sz w:val="22"/>
          <w:szCs w:val="22"/>
        </w:rPr>
        <w:t>„</w:t>
      </w:r>
      <w:r w:rsidR="00C84069" w:rsidRPr="00C84069">
        <w:rPr>
          <w:sz w:val="22"/>
          <w:szCs w:val="22"/>
        </w:rPr>
        <w:t>Subvencije trg</w:t>
      </w:r>
      <w:r w:rsidR="00C84069">
        <w:rPr>
          <w:sz w:val="22"/>
          <w:szCs w:val="22"/>
        </w:rPr>
        <w:t xml:space="preserve">ovačkim </w:t>
      </w:r>
      <w:r w:rsidR="00C84069" w:rsidRPr="00C84069">
        <w:rPr>
          <w:sz w:val="22"/>
          <w:szCs w:val="22"/>
        </w:rPr>
        <w:t>društvima,</w:t>
      </w:r>
      <w:r w:rsidR="00C84069">
        <w:rPr>
          <w:sz w:val="22"/>
          <w:szCs w:val="22"/>
        </w:rPr>
        <w:t xml:space="preserve"> </w:t>
      </w:r>
      <w:r w:rsidR="00C84069" w:rsidRPr="00C84069">
        <w:rPr>
          <w:sz w:val="22"/>
          <w:szCs w:val="22"/>
        </w:rPr>
        <w:t>poljop</w:t>
      </w:r>
      <w:r w:rsidR="00C84069">
        <w:rPr>
          <w:sz w:val="22"/>
          <w:szCs w:val="22"/>
        </w:rPr>
        <w:t>rivrednicima</w:t>
      </w:r>
      <w:r w:rsidR="00C84069" w:rsidRPr="00C84069">
        <w:rPr>
          <w:sz w:val="22"/>
          <w:szCs w:val="22"/>
        </w:rPr>
        <w:t xml:space="preserve"> i obrtnicima izvan javnog sektora</w:t>
      </w:r>
      <w:r w:rsidR="00C84069">
        <w:rPr>
          <w:sz w:val="22"/>
          <w:szCs w:val="22"/>
        </w:rPr>
        <w:t>“, stavka proračuna 352,</w:t>
      </w:r>
      <w:r>
        <w:rPr>
          <w:sz w:val="22"/>
          <w:szCs w:val="22"/>
        </w:rPr>
        <w:t xml:space="preserve"> planirano je ukupno </w:t>
      </w:r>
      <w:r w:rsidR="00633334">
        <w:rPr>
          <w:sz w:val="22"/>
          <w:szCs w:val="22"/>
        </w:rPr>
        <w:t>40</w:t>
      </w:r>
      <w:r>
        <w:rPr>
          <w:sz w:val="22"/>
          <w:szCs w:val="22"/>
        </w:rPr>
        <w:t xml:space="preserve">.000,00 kuna za dodjelu bespovratnih potpora temeljem ovog Programa. </w:t>
      </w:r>
    </w:p>
    <w:p w:rsidR="00C84069" w:rsidRDefault="00C84069" w:rsidP="00E54EAD">
      <w:pPr>
        <w:pStyle w:val="Default"/>
        <w:rPr>
          <w:b/>
          <w:bCs/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KORISNICI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Korisnici bespovratnih sredstava temeljem ovog Programa mogu biti </w:t>
      </w:r>
      <w:r w:rsidR="0039006F">
        <w:rPr>
          <w:sz w:val="22"/>
          <w:szCs w:val="22"/>
        </w:rPr>
        <w:t>mikro poduzeća</w:t>
      </w:r>
      <w:r w:rsidR="007477CF">
        <w:rPr>
          <w:sz w:val="22"/>
          <w:szCs w:val="22"/>
        </w:rPr>
        <w:t>.</w:t>
      </w:r>
      <w:r>
        <w:rPr>
          <w:sz w:val="22"/>
          <w:szCs w:val="22"/>
        </w:rPr>
        <w:t xml:space="preserve"> Kako bi se ispunili uvjeti prihvatljivosti, Podnositelji prijave koji obavljaju gospodarsku djelatnost moraju biti pravne ili fizičke osobe koje su </w:t>
      </w:r>
      <w:r w:rsidR="0039006F">
        <w:rPr>
          <w:sz w:val="22"/>
          <w:szCs w:val="22"/>
        </w:rPr>
        <w:t>mikro poduzeća</w:t>
      </w:r>
      <w:r>
        <w:rPr>
          <w:sz w:val="22"/>
          <w:szCs w:val="22"/>
        </w:rPr>
        <w:t xml:space="preserve"> sukladno Preporuci Europske komisije 2003/361/EC od 6. svibnja 2003</w:t>
      </w:r>
      <w:r>
        <w:rPr>
          <w:sz w:val="14"/>
          <w:szCs w:val="14"/>
        </w:rPr>
        <w:t>1</w:t>
      </w:r>
      <w:r>
        <w:rPr>
          <w:sz w:val="22"/>
          <w:szCs w:val="22"/>
        </w:rPr>
        <w:t xml:space="preserve">. </w:t>
      </w:r>
    </w:p>
    <w:p w:rsidR="00E54EAD" w:rsidRPr="007477CF" w:rsidRDefault="00E54EAD" w:rsidP="007477CF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1 </w:t>
      </w:r>
      <w:hyperlink r:id="rId7" w:history="1">
        <w:r w:rsidR="007477CF" w:rsidRPr="001B40B0">
          <w:rPr>
            <w:rStyle w:val="Hiperveza"/>
            <w:sz w:val="18"/>
            <w:szCs w:val="18"/>
          </w:rPr>
          <w:t>http://www.reach-compliance.eu/english/REACH-ME/engine/sources/regulations/launch-2003-361-EC.html</w:t>
        </w:r>
      </w:hyperlink>
      <w:r w:rsidR="007477C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2"/>
          <w:szCs w:val="22"/>
        </w:rPr>
        <w:t xml:space="preserve"> </w:t>
      </w:r>
    </w:p>
    <w:p w:rsidR="00E54EAD" w:rsidRDefault="007636C9" w:rsidP="00E54EAD">
      <w:pPr>
        <w:pStyle w:val="Default"/>
        <w:rPr>
          <w:sz w:val="18"/>
          <w:szCs w:val="18"/>
        </w:rPr>
      </w:pPr>
      <w:hyperlink r:id="rId8" w:history="1">
        <w:r w:rsidR="007477CF" w:rsidRPr="001B40B0">
          <w:rPr>
            <w:rStyle w:val="Hiperveza"/>
            <w:sz w:val="18"/>
            <w:szCs w:val="18"/>
          </w:rPr>
          <w:t>http://ec.europa.eu/enterprise/policies/sme/facts-figures-analysis/sme-definition/index_hr.htm</w:t>
        </w:r>
      </w:hyperlink>
      <w:r w:rsidR="007477CF">
        <w:rPr>
          <w:sz w:val="18"/>
          <w:szCs w:val="18"/>
        </w:rPr>
        <w:t xml:space="preserve"> </w:t>
      </w:r>
      <w:r w:rsidR="00E54EAD">
        <w:rPr>
          <w:sz w:val="18"/>
          <w:szCs w:val="18"/>
        </w:rPr>
        <w:t xml:space="preserve"> </w:t>
      </w:r>
    </w:p>
    <w:p w:rsidR="00E54EAD" w:rsidRDefault="007636C9" w:rsidP="00E54EAD">
      <w:pPr>
        <w:pStyle w:val="Default"/>
      </w:pPr>
      <w:hyperlink r:id="rId9" w:history="1">
        <w:r w:rsidR="007477CF" w:rsidRPr="001B40B0">
          <w:rPr>
            <w:rStyle w:val="Hiperveza"/>
            <w:sz w:val="18"/>
            <w:szCs w:val="18"/>
          </w:rPr>
          <w:t>https://poduzetnistvo.gov.hr/UserDocsImages/arhiva/IZRACUN%20MSP.pdf</w:t>
        </w:r>
      </w:hyperlink>
      <w:r w:rsidR="007477CF">
        <w:rPr>
          <w:sz w:val="18"/>
          <w:szCs w:val="18"/>
        </w:rPr>
        <w:t xml:space="preserve"> </w:t>
      </w:r>
      <w:r w:rsidR="00E54EAD">
        <w:rPr>
          <w:sz w:val="18"/>
          <w:szCs w:val="18"/>
        </w:rPr>
        <w:t xml:space="preserve"> </w:t>
      </w:r>
    </w:p>
    <w:p w:rsidR="007477CF" w:rsidRDefault="007477CF" w:rsidP="00E54EAD">
      <w:pPr>
        <w:pStyle w:val="Default"/>
        <w:rPr>
          <w:b/>
          <w:bCs/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NAMJENA BESPOVRATNIH SREDSTAVA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namjena: </w:t>
      </w:r>
    </w:p>
    <w:p w:rsidR="007477CF" w:rsidRDefault="007477CF" w:rsidP="00E54EAD">
      <w:pPr>
        <w:pStyle w:val="Default"/>
        <w:rPr>
          <w:sz w:val="22"/>
          <w:szCs w:val="22"/>
        </w:rPr>
      </w:pPr>
      <w:bookmarkStart w:id="2" w:name="_Hlk527970371"/>
      <w:r>
        <w:rPr>
          <w:sz w:val="22"/>
          <w:szCs w:val="22"/>
        </w:rPr>
        <w:t>- otvaranje i registracija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ulaganje u unaprjeđenje proizvodnje,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ulaganje u razvoj novih proizvoda/usluga,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prilagodba, uređenje i poboljšanje poslovnog i proizvodnog prostora, </w:t>
      </w: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marketinške aktivnosti i ulaganja za izlazak na nova tržišta </w:t>
      </w:r>
    </w:p>
    <w:bookmarkEnd w:id="2"/>
    <w:p w:rsidR="007477CF" w:rsidRDefault="007477CF" w:rsidP="00E54EAD">
      <w:pPr>
        <w:pStyle w:val="Default"/>
        <w:rPr>
          <w:b/>
          <w:bCs/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IZNOS I INTENZITET POTPORE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Najniži iznos potpore koji se može dodijeliti je 2.000,00 kuna.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Najviši iznos potpore koji se može dodijeliti je 5.000,00 kuna.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za odobrene potpore isplaćuju se korisnicima jednokratno u ukupnom iznosu dodijeljene potpore </w:t>
      </w:r>
      <w:r w:rsidR="00100687">
        <w:rPr>
          <w:sz w:val="22"/>
          <w:szCs w:val="22"/>
        </w:rPr>
        <w:t xml:space="preserve">do kraja </w:t>
      </w:r>
      <w:proofErr w:type="spellStart"/>
      <w:r w:rsidR="00100687">
        <w:rPr>
          <w:sz w:val="22"/>
          <w:szCs w:val="22"/>
        </w:rPr>
        <w:t>proračuinske</w:t>
      </w:r>
      <w:proofErr w:type="spellEnd"/>
      <w:r w:rsidR="0010068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od dana primitka potpisanog Ugovora o dodjeli bespovratne potpore</w:t>
      </w:r>
      <w:r w:rsidR="007477CF">
        <w:rPr>
          <w:sz w:val="22"/>
          <w:szCs w:val="22"/>
        </w:rPr>
        <w:t>.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Bespovratne potpore mikro poduzećima temeljem ovog Programa dodjeljuju se sukladno Uredbi Komisije (EU) br. 1407/2013 od 18. prosinca 2013. o primjeni članaka 107. i 108. Ugovora o funkcioniranju Europske unije na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minimis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potpore</w:t>
      </w:r>
      <w:r w:rsidR="007477CF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te su Podnositelji prijave dužni uz prijavu priložiti Izjavu o korištenim potporama male vrijednosti.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Temeljem spomenute Uredbe maksimalan iznos svih potpora male vrijednosti, koje jednom poduzetniku mogu biti dodijeljene tijekom razdoblja od tri fiskalne godine ne smije biti veći od 200.000 EUR, uključujući i potporu dobivenu u okviru ovog Programa.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Pojmom „jedan poduzetnik” sukladno Uredbi obuhvaćena su sva poduzeća koja su u najmanje jednom od sljedećih međusobnih odnosa: </w:t>
      </w:r>
    </w:p>
    <w:p w:rsidR="00E54EAD" w:rsidRDefault="00E54EAD" w:rsidP="007477CF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jedno poduzeće ima većinu glasačkih prava dioničara ili članova u drugom poduzeću </w:t>
      </w:r>
    </w:p>
    <w:p w:rsidR="00E54EAD" w:rsidRDefault="00E54EAD" w:rsidP="007477CF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jedno poduzeće ima pravo imenovati ili smijeniti većinu članova upravnog, upravljačkog ili nadzornog tijela drugog poduzeća </w:t>
      </w:r>
    </w:p>
    <w:p w:rsidR="00E54EAD" w:rsidRDefault="00E54EAD" w:rsidP="007477CF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jedno poduzeće ima pravo ostvarivati vladajući utjecaj na drugo poduzeće prema ugovoru sklopljenom s tim poduzećem ili prema odredbi statuta ili društvenog ugovora tog poduzeća;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jedno poduzeće koje je dioničar ili član u drugom poduzeće,</w:t>
      </w:r>
      <w:r w:rsidR="00166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kontrolira samo, u skladu s dogovorom s drugim dioničarima ili članovima tog poduzeća, većinu glasačkih prava dioničara ili glasačkih prava članova u tom poduzeću. </w:t>
      </w:r>
    </w:p>
    <w:p w:rsidR="00E54EAD" w:rsidRDefault="00E54EAD" w:rsidP="007477CF">
      <w:pPr>
        <w:pStyle w:val="Default"/>
        <w:jc w:val="both"/>
        <w:rPr>
          <w:sz w:val="22"/>
          <w:szCs w:val="22"/>
        </w:rPr>
      </w:pPr>
    </w:p>
    <w:p w:rsidR="00E54EAD" w:rsidRDefault="00E54EAD" w:rsidP="007477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Poduzeća koja su u bilo kojem od navedenih odnosa preko jednog ili više drugih poduzeća isto se tako smatraju jednim poduzetnikom. 3 </w:t>
      </w:r>
    </w:p>
    <w:p w:rsidR="00E54EAD" w:rsidRDefault="00E54EAD" w:rsidP="00E54EAD">
      <w:pPr>
        <w:pStyle w:val="Default"/>
        <w:rPr>
          <w:color w:val="auto"/>
        </w:rPr>
      </w:pPr>
    </w:p>
    <w:p w:rsidR="007477CF" w:rsidRDefault="007477CF" w:rsidP="003B0BE9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Prije </w:t>
      </w:r>
      <w:r w:rsidR="003B0BE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dodjele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bespovratne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potpore, </w:t>
      </w:r>
      <w:r w:rsidR="003B0BE9">
        <w:rPr>
          <w:color w:val="auto"/>
          <w:sz w:val="22"/>
          <w:szCs w:val="22"/>
        </w:rPr>
        <w:t xml:space="preserve"> Općina</w:t>
      </w:r>
      <w:r>
        <w:rPr>
          <w:color w:val="auto"/>
          <w:sz w:val="22"/>
          <w:szCs w:val="22"/>
        </w:rPr>
        <w:t xml:space="preserve">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će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izvršiti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provjeru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svih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dodijeljenih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bespovratnih </w:t>
      </w:r>
      <w:r w:rsidR="00AD02DC">
        <w:rPr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de</w:t>
      </w:r>
      <w:r w:rsidR="003B0BE9">
        <w:rPr>
          <w:i/>
          <w:iCs/>
          <w:color w:val="auto"/>
          <w:sz w:val="22"/>
          <w:szCs w:val="22"/>
        </w:rPr>
        <w:t xml:space="preserve"> </w:t>
      </w:r>
    </w:p>
    <w:p w:rsidR="003B0BE9" w:rsidRDefault="003B0BE9" w:rsidP="003B0BE9">
      <w:pPr>
        <w:pStyle w:val="Default"/>
        <w:jc w:val="both"/>
        <w:rPr>
          <w:color w:val="auto"/>
        </w:rPr>
      </w:pPr>
      <w:proofErr w:type="spellStart"/>
      <w:r>
        <w:rPr>
          <w:i/>
          <w:iCs/>
          <w:color w:val="auto"/>
          <w:sz w:val="22"/>
          <w:szCs w:val="22"/>
        </w:rPr>
        <w:t>minimis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r w:rsidR="00AD02DC"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potpora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sukladno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UREDBI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KOMISIJE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(EU)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br. 1407/2013 od 18. prosinca 2013.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o </w:t>
      </w:r>
      <w:r w:rsidR="00AD02D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primjeni</w:t>
      </w:r>
    </w:p>
    <w:p w:rsidR="003B0BE9" w:rsidRDefault="003B0BE9" w:rsidP="003B0BE9">
      <w:pPr>
        <w:pStyle w:val="Default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članaka 107. i 108. Ugovora o funkcioniranju Europske unije na </w:t>
      </w:r>
      <w:r>
        <w:rPr>
          <w:i/>
          <w:iCs/>
          <w:color w:val="auto"/>
          <w:sz w:val="22"/>
          <w:szCs w:val="22"/>
        </w:rPr>
        <w:t xml:space="preserve">de </w:t>
      </w:r>
      <w:proofErr w:type="spellStart"/>
      <w:r>
        <w:rPr>
          <w:i/>
          <w:iCs/>
          <w:color w:val="auto"/>
          <w:sz w:val="22"/>
          <w:szCs w:val="22"/>
        </w:rPr>
        <w:t>minimis</w:t>
      </w:r>
      <w:proofErr w:type="spellEnd"/>
      <w:r>
        <w:rPr>
          <w:i/>
          <w:i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potpore).</w:t>
      </w:r>
    </w:p>
    <w:p w:rsidR="003B0BE9" w:rsidRPr="00AD02DC" w:rsidRDefault="003B0BE9" w:rsidP="003B0BE9">
      <w:pPr>
        <w:pStyle w:val="Default"/>
        <w:jc w:val="both"/>
        <w:rPr>
          <w:color w:val="auto"/>
        </w:rPr>
      </w:pPr>
      <w:r>
        <w:rPr>
          <w:b/>
          <w:bCs/>
          <w:color w:val="auto"/>
          <w:sz w:val="22"/>
          <w:szCs w:val="22"/>
        </w:rPr>
        <w:t xml:space="preserve">Ako se utvrdi da je korisniku potpore blokiran poslovni račun, </w:t>
      </w:r>
      <w:r w:rsidR="00AD02DC">
        <w:rPr>
          <w:b/>
          <w:bCs/>
          <w:color w:val="auto"/>
          <w:sz w:val="22"/>
          <w:szCs w:val="22"/>
        </w:rPr>
        <w:t>Općina</w:t>
      </w:r>
      <w:r>
        <w:rPr>
          <w:b/>
          <w:bCs/>
          <w:color w:val="auto"/>
          <w:sz w:val="22"/>
          <w:szCs w:val="22"/>
        </w:rPr>
        <w:t xml:space="preserve"> neće izvršiti isplatu sredstava te se oslobađa obveze isplate odobrenih sredstava. Korisnik potpore će o navedenome biti obaviješten dopisom. </w:t>
      </w:r>
    </w:p>
    <w:p w:rsidR="003B0BE9" w:rsidRDefault="003B0BE9" w:rsidP="003B0BE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Informacije o statusu raspoloživih sredstava objavit će se na mrežnim stranicama </w:t>
      </w:r>
      <w:r w:rsidR="00AD02DC">
        <w:rPr>
          <w:color w:val="auto"/>
          <w:sz w:val="22"/>
          <w:szCs w:val="22"/>
        </w:rPr>
        <w:t>Općine</w:t>
      </w:r>
      <w:r>
        <w:rPr>
          <w:color w:val="auto"/>
          <w:sz w:val="22"/>
          <w:szCs w:val="22"/>
        </w:rPr>
        <w:t xml:space="preserve"> (</w:t>
      </w:r>
      <w:hyperlink r:id="rId10" w:history="1">
        <w:r w:rsidR="00AE0E5D" w:rsidRPr="001B40B0">
          <w:rPr>
            <w:rStyle w:val="Hiperveza"/>
            <w:sz w:val="22"/>
            <w:szCs w:val="22"/>
          </w:rPr>
          <w:t>www.opcinagornjibogicevci.hr</w:t>
        </w:r>
      </w:hyperlink>
      <w:r w:rsidR="00AE0E5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). </w:t>
      </w:r>
    </w:p>
    <w:p w:rsidR="003B0BE9" w:rsidRDefault="003B0BE9" w:rsidP="00E54EAD">
      <w:pPr>
        <w:pStyle w:val="Default"/>
        <w:rPr>
          <w:color w:val="auto"/>
        </w:rPr>
      </w:pPr>
    </w:p>
    <w:p w:rsidR="00E54EAD" w:rsidRDefault="00E54EAD" w:rsidP="00E54EA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UPUTE ZA PODNOŠENJE PRIJAVE </w:t>
      </w:r>
    </w:p>
    <w:p w:rsidR="00C6193B" w:rsidRDefault="00C6193B" w:rsidP="00E54EAD">
      <w:pPr>
        <w:pStyle w:val="Default"/>
        <w:rPr>
          <w:b/>
          <w:bCs/>
          <w:color w:val="auto"/>
          <w:sz w:val="22"/>
          <w:szCs w:val="22"/>
        </w:rPr>
      </w:pPr>
    </w:p>
    <w:p w:rsidR="00E54EAD" w:rsidRDefault="00E54EAD" w:rsidP="00E54EA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7. UVJETI ZA PODNOŠENJE PRIJAVE </w:t>
      </w:r>
    </w:p>
    <w:p w:rsidR="00E54EAD" w:rsidRDefault="00E54EAD" w:rsidP="00E54EA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Prijavu mogu podnijeti: </w:t>
      </w:r>
      <w:r w:rsidR="0039006F">
        <w:rPr>
          <w:color w:val="auto"/>
          <w:sz w:val="22"/>
          <w:szCs w:val="22"/>
        </w:rPr>
        <w:t>Mikro poduzeća</w:t>
      </w:r>
      <w:r w:rsidR="00AE0E5D">
        <w:rPr>
          <w:color w:val="auto"/>
          <w:sz w:val="22"/>
          <w:szCs w:val="22"/>
        </w:rPr>
        <w:t xml:space="preserve"> pod uvjetima iz točke 1. ovoga Programa.</w:t>
      </w:r>
      <w:r>
        <w:rPr>
          <w:color w:val="auto"/>
          <w:sz w:val="22"/>
          <w:szCs w:val="22"/>
        </w:rPr>
        <w:t xml:space="preserve"> </w:t>
      </w:r>
    </w:p>
    <w:p w:rsidR="00E54EAD" w:rsidRDefault="0039006F" w:rsidP="00332EAF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Mikro poduzeća</w:t>
      </w:r>
      <w:r w:rsidR="00E54EAD">
        <w:rPr>
          <w:color w:val="auto"/>
          <w:sz w:val="22"/>
          <w:szCs w:val="22"/>
        </w:rPr>
        <w:t xml:space="preserve"> su prihvatljivi Podnositelji prijave po ovom Programu ukoliko: </w:t>
      </w:r>
    </w:p>
    <w:p w:rsidR="00E54EAD" w:rsidRDefault="00E54EAD" w:rsidP="00332EAF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imaju sjedište na području </w:t>
      </w:r>
      <w:r w:rsidR="00332EAF">
        <w:rPr>
          <w:color w:val="auto"/>
          <w:sz w:val="22"/>
          <w:szCs w:val="22"/>
        </w:rPr>
        <w:t xml:space="preserve">općine Gornji </w:t>
      </w:r>
      <w:proofErr w:type="spellStart"/>
      <w:r w:rsidR="00332EAF">
        <w:rPr>
          <w:color w:val="auto"/>
          <w:sz w:val="22"/>
          <w:szCs w:val="22"/>
        </w:rPr>
        <w:t>Bogićevci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9244F5" w:rsidRDefault="00C6193B" w:rsidP="00332EAF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imaju podmirene obveze prema općini Gornji </w:t>
      </w:r>
      <w:proofErr w:type="spellStart"/>
      <w:r>
        <w:rPr>
          <w:color w:val="auto"/>
          <w:sz w:val="22"/>
          <w:szCs w:val="22"/>
        </w:rPr>
        <w:t>Bogićevci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E54EAD" w:rsidRDefault="00E54EAD" w:rsidP="00332EAF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zajedno sa svojim povezanim i partnerskim subjektima imaju prosječno barem jednog</w:t>
      </w:r>
      <w:r w:rsidR="00332EAF"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>zaposlenog</w:t>
      </w:r>
      <w:r>
        <w:rPr>
          <w:color w:val="auto"/>
          <w:sz w:val="14"/>
          <w:szCs w:val="14"/>
        </w:rPr>
        <w:t xml:space="preserve">2 </w:t>
      </w:r>
      <w:r>
        <w:rPr>
          <w:color w:val="auto"/>
          <w:sz w:val="22"/>
          <w:szCs w:val="22"/>
        </w:rPr>
        <w:t xml:space="preserve">u prethodnoj poslovnoj godini </w:t>
      </w:r>
      <w:r w:rsidR="00C6193B">
        <w:rPr>
          <w:color w:val="auto"/>
          <w:sz w:val="22"/>
          <w:szCs w:val="22"/>
        </w:rPr>
        <w:t>ili se jasno vidi namjera zapošljavanja ili samozapošljavanja</w:t>
      </w:r>
      <w:r w:rsidR="00C6193B" w:rsidRPr="00C6193B">
        <w:rPr>
          <w:color w:val="auto"/>
          <w:sz w:val="22"/>
          <w:szCs w:val="22"/>
        </w:rPr>
        <w:t xml:space="preserve"> </w:t>
      </w:r>
      <w:r w:rsidR="00C6193B">
        <w:rPr>
          <w:color w:val="auto"/>
          <w:sz w:val="22"/>
          <w:szCs w:val="22"/>
        </w:rPr>
        <w:t>(dokaz npr. poslovni plan)</w:t>
      </w:r>
    </w:p>
    <w:p w:rsidR="00C6193B" w:rsidRDefault="00E54EAD" w:rsidP="00332EAF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imaju podmirene obveze po osnovi javnih davanja o kojima službenu evidenciju vodi Porezna uprava </w:t>
      </w:r>
    </w:p>
    <w:p w:rsidR="00E54EAD" w:rsidRDefault="00E54EAD" w:rsidP="00332EAF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lastRenderedPageBreak/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koji imaju </w:t>
      </w:r>
      <w:bookmarkStart w:id="3" w:name="_Hlk527630721"/>
      <w:r>
        <w:rPr>
          <w:color w:val="auto"/>
          <w:sz w:val="22"/>
          <w:szCs w:val="22"/>
        </w:rPr>
        <w:t xml:space="preserve">podmirene obveze prema </w:t>
      </w:r>
      <w:bookmarkEnd w:id="3"/>
      <w:r>
        <w:rPr>
          <w:color w:val="auto"/>
          <w:sz w:val="22"/>
          <w:szCs w:val="22"/>
        </w:rPr>
        <w:t xml:space="preserve">zaposlenicima </w:t>
      </w:r>
    </w:p>
    <w:p w:rsidR="00E54EAD" w:rsidRDefault="00E54EAD" w:rsidP="00332EAF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su u skladu s odredbama o potporama male vrijednosti (UREDBA KOMISIJE (EU) br. </w:t>
      </w:r>
      <w:r w:rsidR="00C6193B">
        <w:rPr>
          <w:color w:val="auto"/>
          <w:sz w:val="22"/>
          <w:szCs w:val="22"/>
        </w:rPr>
        <w:t>1401</w:t>
      </w:r>
      <w:r w:rsidR="00721D1D">
        <w:rPr>
          <w:color w:val="auto"/>
          <w:sz w:val="22"/>
          <w:szCs w:val="22"/>
        </w:rPr>
        <w:t xml:space="preserve">/2013 od 18. prosinca 2013. o primjeni članka 107. i 108. Ugovora o funkcioniranju Europske unije na de </w:t>
      </w:r>
      <w:proofErr w:type="spellStart"/>
      <w:r w:rsidR="00721D1D">
        <w:rPr>
          <w:color w:val="auto"/>
          <w:sz w:val="22"/>
          <w:szCs w:val="22"/>
        </w:rPr>
        <w:t>minimis</w:t>
      </w:r>
      <w:proofErr w:type="spellEnd"/>
      <w:r w:rsidR="00721D1D">
        <w:rPr>
          <w:color w:val="auto"/>
          <w:sz w:val="22"/>
          <w:szCs w:val="22"/>
        </w:rPr>
        <w:t xml:space="preserve"> potpore3)</w:t>
      </w:r>
    </w:p>
    <w:p w:rsidR="00E54EAD" w:rsidRDefault="00E54EAD" w:rsidP="00332EAF">
      <w:pPr>
        <w:pStyle w:val="Default"/>
        <w:jc w:val="both"/>
        <w:rPr>
          <w:color w:val="auto"/>
          <w:sz w:val="22"/>
          <w:szCs w:val="22"/>
        </w:rPr>
      </w:pPr>
    </w:p>
    <w:p w:rsidR="00E54EAD" w:rsidRDefault="00E54EAD" w:rsidP="00E54EAD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2 Broj zaposlenih utvrđuje se temeljem prosječnog broja zaposlenih temeljem sati rada u </w:t>
      </w:r>
      <w:r w:rsidR="008908F8">
        <w:rPr>
          <w:sz w:val="18"/>
          <w:szCs w:val="18"/>
        </w:rPr>
        <w:t>2019</w:t>
      </w:r>
      <w:r>
        <w:rPr>
          <w:sz w:val="18"/>
          <w:szCs w:val="18"/>
        </w:rPr>
        <w:t xml:space="preserve">. godini. </w:t>
      </w:r>
    </w:p>
    <w:p w:rsidR="00E54EAD" w:rsidRDefault="00E54EAD" w:rsidP="00332EAF">
      <w:pPr>
        <w:pStyle w:val="Default"/>
        <w:jc w:val="both"/>
        <w:rPr>
          <w:color w:val="auto"/>
          <w:sz w:val="22"/>
          <w:szCs w:val="22"/>
        </w:rPr>
      </w:pPr>
      <w:r>
        <w:rPr>
          <w:sz w:val="18"/>
          <w:szCs w:val="18"/>
        </w:rPr>
        <w:t xml:space="preserve">3 http://eur-lex.europa.eu/LexUriServ/LexUriServ.do?uri=OJ:L:2013:352:0001:0008:HR:PDF </w:t>
      </w:r>
    </w:p>
    <w:p w:rsidR="00721D1D" w:rsidRDefault="00721D1D" w:rsidP="00C6193B">
      <w:pPr>
        <w:pStyle w:val="Default"/>
        <w:spacing w:after="13"/>
        <w:jc w:val="both"/>
        <w:rPr>
          <w:rFonts w:ascii="Wingdings" w:hAnsi="Wingdings" w:cs="Wingdings"/>
          <w:color w:val="auto"/>
          <w:sz w:val="22"/>
          <w:szCs w:val="22"/>
        </w:rPr>
      </w:pPr>
    </w:p>
    <w:p w:rsidR="00E54EAD" w:rsidRDefault="00E54EAD" w:rsidP="00C6193B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imaju u cijelosti opravdane i namjenski iskorištene potpore male vrijednosti ako su im iste dodijeljene </w:t>
      </w:r>
    </w:p>
    <w:p w:rsidR="00E54EAD" w:rsidRDefault="00E54EAD" w:rsidP="00C6193B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njihovi partnerski subjekti imaju u cijelosti opravdane i namjenski iskorištene potpore male vrijednosti ako su im iste dodijeljene </w:t>
      </w:r>
    </w:p>
    <w:p w:rsidR="00E54EAD" w:rsidRDefault="00E54EAD" w:rsidP="00C6193B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njihovi partnerski i povezani subjekti nemaju evidentiran dug po osnovi javnih davanja o kojima službenu evidenciju vodi Porezna uprava </w:t>
      </w:r>
    </w:p>
    <w:p w:rsidR="00C6193B" w:rsidRDefault="00C6193B" w:rsidP="00C6193B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nad njima nije otvoren stečajni postupak, postupak predstečajne nagodbe ili postupak likvidacije </w:t>
      </w:r>
    </w:p>
    <w:p w:rsidR="00C6193B" w:rsidRDefault="00C6193B" w:rsidP="00C6193B">
      <w:pPr>
        <w:pStyle w:val="Default"/>
        <w:spacing w:after="13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nad njihovim pojedinačnim vlasnicima i partnerskim i povezanim subjektima nije otvoren stečajni postupak, postupak predstečajne nagodbe ili postupak likvidacije </w:t>
      </w:r>
    </w:p>
    <w:p w:rsidR="00C6193B" w:rsidRDefault="00C6193B" w:rsidP="00C6193B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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Podnositelju prijave, pojedinačnim vlasnicima Podnositelja prijave ili osobama ovlaštenim za zastupanje Podnositelja prijave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 </w:t>
      </w:r>
    </w:p>
    <w:p w:rsidR="00E54EAD" w:rsidRDefault="00E54EAD" w:rsidP="00C6193B">
      <w:pPr>
        <w:pStyle w:val="Default"/>
        <w:jc w:val="both"/>
        <w:rPr>
          <w:color w:val="auto"/>
          <w:sz w:val="22"/>
          <w:szCs w:val="22"/>
        </w:rPr>
      </w:pPr>
    </w:p>
    <w:p w:rsidR="00E54EAD" w:rsidRDefault="00E54EAD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Dokumentacija </w:t>
      </w:r>
      <w:r w:rsidR="00E44AAE">
        <w:rPr>
          <w:b/>
          <w:bCs/>
          <w:sz w:val="22"/>
          <w:szCs w:val="22"/>
        </w:rPr>
        <w:t>koja se prilaže:</w:t>
      </w:r>
      <w:r>
        <w:rPr>
          <w:b/>
          <w:bCs/>
          <w:sz w:val="22"/>
          <w:szCs w:val="22"/>
        </w:rPr>
        <w:t xml:space="preserve"> 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ispunjeni Prijavni obrazac 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ispunjena Izjava o korištenim državnim potporama male vrijednosti (Izjavu su obvezni ispuniti i potpisati i podnositelji koji do sada nisu koristili državne potpore male vrijednosti) 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ispunjena Izjava o korištenim potporama male vrijednosti povezanih osoba (ukoliko je primjenjivo) 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potvrda nadležne Porezne uprave o nepostojanju duga po osnovi poreza, prireza i doprinosa na i iz plaća (ne starija od 30 dana od dana podnošenja prijave) 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potvrda nadležne Porezne uprave o nepostojanju duga po osnovi javnih davanja u izvorniku za sve partnerske i povezane subjekte s Podnositeljem prijave registrirane unutar Republike Hrvatske (ne starija od 30 dana od datuma podnošenja prijave) </w:t>
      </w:r>
    </w:p>
    <w:p w:rsidR="00483F71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Konsolidirano izvješće ili Godišnja financijska izvješća i drugi jednako valjani dokumenti za </w:t>
      </w:r>
      <w:r w:rsidR="008908F8">
        <w:rPr>
          <w:sz w:val="22"/>
          <w:szCs w:val="22"/>
        </w:rPr>
        <w:t>2019</w:t>
      </w:r>
      <w:r>
        <w:rPr>
          <w:sz w:val="22"/>
          <w:szCs w:val="22"/>
        </w:rPr>
        <w:t>. godinu</w:t>
      </w:r>
      <w:r w:rsidR="00E44AAE">
        <w:rPr>
          <w:sz w:val="22"/>
          <w:szCs w:val="22"/>
        </w:rPr>
        <w:t xml:space="preserve"> (ako je primjenjivo)</w:t>
      </w:r>
      <w:r>
        <w:rPr>
          <w:sz w:val="22"/>
          <w:szCs w:val="22"/>
        </w:rPr>
        <w:t xml:space="preserve"> iz kojih su razvidni podaci o broju zaposlenih, ukupnim prihodima i ukupnoj aktivi</w:t>
      </w:r>
      <w:r w:rsidR="00E44AAE">
        <w:rPr>
          <w:sz w:val="22"/>
          <w:szCs w:val="22"/>
        </w:rPr>
        <w:t xml:space="preserve"> ili</w:t>
      </w:r>
      <w:r>
        <w:rPr>
          <w:sz w:val="22"/>
          <w:szCs w:val="22"/>
        </w:rPr>
        <w:t xml:space="preserve"> Prijave poreza na dohodak za </w:t>
      </w:r>
      <w:r w:rsidR="008908F8">
        <w:rPr>
          <w:sz w:val="22"/>
          <w:szCs w:val="22"/>
        </w:rPr>
        <w:t>2019</w:t>
      </w:r>
      <w:r>
        <w:rPr>
          <w:sz w:val="22"/>
          <w:szCs w:val="22"/>
        </w:rPr>
        <w:t xml:space="preserve">. godinu, pregled primitaka i izdataka i popis dugotrajne imovine za </w:t>
      </w:r>
      <w:r w:rsidR="008908F8">
        <w:rPr>
          <w:sz w:val="22"/>
          <w:szCs w:val="22"/>
        </w:rPr>
        <w:t>2019</w:t>
      </w:r>
      <w:r>
        <w:rPr>
          <w:sz w:val="22"/>
          <w:szCs w:val="22"/>
        </w:rPr>
        <w:t xml:space="preserve">. godinu/Izvješće o paušalnom dohotku samostalne djelatnosti i uplaćenom paušalnom porezu na dohodak i prirezu poreza na dohodak u </w:t>
      </w:r>
      <w:r w:rsidR="008908F8">
        <w:rPr>
          <w:sz w:val="22"/>
          <w:szCs w:val="22"/>
        </w:rPr>
        <w:t>2019</w:t>
      </w:r>
      <w:r>
        <w:rPr>
          <w:sz w:val="22"/>
          <w:szCs w:val="22"/>
        </w:rPr>
        <w:t>. godini svih partnerskih i povezanih subjekata (obveznika poreza na dohodak) s Podnositeljem prijave</w:t>
      </w:r>
      <w:r w:rsidR="00483F71">
        <w:rPr>
          <w:sz w:val="22"/>
          <w:szCs w:val="22"/>
        </w:rPr>
        <w:t>.</w:t>
      </w:r>
    </w:p>
    <w:p w:rsidR="00E54EAD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ponude, predračuni, troškovnici za predložene aktivnosti za koje se traže sredstva potpore, </w:t>
      </w:r>
    </w:p>
    <w:p w:rsidR="00E44AAE" w:rsidRDefault="00E54EAD" w:rsidP="00E44AAE">
      <w:pPr>
        <w:pStyle w:val="Default"/>
        <w:spacing w:after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Skupna Izjava </w:t>
      </w:r>
    </w:p>
    <w:p w:rsidR="00E54EAD" w:rsidRDefault="00E44AAE" w:rsidP="00E44A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54EAD">
        <w:rPr>
          <w:sz w:val="22"/>
          <w:szCs w:val="22"/>
        </w:rPr>
        <w:t xml:space="preserve">) fotografije proizvoda i promidžbeni materijal </w:t>
      </w:r>
    </w:p>
    <w:p w:rsidR="001F3329" w:rsidRDefault="001F3329" w:rsidP="00E54EAD">
      <w:pPr>
        <w:pStyle w:val="Default"/>
        <w:rPr>
          <w:b/>
          <w:bCs/>
          <w:sz w:val="22"/>
          <w:szCs w:val="22"/>
        </w:rPr>
      </w:pPr>
    </w:p>
    <w:p w:rsidR="00E54EAD" w:rsidRDefault="001F3329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8. PODNOŠENJE PRIJAVE ZA DODJELU BESPOVRATNE POTPORE</w:t>
      </w:r>
    </w:p>
    <w:p w:rsidR="001F3329" w:rsidRPr="001F3329" w:rsidRDefault="001F3329" w:rsidP="00483F7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Općina Gornji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Bogićevci</w:t>
      </w:r>
      <w:proofErr w:type="spellEnd"/>
      <w:r w:rsidRPr="001F33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objavljuje Otvoreni javni poziv za dodjelu bespovratnih sredstava temeljem ovog Programa na mrežnim stranicama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Općine</w:t>
      </w:r>
      <w:r w:rsidRPr="001F33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hyperlink r:id="rId11" w:history="1">
        <w:r w:rsidRPr="001F3329">
          <w:rPr>
            <w:rStyle w:val="Hiperveza"/>
            <w:rFonts w:ascii="Calibri" w:eastAsiaTheme="minorHAnsi" w:hAnsi="Calibri" w:cs="Calibri"/>
            <w:sz w:val="22"/>
            <w:szCs w:val="22"/>
            <w:lang w:eastAsia="en-US"/>
          </w:rPr>
          <w:t>www.</w:t>
        </w:r>
        <w:r w:rsidRPr="001B40B0">
          <w:rPr>
            <w:rStyle w:val="Hiperveza"/>
            <w:rFonts w:ascii="Calibri" w:eastAsiaTheme="minorHAnsi" w:hAnsi="Calibri" w:cs="Calibri"/>
            <w:sz w:val="22"/>
            <w:szCs w:val="22"/>
            <w:lang w:eastAsia="en-US"/>
          </w:rPr>
          <w:t>opcinagornjibogicevci</w:t>
        </w:r>
        <w:r w:rsidRPr="001F3329">
          <w:rPr>
            <w:rStyle w:val="Hiperveza"/>
            <w:rFonts w:ascii="Calibri" w:eastAsiaTheme="minorHAnsi" w:hAnsi="Calibri" w:cs="Calibri"/>
            <w:sz w:val="22"/>
            <w:szCs w:val="22"/>
            <w:lang w:eastAsia="en-US"/>
          </w:rPr>
          <w:t>.hr</w:t>
        </w:r>
      </w:hyperlink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Pr="001F33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</w:p>
    <w:p w:rsidR="001F3329" w:rsidRPr="001F3329" w:rsidRDefault="001F3329" w:rsidP="00483F7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F332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Prijava za dodjelu bespovratne potpore podnosi se putem pripadajućeg Prijavnog obrasca. Uz ispunjeni Prijavni obrazac obavezno se prilaže i propisana dokumentacija. </w:t>
      </w:r>
    </w:p>
    <w:p w:rsidR="001F3329" w:rsidRPr="001F3329" w:rsidRDefault="001F3329" w:rsidP="001F332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1F332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lastRenderedPageBreak/>
        <w:t xml:space="preserve">Prijava (Prijavni obrazac s propisanom dokumentacijom) se podnosi </w:t>
      </w:r>
      <w:r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Općini</w:t>
      </w:r>
      <w:r w:rsidRPr="001F3329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 neposredno ili putem pošte od dana raspisivanja Otvorenog javnog poziva na adresu: </w:t>
      </w:r>
    </w:p>
    <w:p w:rsidR="001F3329" w:rsidRPr="001F3329" w:rsidRDefault="00483F71" w:rsidP="00483F7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OPĆINA GORNJI BOGIĆEVCI</w:t>
      </w:r>
    </w:p>
    <w:p w:rsidR="001F3329" w:rsidRPr="001F3329" w:rsidRDefault="001F3329" w:rsidP="00483F7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  <w:r w:rsidRPr="001F3329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Prijava na Otvoreni javni poziv za Program „</w:t>
      </w:r>
      <w:r w:rsidR="00483F71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Razvoj mikro poduzetništva</w:t>
      </w:r>
      <w:r w:rsidRPr="001F3329"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“</w:t>
      </w:r>
    </w:p>
    <w:p w:rsidR="001F3329" w:rsidRPr="001F3329" w:rsidRDefault="00483F71" w:rsidP="00483F71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3"/>
          <w:szCs w:val="23"/>
          <w:lang w:eastAsia="en-US"/>
        </w:rPr>
        <w:t>Trg hrvatskih branitelja 1</w:t>
      </w:r>
    </w:p>
    <w:p w:rsidR="001F3329" w:rsidRDefault="00483F71" w:rsidP="00483F7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35429 Gornji </w:t>
      </w:r>
      <w:proofErr w:type="spellStart"/>
      <w:r>
        <w:rPr>
          <w:b/>
          <w:bCs/>
          <w:sz w:val="23"/>
          <w:szCs w:val="23"/>
        </w:rPr>
        <w:t>Bogićevci</w:t>
      </w:r>
      <w:proofErr w:type="spellEnd"/>
    </w:p>
    <w:p w:rsidR="00483F71" w:rsidRDefault="00483F71" w:rsidP="00483F71">
      <w:pPr>
        <w:pStyle w:val="Default"/>
        <w:jc w:val="center"/>
        <w:rPr>
          <w:b/>
          <w:bCs/>
          <w:sz w:val="22"/>
          <w:szCs w:val="22"/>
        </w:rPr>
      </w:pPr>
    </w:p>
    <w:p w:rsidR="00E54EAD" w:rsidRDefault="001F3329" w:rsidP="00E54E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E54EAD">
        <w:rPr>
          <w:b/>
          <w:bCs/>
          <w:sz w:val="22"/>
          <w:szCs w:val="22"/>
        </w:rPr>
        <w:t xml:space="preserve">. POSTUPAK ODOBRAVANJA POTPORE </w:t>
      </w:r>
    </w:p>
    <w:p w:rsidR="00E54EAD" w:rsidRDefault="00E54EAD" w:rsidP="00E44A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Sredstva se odobravaju korisnicima koji udovoljavaju administrativnim uvjetima i uvjetima prihvatljivosti za dodjelu potpore do konačne raspodjele ukupnog iznosa proračunskih sredstava osiguranih za ovaj Program.  </w:t>
      </w:r>
    </w:p>
    <w:p w:rsidR="00E54EAD" w:rsidRDefault="00E54EAD" w:rsidP="00E54EAD">
      <w:pPr>
        <w:pStyle w:val="Default"/>
        <w:rPr>
          <w:color w:val="auto"/>
        </w:rPr>
      </w:pPr>
    </w:p>
    <w:sectPr w:rsidR="00E54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AD"/>
    <w:rsid w:val="000B3353"/>
    <w:rsid w:val="000D3F16"/>
    <w:rsid w:val="000D60B5"/>
    <w:rsid w:val="00100687"/>
    <w:rsid w:val="001669E8"/>
    <w:rsid w:val="001D6124"/>
    <w:rsid w:val="001F3329"/>
    <w:rsid w:val="002A5821"/>
    <w:rsid w:val="00317CCD"/>
    <w:rsid w:val="00332EAF"/>
    <w:rsid w:val="0039006F"/>
    <w:rsid w:val="003B0BE9"/>
    <w:rsid w:val="00483F71"/>
    <w:rsid w:val="005964D4"/>
    <w:rsid w:val="00633334"/>
    <w:rsid w:val="00721D1D"/>
    <w:rsid w:val="007477CF"/>
    <w:rsid w:val="007636C9"/>
    <w:rsid w:val="007A562C"/>
    <w:rsid w:val="0080469F"/>
    <w:rsid w:val="008908F8"/>
    <w:rsid w:val="008C5DA0"/>
    <w:rsid w:val="009244F5"/>
    <w:rsid w:val="00976679"/>
    <w:rsid w:val="009D307E"/>
    <w:rsid w:val="00AD02DC"/>
    <w:rsid w:val="00AE0E5D"/>
    <w:rsid w:val="00C311A6"/>
    <w:rsid w:val="00C6193B"/>
    <w:rsid w:val="00C84069"/>
    <w:rsid w:val="00CC78A6"/>
    <w:rsid w:val="00DA19AC"/>
    <w:rsid w:val="00E44AAE"/>
    <w:rsid w:val="00E54EAD"/>
    <w:rsid w:val="00F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93B4"/>
  <w15:chartTrackingRefBased/>
  <w15:docId w15:val="{A6EC9F8E-1EC7-4195-8B93-9241666C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4EAD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E54E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964D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terprise/policies/sme/facts-figures-analysis/sme-definition/index_hr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ach-compliance.eu/english/REACH-ME/engine/sources/regulations/launch-2003-361-EC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gk.hr/documents/vodiczadefinicijumalogisrednjegpoduzetnistvaunatjecajimazadodjelusredstavaizfondovaeuhgkanaliza0120144457b5747dec0a7.pdf" TargetMode="External"/><Relationship Id="rId11" Type="http://schemas.openxmlformats.org/officeDocument/2006/relationships/hyperlink" Target="http://www.opcinagornjibogicevci.hr" TargetMode="External"/><Relationship Id="rId5" Type="http://schemas.openxmlformats.org/officeDocument/2006/relationships/image" Target="media/image2.gif"/><Relationship Id="rId10" Type="http://schemas.openxmlformats.org/officeDocument/2006/relationships/hyperlink" Target="http://www.opcinagornjibogicevci.h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oduzetnistvo.gov.hr/UserDocsImages/arhiva/IZRACUN%20MSP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</dc:creator>
  <cp:keywords/>
  <dc:description/>
  <cp:lastModifiedBy>OGB</cp:lastModifiedBy>
  <cp:revision>17</cp:revision>
  <dcterms:created xsi:type="dcterms:W3CDTF">2018-10-17T12:38:00Z</dcterms:created>
  <dcterms:modified xsi:type="dcterms:W3CDTF">2020-07-07T09:16:00Z</dcterms:modified>
</cp:coreProperties>
</file>