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Monotype Corsiva" w:hAnsi="Monotype Corsiva"/>
          <w:color w:val="0000FF"/>
          <w:sz w:val="72"/>
          <w:szCs w:val="72"/>
        </w:rPr>
        <w:t xml:space="preserve">  </w:t>
      </w:r>
      <w:r>
        <w:rPr/>
        <w:drawing>
          <wp:inline distT="0" distB="0" distL="0" distR="0">
            <wp:extent cx="657225" cy="819150"/>
            <wp:effectExtent l="0" t="0" r="0" b="0"/>
            <wp:docPr id="1" name="Slika 1" descr="hr)sb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r)sb-g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ascii="Monotype Corsiva" w:hAnsi="Monotype Corsiva"/>
          <w:color w:val="0000FF"/>
          <w:sz w:val="72"/>
          <w:szCs w:val="72"/>
        </w:rPr>
        <w:t>SLUŽBENI   GLASNIK</w:t>
      </w:r>
    </w:p>
    <w:p>
      <w:pPr>
        <w:pStyle w:val="Normal"/>
        <w:rPr>
          <w:rFonts w:ascii="Monotype Corsiva" w:hAnsi="Monotype Corsiva"/>
          <w:color w:val="FF0000"/>
          <w:sz w:val="28"/>
        </w:rPr>
      </w:pPr>
      <w:r>
        <w:rPr/>
        <w:tab/>
        <w:tab/>
        <w:tab/>
      </w:r>
      <w:r>
        <w:rPr>
          <w:rFonts w:ascii="Monotype Corsiva" w:hAnsi="Monotype Corsiva"/>
          <w:color w:val="FF0000"/>
          <w:sz w:val="28"/>
        </w:rPr>
        <w:t>Službeno glasilo općine Gornji Bogićevci</w:t>
      </w:r>
    </w:p>
    <w:p>
      <w:pPr>
        <w:pStyle w:val="Stilnaslova3"/>
        <w:rPr>
          <w:rFonts w:ascii="Monotype Corsiva" w:hAnsi="Monotype Corsiva" w:cs="Arial"/>
          <w:sz w:val="24"/>
        </w:rPr>
      </w:pPr>
      <w:r>
        <w:rPr>
          <w:rFonts w:cs="Arial" w:ascii="Monotype Corsiva" w:hAnsi="Monotype Corsiva"/>
          <w:sz w:val="24"/>
        </w:rPr>
        <w:t>R E P U B L I K A  H R V A T S K A</w:t>
      </w:r>
    </w:p>
    <w:p>
      <w:pPr>
        <w:pStyle w:val="Stilnaslova3"/>
        <w:rPr>
          <w:rFonts w:ascii="Monotype Corsiva" w:hAnsi="Monotype Corsiva" w:cs="Arial"/>
          <w:sz w:val="24"/>
        </w:rPr>
      </w:pPr>
      <w:r>
        <w:rPr>
          <w:rFonts w:cs="Arial" w:ascii="Monotype Corsiva" w:hAnsi="Monotype Corsiva"/>
          <w:sz w:val="24"/>
        </w:rPr>
        <w:t>BRODSKO – POSAVSKA ŽUPANIJA</w:t>
      </w:r>
    </w:p>
    <w:p>
      <w:pPr>
        <w:pStyle w:val="Stilnaslova2"/>
        <w:ind w:left="0" w:hanging="0"/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t xml:space="preserve">   </w:t>
      </w:r>
      <w:r>
        <w:rPr>
          <w:rFonts w:ascii="Monotype Corsiva" w:hAnsi="Monotype Corsiva"/>
          <w:sz w:val="24"/>
        </w:rPr>
        <w:t>OPĆINA  GORNJI   BOGIĆEVCI</w:t>
      </w:r>
    </w:p>
    <w:p>
      <w:pPr>
        <w:pStyle w:val="Normal"/>
        <w:rPr/>
      </w:pPr>
      <w:r>
        <w:rPr/>
      </w:r>
    </w:p>
    <w:tbl>
      <w:tblPr>
        <w:tblW w:w="900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5"/>
        <w:gridCol w:w="5220"/>
        <w:gridCol w:w="2145"/>
      </w:tblGrid>
      <w:tr>
        <w:trPr>
          <w:trHeight w:val="100" w:hRule="atLeast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Godina</w:t>
            </w:r>
          </w:p>
          <w:p>
            <w:pPr>
              <w:pStyle w:val="Normal"/>
              <w:widowControl w:val="false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14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Gornji Bogićevci,  17. STUDENI  2020. godine</w:t>
            </w:r>
          </w:p>
          <w:p>
            <w:pPr>
              <w:pStyle w:val="Normal"/>
              <w:widowControl w:val="false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</w: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Broj</w:t>
            </w:r>
          </w:p>
          <w:p>
            <w:pPr>
              <w:pStyle w:val="Normal"/>
              <w:widowControl w:val="false"/>
              <w:jc w:val="center"/>
              <w:rPr>
                <w:rFonts w:ascii="Monotype Corsiva" w:hAnsi="Monotype Corsiva"/>
                <w:color w:val="993366"/>
                <w:sz w:val="28"/>
              </w:rPr>
            </w:pPr>
            <w:r>
              <w:rPr>
                <w:rFonts w:ascii="Monotype Corsiva" w:hAnsi="Monotype Corsiva"/>
                <w:color w:val="993366"/>
                <w:sz w:val="28"/>
              </w:rPr>
              <w:t>05/2020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color w:val="0000FF"/>
          <w:sz w:val="28"/>
        </w:rPr>
      </w:pPr>
      <w:r>
        <w:rPr>
          <w:rFonts w:cs="Arial" w:ascii="Arial" w:hAnsi="Arial"/>
          <w:color w:val="0000FF"/>
          <w:sz w:val="28"/>
        </w:rPr>
        <w:t>Akti Općinskog vijeća</w:t>
      </w:r>
    </w:p>
    <w:p>
      <w:pPr>
        <w:pStyle w:val="Normal"/>
        <w:ind w:left="360" w:hanging="0"/>
        <w:rPr>
          <w:rFonts w:ascii="Arial" w:hAnsi="Arial" w:cs="Arial"/>
          <w:color w:val="FF0000"/>
          <w:sz w:val="28"/>
        </w:rPr>
      </w:pPr>
      <w:r>
        <w:rPr>
          <w:rFonts w:cs="Arial" w:ascii="Arial" w:hAnsi="Arial"/>
          <w:color w:val="FF0000"/>
          <w:sz w:val="28"/>
        </w:rPr>
        <w:t xml:space="preserve">2. Akti Načelnika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Ostalo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b/>
          <w:b/>
          <w:i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Općinskog vijeća:</w:t>
      </w:r>
    </w:p>
    <w:p>
      <w:pPr>
        <w:pStyle w:val="Normal"/>
        <w:spacing w:lineRule="auto" w:line="276" w:before="0" w:after="200"/>
        <w:ind w:left="360" w:hanging="0"/>
        <w:rPr/>
      </w:pPr>
      <w:r>
        <w:rPr/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/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13.  Imenovanje Povjerenstva za dodjelu financijske pomoći za rješavanje 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</w:rPr>
        <w:t>stambenog  pitanja na području Općine Gornji Bogićevci</w:t>
        <w:tab/>
        <w:tab/>
        <w:tab/>
        <w:tab/>
        <w:t>94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>14.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Godišnji plan razvoja sustava civilne zaštite sa financijskim učincima za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trogodišnje   razdoblje Općine Gornji Bogićevci za 2021. – 2023. g.</w:t>
        <w:tab/>
        <w:t xml:space="preserve">            94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15. Odluka o proglašenju komunalne infrastrukture u vlasništvu Općine Gornji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Bogićevci javnim dobrom u općoj uporabi</w:t>
        <w:tab/>
        <w:tab/>
        <w:tab/>
        <w:tab/>
        <w:tab/>
        <w:tab/>
        <w:t>99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16. Odluka o II. Izmjenama i dopunama Proračuna Općine Gornji Bogićevci za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2020. godinu</w:t>
        <w:tab/>
        <w:tab/>
        <w:tab/>
        <w:tab/>
        <w:tab/>
        <w:tab/>
        <w:tab/>
        <w:tab/>
        <w:tab/>
        <w:tab/>
        <w:t>100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p>
      <w:pPr>
        <w:pStyle w:val="ListParagraph"/>
        <w:spacing w:lineRule="auto" w:line="276" w:before="0" w:after="200"/>
        <w:contextualSpacing/>
        <w:rPr/>
      </w:pPr>
      <w:r>
        <w:rPr/>
        <w:tab/>
        <w:tab/>
        <w:tab/>
        <w:tab/>
        <w:tab/>
        <w:tab/>
        <w:tab/>
        <w:t xml:space="preserve">     </w:t>
      </w:r>
    </w:p>
    <w:p>
      <w:pPr>
        <w:pStyle w:val="ListParagraph"/>
        <w:spacing w:lineRule="auto" w:line="276" w:before="0" w:after="200"/>
        <w:contextualSpacing/>
        <w:rPr/>
      </w:pPr>
      <w:r>
        <w:rPr/>
        <w:tab/>
        <w:tab/>
        <w:tab/>
        <w:tab/>
        <w:tab/>
        <w:tab/>
        <w:tab/>
        <w:tab/>
        <w:tab/>
        <w:tab/>
        <w:t xml:space="preserve"> </w:t>
        <w:tab/>
      </w:r>
    </w:p>
    <w:p>
      <w:pPr>
        <w:pStyle w:val="ListParagraph"/>
        <w:spacing w:lineRule="auto" w:line="276" w:before="0" w:after="200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3"/>
        </w:numPr>
        <w:jc w:val="both"/>
        <w:rPr>
          <w:b/>
          <w:b/>
          <w:i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Akti načelnika :</w:t>
      </w:r>
    </w:p>
    <w:p>
      <w:pPr>
        <w:pStyle w:val="Normal"/>
        <w:ind w:left="360" w:hanging="0"/>
        <w:jc w:val="both"/>
        <w:rPr>
          <w:b/>
          <w:b/>
          <w:i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</w:r>
    </w:p>
    <w:p>
      <w:pPr>
        <w:pStyle w:val="ListParagraph"/>
        <w:ind w:left="644" w:hanging="0"/>
        <w:jc w:val="both"/>
        <w:rPr/>
      </w:pPr>
      <w:r>
        <w:rPr/>
      </w:r>
    </w:p>
    <w:p>
      <w:pPr>
        <w:pStyle w:val="NoSpacing"/>
        <w:ind w:left="644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 xml:space="preserve">                            </w:t>
      </w:r>
      <w:r>
        <w:rPr>
          <w:rFonts w:cs="Arial" w:ascii="Arial" w:hAnsi="Arial"/>
          <w:b/>
          <w:sz w:val="22"/>
          <w:szCs w:val="22"/>
        </w:rPr>
        <w:tab/>
        <w:tab/>
        <w:tab/>
        <w:tab/>
        <w:tab/>
        <w:tab/>
        <w:tab/>
        <w:tab/>
        <w:t xml:space="preserve">                    </w:t>
        <w:tab/>
        <w:tab/>
        <w:tab/>
        <w:tab/>
        <w:tab/>
        <w:tab/>
        <w:tab/>
        <w:tab/>
        <w:tab/>
      </w:r>
    </w:p>
    <w:p>
      <w:pPr>
        <w:pStyle w:val="Normal"/>
        <w:ind w:firstLine="360"/>
        <w:jc w:val="both"/>
        <w:rPr>
          <w:rFonts w:ascii="Arial" w:hAnsi="Arial" w:cs="Arial"/>
          <w:b/>
          <w:b/>
          <w:i/>
          <w:i/>
          <w:sz w:val="28"/>
          <w:szCs w:val="28"/>
          <w:u w:val="single"/>
        </w:rPr>
      </w:pPr>
      <w:r>
        <w:rPr>
          <w:rFonts w:cs="Arial" w:ascii="Arial" w:hAnsi="Arial"/>
          <w:b/>
          <w:i/>
          <w:sz w:val="28"/>
          <w:szCs w:val="28"/>
          <w:u w:val="single"/>
        </w:rPr>
        <w:t xml:space="preserve"> </w:t>
      </w:r>
      <w:r>
        <w:rPr>
          <w:rFonts w:cs="Arial" w:ascii="Arial" w:hAnsi="Arial"/>
          <w:b/>
          <w:i/>
          <w:sz w:val="28"/>
          <w:szCs w:val="28"/>
          <w:u w:val="single"/>
        </w:rPr>
        <w:t>- Ostalo :</w:t>
      </w:r>
    </w:p>
    <w:p>
      <w:pPr>
        <w:pStyle w:val="Normal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13.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Na temelju članka 33. Statuta Općine Gornji Bogićevci (Sl. glasnik br. 02/09, 01/13 i 04/19) Općinsko vijeće Općine Gornji Bogićevci na svojoj 20. sjednici održanoj 16.11.2020. godine donosi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 D L U K U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 imenovanju Povjerenstva za dodjelu financijske pomoći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za rješavanje stambenog pitanja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na području Općine Gornji Bogićevci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Imenuju se Povjerenstva za dodjelu financijske pomoći za rješavanje stambenog pitanja na području Općine Gornji Bogićevci u sastavu: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4"/>
        </w:numPr>
        <w:spacing w:lineRule="auto" w:line="259"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  <w:t>Mara Klarić, oec., predsjednik</w:t>
      </w:r>
    </w:p>
    <w:p>
      <w:pPr>
        <w:pStyle w:val="ListParagraph"/>
        <w:numPr>
          <w:ilvl w:val="0"/>
          <w:numId w:val="4"/>
        </w:numPr>
        <w:spacing w:lineRule="auto" w:line="259"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  <w:t>Stipo Šugić, član</w:t>
      </w:r>
    </w:p>
    <w:p>
      <w:pPr>
        <w:pStyle w:val="ListParagraph"/>
        <w:numPr>
          <w:ilvl w:val="0"/>
          <w:numId w:val="4"/>
        </w:numPr>
        <w:spacing w:lineRule="auto" w:line="259"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  <w:t>Željko Klarić, član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II.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Povjerenstvo razmatra prijave po javnom pozivu, te ukoliko ista udovoljava uvjetima javnog poziva predlaže Općinskom načelniku donošenje Odluke o prihvatljivosti.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 xml:space="preserve"> III.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Ova Odluka stupa na snagu osmog dana od dana objave u „Službenom glasniku Općine Gornji Bogićevci“.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OPĆINSKO VIJEĆE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OPĆINE GORNJI BOGIĆEVCI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KLASA: 370-01/20-01/20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URBROJ: 2178/21-01-20-03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Gornji Bogićevci, 16.11.2020. god.                                             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PREDSJEDNIK OPĆINSKOG VIJEĆA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</w:t>
      </w:r>
      <w:r>
        <w:rPr>
          <w:rFonts w:cs="Arial" w:ascii="Arial" w:hAnsi="Arial"/>
        </w:rPr>
        <w:t>Stipo Šugić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14.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temelju članka 17. stavak 1. Zakona o sustavu civilne zaštite („Narodne novine“, broj 82/15,118/18, 31/20), članka 59. Pravilnika o nositeljima, sadržaju i postupcima izrade planskih dokumenata u civilnoj zaštiti te načinu informiranja javnosti u postupku njihovog donošenja (NN 49/17) 33. Statuta Općine Gornji Bogićevci («Službeni glasnik Općine Gornji Bogićevci  br. 02/09, 01/13 i 04/19 ) , Općinsko vijeće Općine Gornji Bogićevci na  20. sjednici Općinskog vijeća, održanoj 16.11.2020. , donijelo je </w:t>
      </w:r>
    </w:p>
    <w:p>
      <w:pPr>
        <w:pStyle w:val="NoSpacing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</w:r>
    </w:p>
    <w:p>
      <w:pPr>
        <w:pStyle w:val="NoSpacing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GODIŠNJI PLAN RAZVOJ SUSTAVA CIVILNE ZAŠTITE SA FINANCIJSKIM UČINCIMA ZA TROGODIŠNJE RAZDOBLJE OPĆINE GORNJI BOGIĆEVCI                       </w:t>
      </w:r>
    </w:p>
    <w:p>
      <w:pPr>
        <w:pStyle w:val="NoSpacing"/>
        <w:jc w:val="center"/>
        <w:rPr>
          <w:rFonts w:ascii="Garamond" w:hAnsi="Garamond"/>
          <w:b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ZA 2021. – 2023.g.</w:t>
      </w:r>
    </w:p>
    <w:p>
      <w:pPr>
        <w:pStyle w:val="Normal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</w:r>
    </w:p>
    <w:p>
      <w:pPr>
        <w:pStyle w:val="Stilnaslova2"/>
        <w:rPr>
          <w:rFonts w:ascii="Garamond" w:hAnsi="Garamond"/>
        </w:rPr>
      </w:pPr>
      <w:r>
        <w:rPr>
          <w:rFonts w:ascii="Garamond" w:hAnsi="Garamond"/>
        </w:rPr>
        <w:t>UVOD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widowControl w:val="false"/>
        <w:tabs>
          <w:tab w:val="clear" w:pos="720"/>
          <w:tab w:val="left" w:pos="2153" w:leader="none"/>
        </w:tabs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>
      <w:pPr>
        <w:pStyle w:val="Normal"/>
        <w:widowControl w:val="false"/>
        <w:tabs>
          <w:tab w:val="clear" w:pos="720"/>
          <w:tab w:val="left" w:pos="2153" w:leader="none"/>
        </w:tabs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"/>
        <w:widowControl w:val="false"/>
        <w:tabs>
          <w:tab w:val="clear" w:pos="720"/>
          <w:tab w:val="left" w:pos="2153" w:leader="none"/>
        </w:tabs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>
      <w:pPr>
        <w:pStyle w:val="Normal"/>
        <w:widowControl w:val="false"/>
        <w:tabs>
          <w:tab w:val="clear" w:pos="720"/>
          <w:tab w:val="left" w:pos="2153" w:leader="none"/>
        </w:tabs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  <w:t>Jedinice lokalne i područne (regionalne) samouprave dužne su organizirati poslove iz svog samoupravnog djelokruga koji se odnose na planiranje, razvoj, učinkovito funkcioniranje i financiranje sustava civilne zaštite.</w:t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  <w:t>Jedinice lokalne i područne (regionalne) samouprave dužne su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</w:t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ascii="Garamond" w:hAnsi="Garamond"/>
          <w:color w:val="231F20"/>
          <w:shd w:fill="FFFFFF" w:val="clear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>
      <w:pPr>
        <w:pStyle w:val="Normal"/>
        <w:ind w:firstLine="708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b/>
          <w:color w:val="414145"/>
        </w:rPr>
        <w:t>Predstavničko tijelo,</w:t>
      </w:r>
      <w:r>
        <w:rPr>
          <w:rFonts w:cs="Arial" w:ascii="Garamond" w:hAnsi="Garamond"/>
          <w:color w:val="414145"/>
        </w:rPr>
        <w:t xml:space="preserve"> </w:t>
      </w:r>
      <w:r>
        <w:rPr>
          <w:rFonts w:cs="Arial" w:ascii="Garamond" w:hAnsi="Garamond"/>
          <w:b/>
          <w:color w:val="414145"/>
        </w:rPr>
        <w:t>na prijedlog izvršnog tijela jedinice lokalne i područne (regionalne) samouprave, izvršava sljedeće zadaće:</w:t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  <w:t xml:space="preserve">– </w:t>
      </w:r>
      <w:r>
        <w:rPr>
          <w:rFonts w:cs="Arial" w:ascii="Garamond" w:hAnsi="Garamond"/>
          <w:color w:val="414145"/>
        </w:rPr>
        <w:t xml:space="preserve">u postupku donošenja proračuna razmatra i usvaja godišnju analizu stanja i </w:t>
      </w:r>
      <w:r>
        <w:rPr>
          <w:rFonts w:cs="Arial" w:ascii="Garamond" w:hAnsi="Garamond"/>
          <w:i/>
          <w:color w:val="414145"/>
        </w:rPr>
        <w:t>godišnji plan razvoja sustava civilne zaštite s financijskim učincima za trogodišnje razdoblje</w:t>
      </w:r>
      <w:r>
        <w:rPr>
          <w:rFonts w:cs="Arial" w:ascii="Garamond" w:hAnsi="Garamond"/>
          <w:color w:val="414145"/>
        </w:rPr>
        <w:t xml:space="preserve"> te smjernice za organizaciju i razvoj sustava koje se razmatraju i usvajaju svake četiri godine</w:t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  <w:t xml:space="preserve">– </w:t>
      </w:r>
      <w:r>
        <w:rPr>
          <w:rFonts w:cs="Arial" w:ascii="Garamond" w:hAnsi="Garamond"/>
          <w:color w:val="414145"/>
        </w:rPr>
        <w:t>osigurava financijska sredstva za izvršavanje odluka o financiranju aktivnosti civilne zaštite u velikoj nesreći i katastrofi prema načelu solidarnosti.</w:t>
      </w:r>
    </w:p>
    <w:p>
      <w:pPr>
        <w:pStyle w:val="Normal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Web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Web"/>
        <w:rPr>
          <w:rFonts w:ascii="Garamond" w:hAnsi="Garamond" w:cs="Arial"/>
          <w:b/>
          <w:b/>
          <w:color w:val="414145"/>
          <w:u w:val="single"/>
        </w:rPr>
      </w:pPr>
      <w:r>
        <w:rPr>
          <w:rFonts w:cs="Arial" w:ascii="Garamond" w:hAnsi="Garamond"/>
          <w:b/>
          <w:color w:val="414145"/>
          <w:u w:val="single"/>
        </w:rPr>
        <w:t>CILJEVI, MJERE I AKTIVNOSTI U SUSTAVU CIVILNE ZAŠTITE U 2021.G.</w:t>
      </w:r>
    </w:p>
    <w:p>
      <w:pPr>
        <w:pStyle w:val="NormalWeb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  <w:t>Plan razvoja sustava civilne zaštite predstavlja dokument za implementaciju ciljeva iz Smjernica koji se u njih prenose kako bi se konkretizirale mjere i aktivnosti te utvrdila dinamika njihovog ostvarivanja.</w:t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  <w:t>Planom razvoja sustava civilne zaštite utvrđuju se nositelji, suradnici, rokovi za realizaciju ciljeva u narednoj godini te projekcija s financijskim učincima za trogodišnje razdoblje, odnosno do zaključenja ciklusa/razdoblja za koje se Smjernice usvajaju.</w:t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  <w:t>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rizicima, odnosno kroz realizaciju planova razvoja sustava civilne zaštite koje je potrebno uskladiti s procjenama rizika od velikih nesreća i katastrofa i Strategijom smanjivanja rizika od katastrofa.</w:t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</w:r>
    </w:p>
    <w:p>
      <w:pPr>
        <w:pStyle w:val="Box454509"/>
        <w:shd w:val="clear" w:color="auto" w:fill="FFFFFF"/>
        <w:spacing w:beforeAutospacing="0" w:before="0" w:afterAutospacing="0" w:after="0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  <w:t>Plan razvoja sustava civilne zaštite redovito se revidira na temelju provedene godišnje analize stanja sustava civilne zaštite.</w:t>
      </w:r>
    </w:p>
    <w:p>
      <w:pPr>
        <w:pStyle w:val="Box454509"/>
        <w:shd w:val="clear" w:color="auto" w:fill="FFFFFF"/>
        <w:spacing w:beforeAutospacing="0" w:before="0" w:afterAutospacing="0" w:after="48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</w:r>
    </w:p>
    <w:p>
      <w:pPr>
        <w:pStyle w:val="Box454509"/>
        <w:shd w:val="clear" w:color="auto" w:fill="FFFFFF"/>
        <w:spacing w:beforeAutospacing="0" w:before="0" w:afterAutospacing="0" w:after="48"/>
        <w:textAlignment w:val="baseline"/>
        <w:rPr>
          <w:rFonts w:ascii="Garamond" w:hAnsi="Garamond"/>
          <w:color w:val="231F20"/>
        </w:rPr>
      </w:pPr>
      <w:r>
        <w:rPr>
          <w:rFonts w:ascii="Garamond" w:hAnsi="Garamond"/>
          <w:color w:val="231F20"/>
        </w:rPr>
        <w:t>Kako bi stanje sustava civilne zaštite podigli na veću razinu, potrebno je poduzeti slijedeće:</w:t>
      </w:r>
    </w:p>
    <w:p>
      <w:pPr>
        <w:pStyle w:val="Normal"/>
        <w:rPr>
          <w:rFonts w:ascii="Garamond" w:hAnsi="Garamond"/>
          <w:bCs/>
          <w:i/>
          <w:i/>
        </w:rPr>
      </w:pPr>
      <w:r>
        <w:rPr>
          <w:rFonts w:ascii="Garamond" w:hAnsi="Garamond"/>
          <w:bCs/>
          <w:i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1. Ažurirati plan djelovanja u području prirodnih nepogoda za 2021. godinu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općinski načelnik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IN konzalting d.o.o., Stožer CZ, Jedinstveni upravni odjel.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studeni 2021.g.</w:t>
      </w:r>
    </w:p>
    <w:p>
      <w:pPr>
        <w:pStyle w:val="Normal"/>
        <w:rPr>
          <w:rFonts w:ascii="Garamond" w:hAnsi="Garamond"/>
          <w:bCs/>
          <w:i/>
          <w:i/>
        </w:rPr>
      </w:pPr>
      <w:r>
        <w:rPr>
          <w:rFonts w:ascii="Garamond" w:hAnsi="Garamond"/>
          <w:b/>
          <w:bCs/>
        </w:rPr>
        <w:t>Zakonska osnova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bCs/>
          <w:i/>
        </w:rPr>
        <w:t>Zakon o ublažavanju i uklanjanju posljedica prirodnih nepogoda NN (16/19)</w:t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2. Izraditi Plan vježbi za 2021. god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općinski načelnik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IN konzalting d.o.o., Stožer CZ, Jedinstveni upravni odjel.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ožujak 2021.g.</w:t>
      </w:r>
    </w:p>
    <w:p>
      <w:pPr>
        <w:pStyle w:val="Normal"/>
        <w:rPr>
          <w:rFonts w:ascii="Garamond" w:hAnsi="Garamond"/>
          <w:bCs/>
        </w:rPr>
      </w:pPr>
      <w:r>
        <w:rPr>
          <w:rFonts w:ascii="Garamond" w:hAnsi="Garamond"/>
          <w:b/>
          <w:bCs/>
        </w:rPr>
        <w:t>Zakonska osnova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bCs/>
          <w:i/>
        </w:rPr>
        <w:t>Pravilnik o vrstama i načinu provođenja vježbi operativnih snaga sustava civilne zaštite (NN 49/16)</w:t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</w:r>
    </w:p>
    <w:p>
      <w:pPr>
        <w:pStyle w:val="Normal"/>
        <w:rPr>
          <w:rFonts w:ascii="Garamond" w:hAnsi="Garamond"/>
          <w:b/>
          <w:b/>
          <w:bCs/>
          <w:i/>
          <w:i/>
          <w:iCs/>
        </w:rPr>
      </w:pPr>
      <w:r>
        <w:rPr>
          <w:rFonts w:ascii="Garamond" w:hAnsi="Garamond"/>
          <w:b/>
          <w:bCs/>
          <w:i/>
          <w:iCs/>
        </w:rPr>
        <w:t>3. Planirati, organizirati i provesti terensko pokaznu vježbu operativnih snaga sustava civilne zaštite općine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 CZ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IN konzalting d.o.o., Stručna služba općinsko vijeća i načelnika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siječanj-ožujak 2021.g.</w:t>
      </w:r>
    </w:p>
    <w:p>
      <w:pPr>
        <w:pStyle w:val="Normal"/>
        <w:rPr>
          <w:rFonts w:ascii="Garamond" w:hAnsi="Garamond"/>
          <w:bCs/>
        </w:rPr>
      </w:pPr>
      <w:r>
        <w:rPr>
          <w:rFonts w:ascii="Garamond" w:hAnsi="Garamond"/>
          <w:b/>
        </w:rPr>
        <w:t>Zakonska osnova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bCs/>
          <w:i/>
        </w:rPr>
        <w:t>Pravilnik o vrstama i načinu provođenja vježbi operativnih snaga sustava civilne zaštite (NN 49/16)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4. Ažurirati Plansku dokumentaciju u sustavu civilne zaštite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</w:t>
      </w:r>
      <w:r>
        <w:rPr>
          <w:rFonts w:ascii="Garamond" w:hAnsi="Garamond"/>
        </w:rPr>
        <w:t>: načelnik stožera CZ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Jedinstveni upravni odjel, IN konzalting d.o.o.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</w:t>
      </w:r>
      <w:r>
        <w:rPr>
          <w:rFonts w:ascii="Garamond" w:hAnsi="Garamond"/>
        </w:rPr>
        <w:t>: kontinuirano 2021.g.</w:t>
      </w:r>
    </w:p>
    <w:p>
      <w:pPr>
        <w:pStyle w:val="Normal"/>
        <w:rPr>
          <w:rFonts w:ascii="Garamond" w:hAnsi="Garamond"/>
          <w:bCs/>
          <w:i/>
          <w:i/>
        </w:rPr>
      </w:pPr>
      <w:r>
        <w:rPr>
          <w:rFonts w:ascii="Garamond" w:hAnsi="Garamond"/>
        </w:rPr>
        <w:t xml:space="preserve">Zakonska osnova: </w:t>
      </w:r>
      <w:r>
        <w:rPr>
          <w:rFonts w:ascii="Garamond" w:hAnsi="Garamond"/>
          <w:bCs/>
          <w:i/>
        </w:rPr>
        <w:t>Pravilnik o nositeljima, sadržaju i postupcima izrade planskih dokumenata u civilnoj zaštiti te načinu informiranja javnosti u postupku njihovog donošenja (NN 49/17)</w:t>
      </w:r>
    </w:p>
    <w:p>
      <w:pPr>
        <w:pStyle w:val="Normal"/>
        <w:rPr>
          <w:rFonts w:ascii="Garamond" w:hAnsi="Garamond"/>
          <w:bCs/>
        </w:rPr>
      </w:pPr>
      <w:r>
        <w:rPr>
          <w:rFonts w:ascii="Garamond" w:hAnsi="Garamond"/>
          <w:bCs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5. Izvršiti postupak popunjavanja postrojbe civilne zaštite opće namjene.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stožera, Jedinstveni upravni odjel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Jedinstveni upravni odjel, IN konzalting d.o.o.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</w:t>
      </w:r>
      <w:r>
        <w:rPr>
          <w:rFonts w:ascii="Garamond" w:hAnsi="Garamond"/>
        </w:rPr>
        <w:t>: ožujak 2021.g.</w:t>
      </w:r>
    </w:p>
    <w:p>
      <w:pPr>
        <w:pStyle w:val="Normal"/>
        <w:rPr>
          <w:rFonts w:ascii="Garamond" w:hAnsi="Garamond"/>
          <w:i/>
          <w:i/>
        </w:rPr>
      </w:pPr>
      <w:r>
        <w:rPr>
          <w:rFonts w:ascii="Garamond" w:hAnsi="Garamond"/>
          <w:b/>
        </w:rPr>
        <w:t>Zakonska osnova</w:t>
      </w:r>
      <w:r>
        <w:rPr>
          <w:rFonts w:ascii="Garamond" w:hAnsi="Garamond"/>
        </w:rPr>
        <w:t xml:space="preserve">: </w:t>
      </w:r>
      <w:r>
        <w:rPr>
          <w:rFonts w:ascii="Garamond" w:hAnsi="Garamond"/>
          <w:bCs/>
          <w:i/>
        </w:rPr>
        <w:t>Pravilnik o mobilizaciji, uvjetima i načinu rada operativnih snaga sustava civilne zaštite (NN 69/16)</w:t>
      </w:r>
    </w:p>
    <w:p>
      <w:pPr>
        <w:pStyle w:val="Normal"/>
        <w:rPr>
          <w:rFonts w:ascii="Garamond" w:hAnsi="Garamond"/>
          <w:bCs/>
        </w:rPr>
      </w:pPr>
      <w:r>
        <w:rPr>
          <w:rFonts w:ascii="Garamond" w:hAnsi="Garamond"/>
          <w:bCs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6. Izvršiti postupak raspoređivanja obveznika civilne zaštite na dužnosti povjerenika i zamjenika povjerenika civilne zaštite općine.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stožera, Jedinstveni upravni odjel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:</w:t>
      </w:r>
      <w:r>
        <w:rPr>
          <w:rFonts w:ascii="Garamond" w:hAnsi="Garamond"/>
        </w:rPr>
        <w:t xml:space="preserve"> Jedinstveni upravni odjel, IN konzalting d.o.o.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</w:t>
      </w:r>
      <w:r>
        <w:rPr>
          <w:rFonts w:ascii="Garamond" w:hAnsi="Garamond"/>
        </w:rPr>
        <w:t>: srpanj 2021.g.</w:t>
      </w:r>
    </w:p>
    <w:p>
      <w:pPr>
        <w:pStyle w:val="Normal"/>
        <w:rPr>
          <w:rFonts w:ascii="Garamond" w:hAnsi="Garamond"/>
          <w:i/>
          <w:i/>
        </w:rPr>
      </w:pPr>
      <w:r>
        <w:rPr>
          <w:rFonts w:ascii="Garamond" w:hAnsi="Garamond"/>
          <w:b/>
        </w:rPr>
        <w:t>Zakonska osnova: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  <w:i/>
        </w:rPr>
        <w:t>Pravilnik o mobilizaciji, uvjetima i načinu rada operativnih snaga sustava civilne zaštite (NN 69/16)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7. Izvršiti edukaciju članova postrojbe civilne zaštite opće namjene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IN konzalting d.o.o.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srpanj 2021.g.</w:t>
      </w:r>
    </w:p>
    <w:p>
      <w:pPr>
        <w:pStyle w:val="Normal"/>
        <w:rPr>
          <w:rFonts w:ascii="Garamond" w:hAnsi="Garamond"/>
          <w:i/>
          <w:i/>
        </w:rPr>
      </w:pPr>
      <w:r>
        <w:rPr>
          <w:rFonts w:ascii="Garamond" w:hAnsi="Garamond"/>
          <w:b/>
        </w:rPr>
        <w:t>Zakonska osnova: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  <w:i/>
        </w:rPr>
        <w:t>Pravilnik o mobilizaciji, uvjetima i načinu rada operativnih snaga sustava civilne zaštite (NN 69/16)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8. Izvršiti edukaciju povjerenika i zamjenika povjerenika civilne zaštite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  <w:bCs/>
        </w:rPr>
        <w:t xml:space="preserve"> Područni ured CZ – Osijek, Služba civilne zaštite Slavonski Brod</w:t>
      </w:r>
      <w:r>
        <w:rPr>
          <w:rFonts w:ascii="Garamond" w:hAnsi="Garamond"/>
        </w:rPr>
        <w:t>, IN konzalting d.o.o.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srpanj 2021.g.</w:t>
      </w:r>
    </w:p>
    <w:p>
      <w:pPr>
        <w:pStyle w:val="Normal"/>
        <w:rPr>
          <w:rFonts w:ascii="Garamond" w:hAnsi="Garamond"/>
          <w:i/>
          <w:i/>
        </w:rPr>
      </w:pPr>
      <w:r>
        <w:rPr>
          <w:rFonts w:ascii="Garamond" w:hAnsi="Garamond"/>
          <w:b/>
        </w:rPr>
        <w:t>Zakonska osnova: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  <w:i/>
        </w:rPr>
        <w:t>Pravilnik o mobilizaciji, uvjetima i načinu rada operativnih snaga sustava civilne zaštite (NN 69/16)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  <w:b/>
          <w:i/>
          <w:i/>
        </w:rPr>
      </w:pPr>
      <w:r>
        <w:rPr>
          <w:rFonts w:ascii="Garamond" w:hAnsi="Garamond"/>
          <w:b/>
          <w:i/>
        </w:rPr>
        <w:t>9. Izvršiti nabavku osobne zaštitne opreme za članove stožera CZ, članove postrojbe opće namjene, povjerenike i zamjenike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općinski načelnik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Jedinstveni upravni odjel, načelnik stožera CZ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ožujak 2021.g.</w:t>
      </w:r>
    </w:p>
    <w:p>
      <w:pPr>
        <w:pStyle w:val="Normal"/>
        <w:rPr>
          <w:rFonts w:ascii="Garamond" w:hAnsi="Garamond"/>
          <w:i/>
          <w:i/>
        </w:rPr>
      </w:pPr>
      <w:r>
        <w:rPr>
          <w:rFonts w:ascii="Garamond" w:hAnsi="Garamond"/>
          <w:b/>
        </w:rPr>
        <w:t>Zakonska osnova: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  <w:i/>
        </w:rPr>
        <w:t>Pravilnik o mobilizaciji, uvjetima i načinu rada operativnih snaga sustava civilne zaštite (NN 69/16)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10. Ugovoriti police osiguranja od posljedica nesretnog slučaja za članove stožera CZ, članove postrojbe opće namjene, povjerenike i zamjenike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općinski načelnik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Jedinstveni upravni odjel, načelnik stožera CZ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veljača 2021.g.</w:t>
      </w:r>
    </w:p>
    <w:p>
      <w:pPr>
        <w:pStyle w:val="Normal"/>
        <w:rPr>
          <w:rFonts w:ascii="Garamond" w:hAnsi="Garamond"/>
          <w:bCs/>
          <w:i/>
          <w:i/>
        </w:rPr>
      </w:pPr>
      <w:r>
        <w:rPr>
          <w:rFonts w:ascii="Garamond" w:hAnsi="Garamond"/>
          <w:b/>
        </w:rPr>
        <w:t>Zakonska osnova: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Cs/>
          <w:i/>
        </w:rPr>
        <w:t>Pravilnik o mobilizaciji, uvjetima i načinu rada operativnih snaga sustava civilne zaštite (NN 69/16)</w:t>
      </w:r>
    </w:p>
    <w:p>
      <w:pPr>
        <w:pStyle w:val="Normal"/>
        <w:rPr>
          <w:rFonts w:ascii="Garamond" w:hAnsi="Garamond"/>
          <w:i/>
          <w:i/>
        </w:rPr>
      </w:pPr>
      <w:r>
        <w:rPr>
          <w:rFonts w:ascii="Garamond" w:hAnsi="Garamond"/>
          <w:i/>
        </w:rPr>
      </w:r>
    </w:p>
    <w:p>
      <w:pPr>
        <w:pStyle w:val="NormalWeb"/>
        <w:jc w:val="both"/>
        <w:rPr>
          <w:rFonts w:ascii="Garamond" w:hAnsi="Garamond" w:cs="Arial"/>
          <w:color w:val="414145"/>
        </w:rPr>
      </w:pPr>
      <w:r>
        <w:rPr>
          <w:rFonts w:cs="Arial" w:ascii="Garamond" w:hAnsi="Garamond"/>
          <w:color w:val="414145"/>
        </w:rPr>
      </w:r>
    </w:p>
    <w:p>
      <w:pPr>
        <w:pStyle w:val="NormalWeb"/>
        <w:jc w:val="both"/>
        <w:rPr>
          <w:rFonts w:ascii="Garamond" w:hAnsi="Garamond" w:cs="Arial"/>
          <w:b/>
          <w:b/>
          <w:i/>
          <w:i/>
        </w:rPr>
      </w:pPr>
      <w:r>
        <w:rPr>
          <w:rFonts w:cs="Arial" w:ascii="Garamond" w:hAnsi="Garamond"/>
          <w:b/>
          <w:i/>
        </w:rPr>
        <w:t>11. Ustrojiti i voditi jedinstvenu evidenciju pripadnika operativnih snaga sustava civilne zaštite, te informacijskih baza podataka o operativnim snagama.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IN konzalting d.o.o., Jedinstveni upravni odjel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 xml:space="preserve">Rok: </w:t>
      </w:r>
      <w:r>
        <w:rPr>
          <w:rFonts w:ascii="Garamond" w:hAnsi="Garamond"/>
        </w:rPr>
        <w:t>kontinuirano 2021.g.</w:t>
      </w:r>
    </w:p>
    <w:p>
      <w:pPr>
        <w:pStyle w:val="NormalWeb"/>
        <w:rPr>
          <w:rFonts w:ascii="Garamond" w:hAnsi="Garamond" w:cs="Calibri"/>
          <w:bCs/>
          <w:i/>
          <w:i/>
        </w:rPr>
      </w:pPr>
      <w:r>
        <w:rPr>
          <w:rFonts w:ascii="Garamond" w:hAnsi="Garamond"/>
          <w:b/>
        </w:rPr>
        <w:t>Zakonska osnova:</w:t>
      </w:r>
      <w:r>
        <w:rPr>
          <w:rFonts w:ascii="Garamond" w:hAnsi="Garamond"/>
        </w:rPr>
        <w:t xml:space="preserve"> </w:t>
      </w:r>
      <w:r>
        <w:rPr>
          <w:rFonts w:cs="Calibri" w:ascii="Garamond" w:hAnsi="Garamond"/>
          <w:bCs/>
          <w:i/>
        </w:rPr>
        <w:t>Pravilnik o vođenju evidencija pripadnika operativnih snaga sustava civilne zaštite (NN 75/16), Pravilnik o vođenju jedinstvene evidencije i informacijskih baza podataka o operativnim snagama, materijalnim sredstvima i opremi operativnih snaga sustava civilne zaštite (NN 99/16)</w:t>
      </w:r>
    </w:p>
    <w:p>
      <w:pPr>
        <w:pStyle w:val="NormalWeb"/>
        <w:rPr>
          <w:rFonts w:ascii="Garamond" w:hAnsi="Garamond" w:cs="Calibri"/>
          <w:bCs/>
          <w:i/>
          <w:i/>
        </w:rPr>
      </w:pPr>
      <w:r>
        <w:rPr>
          <w:rFonts w:cs="Calibri" w:ascii="Garamond" w:hAnsi="Garamond"/>
          <w:bCs/>
          <w:i/>
        </w:rPr>
      </w:r>
    </w:p>
    <w:p>
      <w:pPr>
        <w:pStyle w:val="NormalWeb"/>
        <w:rPr>
          <w:rFonts w:ascii="Garamond" w:hAnsi="Garamond" w:cs="Calibri"/>
          <w:b/>
          <w:b/>
          <w:bCs/>
        </w:rPr>
      </w:pPr>
      <w:r>
        <w:rPr>
          <w:rFonts w:cs="Calibri" w:ascii="Garamond" w:hAnsi="Garamond"/>
          <w:b/>
          <w:bCs/>
        </w:rPr>
        <w:t xml:space="preserve">12. </w:t>
      </w:r>
      <w:r>
        <w:rPr>
          <w:rFonts w:ascii="Garamond" w:hAnsi="Garamond"/>
          <w:b/>
        </w:rPr>
        <w:t>Uspostaviti komunikaciju s građanima, pravnim osobama, udrugama građana, HGSS, Crvenim križem,  DVD, MUP – Ravnateljstvo CZ-a oko pravovremenog izvještavanja o nadolazećim opasnostima, te poduzimanju mjera u otklanjanju posljedica velikih nesreća i katastrofa.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Nositelj:</w:t>
      </w:r>
      <w:r>
        <w:rPr>
          <w:rFonts w:ascii="Garamond" w:hAnsi="Garamond"/>
        </w:rPr>
        <w:t xml:space="preserve"> načelnik stožera 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Suradnici:</w:t>
      </w:r>
      <w:r>
        <w:rPr>
          <w:rFonts w:ascii="Garamond" w:hAnsi="Garamond"/>
        </w:rPr>
        <w:t xml:space="preserve"> Jedinstveni upravni odjel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  <w:b/>
        </w:rPr>
        <w:t>Rok:</w:t>
      </w:r>
      <w:r>
        <w:rPr>
          <w:rFonts w:ascii="Garamond" w:hAnsi="Garamond"/>
        </w:rPr>
        <w:t xml:space="preserve"> kontinuirano 2021.g.</w:t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rPr/>
      </w:pPr>
      <w:r>
        <w:rPr>
          <w:sz w:val="28"/>
          <w:szCs w:val="28"/>
        </w:rPr>
        <w:t>PREGLED FINANCIJSKIH UČINAKA SUSTAVA CIVILNE ZAŠTITE</w:t>
      </w:r>
    </w:p>
    <w:tbl>
      <w:tblPr>
        <w:tblW w:w="100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42"/>
        <w:gridCol w:w="3915"/>
        <w:gridCol w:w="1559"/>
        <w:gridCol w:w="1843"/>
        <w:gridCol w:w="1918"/>
      </w:tblGrid>
      <w:tr>
        <w:trPr>
          <w:trHeight w:val="20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Red  broj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OPIS POZICIJE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2021.g.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2022.g.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2023.g.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9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STOŽER CIVILNE ZAŠTITE I POSTROJBE CIVILNE ZAŠTITE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Osiguranje uvjeta za evakuaciju, zbrinjavanje i sklanjanje stanovništva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Stožer civilne zaštite– odore, veza, edukacija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Postrojbe civilne zaštite – odora, edukacija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5.000,00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Procjena rizika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6.000,00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Plan djelovanja sustava 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Vježba operativnih snaga zaštite i spašavanja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Povjerenici civilne zaštite - edukacija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Materijalna i tehnička oprema operativnih snaga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2.000,00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Redovno tekuće ažuriranje priloga i podataka iz sadržaja dokumenata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12.000,00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>12.000,00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Stručna literatura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Premije osiguranja za operativne snage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 </w:t>
            </w:r>
            <w:r>
              <w:rPr>
                <w:rFonts w:cs="Calibri"/>
                <w:bCs/>
              </w:rPr>
              <w:t>1.700,00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>1.700,00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1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20.700,00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29.700,00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30.000,00 kn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9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VATROGASTVO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Dobrovoljne vatrogasne postrojbe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175.000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     </w:t>
            </w:r>
            <w:r>
              <w:rPr>
                <w:rFonts w:cs="Calibri"/>
                <w:bCs/>
              </w:rPr>
              <w:t>200.000,00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</w:rPr>
              <w:t>Procjena ugroženosti i Plan zaštite od požara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25.000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200.000,00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200.000,00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200.000,00 kn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</w:t>
            </w:r>
          </w:p>
        </w:tc>
        <w:tc>
          <w:tcPr>
            <w:tcW w:w="9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  <w:t>HGSS STANICA SLAVONSKI BROD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Redovne donacije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</w:t>
            </w:r>
            <w:r>
              <w:rPr>
                <w:rFonts w:cs="Calibri"/>
                <w:bCs/>
              </w:rPr>
              <w:t>4.000,00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         </w:t>
            </w:r>
            <w:r>
              <w:rPr>
                <w:rFonts w:cs="Calibri"/>
                <w:bCs/>
              </w:rPr>
              <w:t>5.000,00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Opremanje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9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SKLONIŠTA (prostori za sklanjanje)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Tekuće održavanje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4.000,00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5.000,00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5.000,00 kn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9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UDRUGE GRAĐANA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LU SOKOL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       </w:t>
            </w:r>
            <w:r>
              <w:rPr>
                <w:rFonts w:cs="Calibri"/>
              </w:rPr>
              <w:t>5.000,00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</w:rPr>
            </w:pPr>
            <w:r>
              <w:rPr>
                <w:rFonts w:cs="Calibri"/>
              </w:rPr>
              <w:t xml:space="preserve">         </w:t>
            </w:r>
            <w:r>
              <w:rPr>
                <w:rFonts w:cs="Calibri"/>
              </w:rPr>
              <w:t>5.000,00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5.000,00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5.000,00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            </w:t>
            </w:r>
            <w:r>
              <w:rPr>
                <w:rFonts w:cs="Calibri"/>
                <w:b/>
              </w:rPr>
              <w:t>5.000,00 kn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9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SLUŽBE I PRAVNE OSOBE (kojima je zaštita i spašavanje redovna djelatnost)</w:t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NAVESTI KOJE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UKUPNO: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4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SVEUKUPNO</w:t>
            </w:r>
          </w:p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ZA SUSTAV CIVILNE ZAŠTITE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229.700,00 kn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right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>239.700,00 kn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"/>
              <w:widowControl w:val="false"/>
              <w:spacing w:lineRule="auto" w:line="240" w:before="0" w:after="0"/>
              <w:jc w:val="center"/>
              <w:rPr>
                <w:rFonts w:cs="Calibri"/>
                <w:b/>
                <w:b/>
              </w:rPr>
            </w:pPr>
            <w:r>
              <w:rPr>
                <w:rFonts w:cs="Calibri"/>
                <w:b/>
              </w:rPr>
              <w:t xml:space="preserve">        </w:t>
            </w:r>
            <w:r>
              <w:rPr>
                <w:rFonts w:cs="Calibri"/>
                <w:b/>
              </w:rPr>
              <w:t>240.000,00 kn</w:t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KLASA: 810-01/20-03/20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URBROJ:2178/18-03/20-1</w:t>
      </w:r>
      <w:r>
        <w:rPr>
          <w:rFonts w:ascii="Garamond" w:hAnsi="Garamond"/>
          <w:sz w:val="24"/>
          <w:szCs w:val="24"/>
        </w:rPr>
        <w:t xml:space="preserve"> </w:t>
        <w:tab/>
        <w:tab/>
        <w:tab/>
        <w:tab/>
        <w:tab/>
        <w:tab/>
        <w:t>Predsjednik općinskog vijeća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rPr>
          <w:rFonts w:ascii="Garamond" w:hAnsi="Garamond"/>
          <w:b/>
          <w:b/>
          <w:i/>
          <w:i/>
        </w:rPr>
      </w:pPr>
      <w:r>
        <w:rPr>
          <w:sz w:val="24"/>
          <w:szCs w:val="24"/>
        </w:rPr>
        <w:t>GORNJI BOGIĆEVCI, 16.11.2020. g.</w:t>
        <w:tab/>
        <w:tab/>
        <w:tab/>
        <w:tab/>
        <w:tab/>
        <w:t>Stipo Šugić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15.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/>
        <w:t xml:space="preserve">Na temelju članaka 59. i 62. Zakona o komunalnom gospodarstvu („Narodne novine“ broj 68/18, 110/18 i 32/20), članka 33. Statuta </w:t>
      </w:r>
      <w:bookmarkStart w:id="2" w:name="_Hlk53124232"/>
      <w:r>
        <w:rPr/>
        <w:t xml:space="preserve">Općine Gornji Bogićevci </w:t>
      </w:r>
      <w:bookmarkEnd w:id="2"/>
      <w:r>
        <w:rPr/>
        <w:t xml:space="preserve">(„Službeni glasnik Općine Gornji Bogićevci“ br. </w:t>
      </w:r>
      <w:r>
        <w:rPr>
          <w:color w:val="000000"/>
        </w:rPr>
        <w:t>02/09, 01/13 i 04/19</w:t>
      </w:r>
      <w:r>
        <w:rPr/>
        <w:t xml:space="preserve">), Općinsko vijeće </w:t>
      </w:r>
      <w:bookmarkStart w:id="3" w:name="_Hlk53126335"/>
      <w:r>
        <w:rPr/>
        <w:t xml:space="preserve">Općine Gornji Bogićevci </w:t>
      </w:r>
      <w:bookmarkEnd w:id="3"/>
      <w:r>
        <w:rPr/>
        <w:t>na 20. sjednici održanoj dana 16.11.2020. godine, donijelo je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ODLUKU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o proglašenju komunalne infrastrukture u vlasništvu općine Gornji Bogićevci </w:t>
      </w:r>
    </w:p>
    <w:p>
      <w:pPr>
        <w:pStyle w:val="Normal"/>
        <w:jc w:val="center"/>
        <w:rPr>
          <w:b/>
          <w:b/>
        </w:rPr>
      </w:pPr>
      <w:r>
        <w:rPr>
          <w:b/>
        </w:rPr>
        <w:t>javnim dobrom u općoj uporabi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Članak 1.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Ovom Odlukom proglašava se komunalna infrastruktura navedena u donjem popisu javnim dobrom u općoj uporabi u vlasništvu </w:t>
      </w:r>
      <w:r>
        <w:rPr/>
        <w:t>Općine Gornji Bogićevci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0"/>
        <w:gridCol w:w="1341"/>
        <w:gridCol w:w="1133"/>
        <w:gridCol w:w="5797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  <w:t>Nerazvrstane ceste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Redni broj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k.o.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k.č.br.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Oznaka zemljišta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1.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Gornji Bogićevci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506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Ulica Podgaj put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0"/>
        <w:gridCol w:w="1341"/>
        <w:gridCol w:w="1133"/>
        <w:gridCol w:w="5797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  <w:t>Javne zelene površine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Redni broj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k.o.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k.č.br.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Oznaka zemljišta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1.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Gornji Bogićevci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841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ULICA BREZINE PAŠNJAK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2.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Gornji Bogićevci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842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BREZIK, 2 ZGRADE, IGRALIŠTE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1"/>
        <w:gridCol w:w="1340"/>
        <w:gridCol w:w="1133"/>
        <w:gridCol w:w="5797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  <w:t>Građevine i uređaji javne namjene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</w:r>
          </w:p>
        </w:tc>
      </w:tr>
      <w:tr>
        <w:trPr/>
        <w:tc>
          <w:tcPr>
            <w:tcW w:w="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Redni broj</w:t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k.o.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k.č.br.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Oznaka zemljišta</w:t>
            </w:r>
          </w:p>
        </w:tc>
      </w:tr>
      <w:tr>
        <w:trPr/>
        <w:tc>
          <w:tcPr>
            <w:tcW w:w="79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1.</w:t>
            </w:r>
          </w:p>
        </w:tc>
        <w:tc>
          <w:tcPr>
            <w:tcW w:w="134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Kosovac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70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GROBLJE U RAVNEŠU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Reetkatablice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0"/>
        <w:gridCol w:w="1341"/>
        <w:gridCol w:w="1133"/>
        <w:gridCol w:w="5797"/>
      </w:tblGrid>
      <w:tr>
        <w:trPr/>
        <w:tc>
          <w:tcPr>
            <w:tcW w:w="9061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  <w:t>Groblja i krematoriji na grobljima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/>
              </w:rPr>
            </w:pPr>
            <w:r>
              <w:rPr>
                <w:b/>
                <w:kern w:val="0"/>
                <w:lang w:val="hr-HR" w:bidi="ar-SA"/>
              </w:rPr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Redni broj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k.o.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k.č.br.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Oznaka zemljišta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1.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Gornji Bogićevci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458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U SELU GROBLJE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2.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Kosovac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65/2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PAŠNJAK U RAVNEŠU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3.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Smrtić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376/1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U SELU GROBLJE</w:t>
            </w:r>
          </w:p>
        </w:tc>
      </w:tr>
      <w:tr>
        <w:trPr/>
        <w:tc>
          <w:tcPr>
            <w:tcW w:w="7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4.</w:t>
            </w:r>
          </w:p>
        </w:tc>
        <w:tc>
          <w:tcPr>
            <w:tcW w:w="134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Trnava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260</w:t>
            </w:r>
          </w:p>
        </w:tc>
        <w:tc>
          <w:tcPr>
            <w:tcW w:w="57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lang w:val="hr-HR" w:bidi="ar-SA"/>
              </w:rPr>
              <w:t>LJUDSKO GROBLJE POPOVAC</w:t>
            </w:r>
          </w:p>
        </w:tc>
      </w:tr>
    </w:tbl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Članak 2.</w:t>
      </w:r>
    </w:p>
    <w:p>
      <w:pPr>
        <w:pStyle w:val="Normal"/>
        <w:ind w:firstLine="708"/>
        <w:jc w:val="both"/>
        <w:rPr/>
      </w:pPr>
      <w:r>
        <w:rPr/>
        <w:t>Nalaže se Općinskom sudu u Slavonskom Brodu, Stalna služba Nova Gradiška, kao nadležnom sudu, upis komunalne infrastrukture navedene u  Članku 1. kao „Javno dobro u općoj uporabi u vlasništvu Općine Gornji Bogićevci“ u zemljišne knjige.</w:t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Članak 3.</w:t>
      </w:r>
    </w:p>
    <w:p>
      <w:pPr>
        <w:pStyle w:val="Normal"/>
        <w:ind w:firstLine="708"/>
        <w:jc w:val="both"/>
        <w:rPr/>
      </w:pPr>
      <w:r>
        <w:rPr/>
        <w:t>Ova Odluka stupa na snagu danom donošenja i bit će objavljena u „Službenom glasniku Općine Gornji Bogićevci“.</w:t>
      </w:r>
    </w:p>
    <w:p>
      <w:pPr>
        <w:pStyle w:val="Normal"/>
        <w:jc w:val="both"/>
        <w:rPr/>
      </w:pPr>
      <w:r>
        <w:rPr/>
      </w:r>
    </w:p>
    <w:p>
      <w:pPr>
        <w:pStyle w:val="NoSpacing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940-01/20-03/20</w:t>
      </w:r>
      <w:r>
        <w:rPr>
          <w:rFonts w:ascii="Times New Roman" w:hAnsi="Times New Roman"/>
          <w:color w:val="FF0000"/>
          <w:sz w:val="24"/>
          <w:szCs w:val="24"/>
        </w:rPr>
        <w:tab/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2178/18-03/20-1</w:t>
      </w:r>
    </w:p>
    <w:p>
      <w:pPr>
        <w:pStyle w:val="Normal"/>
        <w:jc w:val="both"/>
        <w:rPr/>
      </w:pPr>
      <w:r>
        <w:rPr/>
        <w:t>Gornji Bogićevci, 16.11. 2020.</w:t>
      </w:r>
    </w:p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 xml:space="preserve">                   PREDSJEDNIK OV:</w:t>
      </w:r>
    </w:p>
    <w:p>
      <w:pPr>
        <w:pStyle w:val="Normal"/>
        <w:jc w:val="center"/>
        <w:rPr/>
      </w:pPr>
      <w:r>
        <w:rPr/>
        <w:tab/>
        <w:tab/>
        <w:tab/>
        <w:tab/>
        <w:tab/>
        <w:tab/>
        <w:tab/>
        <w:tab/>
        <w:tab/>
        <w:t>Stipo Šugić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/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16.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770" w:type="dxa"/>
        <w:jc w:val="left"/>
        <w:tblInd w:w="-44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5"/>
        <w:gridCol w:w="3525"/>
        <w:gridCol w:w="1350"/>
        <w:gridCol w:w="1470"/>
        <w:gridCol w:w="1425"/>
        <w:gridCol w:w="1410"/>
        <w:gridCol w:w="855"/>
      </w:tblGrid>
      <w:tr>
        <w:trPr>
          <w:trHeight w:val="394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94" w:hRule="atLeast"/>
        </w:trPr>
        <w:tc>
          <w:tcPr>
            <w:tcW w:w="4260" w:type="dxa"/>
            <w:gridSpan w:val="2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OPĆINA GORNJI BOGIĆEVCI</w:t>
            </w:r>
          </w:p>
        </w:tc>
        <w:tc>
          <w:tcPr>
            <w:tcW w:w="5655" w:type="dxa"/>
            <w:gridSpan w:val="4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II. REBALAN PRORAČUNA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450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OPĆI DIO PRORAČUNA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A. RAČUN PRIHODA I RASHODA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15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6. PRIHODI POSLOVANJA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BROJ KONTA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NAZIV PRIHODA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2019.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PO PRVOM REBALANSU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REBALANS DRUGI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NOVI PLAN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Indeks 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 (4 - 2)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5(4:2)x100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POSLOVANJA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10.507.891,00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8.730.245,00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-2.872.458,00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5.857.787,00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67,10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poreza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3.566.000,00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3.738.354,00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36.768,00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3.775.122,00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100,98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611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Porez i prirez na dohodak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3.500.000,00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3.672.354,00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27.768,00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3.700.122,00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100,76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613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Porezi na imovinu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43.000,00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43.000,00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7.000,00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116,28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614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Porezi na robu i usluge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23.000,00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23.000,00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2.000,00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25.000,00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108,70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Pomoći iz inozemstva  i od subjek. unutar opće države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5.792.470,00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3.842.470,00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-3.031.976,00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851.494,00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22,16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633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Pomoći iz proračuna 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400.000,00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400.000,00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200.000,00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600.000,00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150,00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634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Pomoći iz proračuna 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442.470,00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442.470,00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-410.896,00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31.574,00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7,14</w:t>
            </w:r>
          </w:p>
        </w:tc>
      </w:tr>
      <w:tr>
        <w:trPr>
          <w:trHeight w:val="76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636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Pomoć proračunskim korisnicima iz proračuna koji im nije nadležan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74.000,00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74.000,00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-33.000,00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41.000,00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55,41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638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Pom.iz drž.pror.temeljem prijenosa EU sr.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4.950.000,00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3.000.000,00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-2.821.080,00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178.920,00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5,96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64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426.001,00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426.001,00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-2.850,00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423.151,00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99,33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641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Prihodi od financijske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-1.300,00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35,00</w:t>
            </w:r>
          </w:p>
        </w:tc>
      </w:tr>
      <w:tr>
        <w:trPr>
          <w:trHeight w:val="51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641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Prihodi od financijske imovine KNJIŽNICA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51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642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nefinancijske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424.000,00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424.000,00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-1.550,00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422.450,00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99,63</w:t>
            </w:r>
          </w:p>
        </w:tc>
      </w:tr>
      <w:tr>
        <w:trPr>
          <w:trHeight w:val="73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65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administrativnih pristojbi i po posebnim propisima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568.500,00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568.500,00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148.600,00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717.100,00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126,14</w:t>
            </w:r>
          </w:p>
        </w:tc>
      </w:tr>
      <w:tr>
        <w:trPr>
          <w:trHeight w:val="51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651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Administrativne (upravne) pristojbe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152.000,00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152.000,00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-900,00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151.100,00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99,41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652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po posebnim propisima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59.000,00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59.000,00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150.000,00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209.000,00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354,24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653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Komunalni doprinosi i naknade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357.500,00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357.500,00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357.000,00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99,86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66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prihodi od nefinancijske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80.920,00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80.920,00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90.920,00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112,36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661</w:t>
            </w:r>
          </w:p>
        </w:tc>
        <w:tc>
          <w:tcPr>
            <w:tcW w:w="35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prodaje robe i proizvoda, te pruženih usluga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80.920,00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80.920,00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10.000,00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90.920,00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112,36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68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Kazne, upravne mjere i ostali prihodi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7. PRIHODI OD NEFINANCIJSKE IMOVINE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76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BROJ KONTA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NAZIV PRIHODA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2019.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PO PRVOM REBALANSU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REBALANS DRUGI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NOVI PLAN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Indeks 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 (4 - 2)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5(4:2)x100</w:t>
            </w:r>
          </w:p>
        </w:tc>
      </w:tr>
      <w:tr>
        <w:trPr>
          <w:trHeight w:val="52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7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PRODAJE NEFINANCIJSKE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142.000,00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142.000,00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58.552,00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200.552,00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141,23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71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prodaje neproizvedene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142.000,00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142.000,00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46.000,00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188.000,00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132,39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711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Prihodi od prodaje materijalne imovine - pr.bog.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142.000,00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142.000,00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46.000,00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188.000,00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132,39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72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 od prodaje neproizvedene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12.552,00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12.552,00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722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Prihod od prodaje postrojenja i opreme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12.552,00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12.552,00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330" w:hRule="atLeast"/>
        </w:trPr>
        <w:tc>
          <w:tcPr>
            <w:tcW w:w="561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 xml:space="preserve">                        </w:t>
            </w:r>
            <w:r>
              <w:rPr>
                <w:b/>
              </w:rPr>
              <w:t>8. PRIMICI OD FINANCIJSKE IMOVINE I ZADUŽIVANJA</w:t>
            </w:r>
          </w:p>
        </w:tc>
        <w:tc>
          <w:tcPr>
            <w:tcW w:w="1470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2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8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PRIMICI OD FIN. IMOVINE I ZADUŽIVANJA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84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Primici od zaduživanja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844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Primljeni zajmovi od tuz. Banaka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922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Manjak prihoda / Višak iz preth.god.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576.846,00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-220.846,00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356.000,00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61,71</w:t>
            </w:r>
          </w:p>
        </w:tc>
      </w:tr>
      <w:tr>
        <w:trPr>
          <w:trHeight w:val="33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0" w:hRule="atLeast"/>
        </w:trPr>
        <w:tc>
          <w:tcPr>
            <w:tcW w:w="42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 xml:space="preserve">             </w:t>
            </w:r>
            <w:r>
              <w:rPr>
                <w:b/>
              </w:rPr>
              <w:t>UKUPNO PRIHODI ( 6+7+8):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10.649.891,00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9.449.091,00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-3.034.752,00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6.414.339,00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67,88</w:t>
            </w:r>
          </w:p>
        </w:tc>
      </w:tr>
      <w:tr>
        <w:trPr>
          <w:trHeight w:val="315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3. RASHODI POSLOVANJA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6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BROJ KONTA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NAZIV RASHODA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2019.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PO PRVOM REBALANSU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REBALANS DRUGI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NOVI PLAN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Indeks 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 (4 - 2)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5(4:2)x100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POSLOVANJA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2.973.891,00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3.066.091,00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-59.112,00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3.007.479,00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98,09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31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zaposlene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1.211.731,00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1.211.731,00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-96.282,00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1.115.449,00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92,05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311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Plaće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1.009.210,00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1.009.210,00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-83.735,00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925.475,00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91,70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312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rashodi za zaposlene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312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rashodi za zaposlene KNJIŽNICA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6.000,00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6.000,00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6.000,00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313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Doprinosi na plaće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154.971,00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154.971,00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-13.803,00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141.168,00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91,09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313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Plaća knjižnica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11.550,00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11.550,00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1.256,00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12.806,00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110,87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Materijalni rashodi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841.540,00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903.740,00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1.750,00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905.990,00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100,25</w:t>
            </w:r>
          </w:p>
        </w:tc>
      </w:tr>
      <w:tr>
        <w:trPr>
          <w:trHeight w:val="52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321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Naknade troškova zaposlenima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7.900,00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21.900,00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156,43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321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Naknade troškova taposlenima  KNJIŽNICA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-2.620,00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1.380,00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34,50</w:t>
            </w:r>
          </w:p>
        </w:tc>
      </w:tr>
      <w:tr>
        <w:trPr>
          <w:trHeight w:val="52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materijal i energiju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387.000,00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387.000,00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-3.500,00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384.000,00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99,22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materijal i energiju KNJIŽNICA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7.500,00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7.500,00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-3.500,00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53,33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323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usluge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247.100,00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254.100,00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35.000,00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289.100,00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113,77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323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usluge KNJIŽNICA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3.000,00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3.000,00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-400,00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2.600,00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86,67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329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nespomenuti rashodi poslovanja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165.040,00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220.240,00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-26.230,00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194.010,00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88,09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329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rashodi poslovanja  KNJIŽNICA</w:t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13.900,00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13.900,00</w:t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-4.900,00</w:t>
            </w:r>
          </w:p>
        </w:tc>
        <w:tc>
          <w:tcPr>
            <w:tcW w:w="141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64,75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34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Financijski rashodi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8.100,00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8.100,00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-80,00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8.020,00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99,01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343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financijski rashodi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7.100,00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7.100,00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-80,00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7.020,00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98,87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343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Ostali financijski rashodi KNJIŽNICA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73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35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Subv. Trg. Dr.,poljoprivrednicima, obrtnicima, malim i sred poduzetnicima…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-21.000,00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79.000,00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79,00</w:t>
            </w:r>
          </w:p>
        </w:tc>
      </w:tr>
      <w:tr>
        <w:trPr>
          <w:trHeight w:val="73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352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Subvencije trg.društvima, poljoprivr. i obrtnicima izvan javnog sektora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100.000,00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100.000,00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-21.000,00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79.000,00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79,00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36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Potpore 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25.000,00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25.000,00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2.500,00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27.500,00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110,00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363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Tekuće pomoći općinskim proračunima-komunalni redar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7.000,00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7.000,00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366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Tekuće potpore unutar opće države (MALA ŠKOLA)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25.000,00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25.000,00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-4.500,00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20.500,00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82,00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37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Naknade građanima i kućanstvima 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338.000,00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338.000,00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-35.200,00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302.800,00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89,59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372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Ostale naknade građanima i kućanstvima iz proračuna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338.000,00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338.000,00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-35.200,00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302.800,00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89,59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38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Ostali rashodi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449.520,00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479.520,00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89.200,00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568.720,00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118,60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381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Tekuće donacije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324.520,00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324.520,00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44.200,00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368.720,00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113,62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382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Kapitalne donacije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105.000,00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105.000,00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45.000,00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150.000,00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142,86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385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Izvanredni rashodi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386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Kapitalne pomoći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315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4. RASHODI ZA NABAVU NEFINANCIJSKE IMOVINE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6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BROJ KONTA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NAZIV RASHODA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2019.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PO PRVOM REBALANSU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REBALANS DRUGI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NOVI PLAN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Indeks 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 (4 - 2)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5(4:2)x100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NABAVU NEFINANCIJSKE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7.576.000,00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6.283.000,00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-2.907.295,00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3.406.860,00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54,22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nabavu neproizvedene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243.000,00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43.500,00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286.500,00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117,90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411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Materijalna imovina-prirodna bog.-zemljišta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163.000,00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32.000,00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195.000,00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119,63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412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  <w:t>Utvrda BEDEM - ulag.na tuđoj imovini radi prava korištenja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80.000,00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80.000,00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11.500,00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91.500,00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114,38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nabavu proizvedene dugotrajne imovine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7.366.000,00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5.940.000,00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-2.850.795,00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3.120.360,00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52,53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Građevinski objekti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7.130.000,00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5.704.000,00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-2.863.920,00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2.840.080,00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49,79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Postrojenja i oprema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160.000,00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160.000,00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191.155,00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119,47</w:t>
            </w:r>
          </w:p>
        </w:tc>
      </w:tr>
      <w:tr>
        <w:trPr>
          <w:trHeight w:val="31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422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Postrojenja i oprema KNJIŽNICA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19.000,00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19.000,00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19.000,00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100,00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424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Knjige, umjetnička djela i ostale izložbene vrijednosti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37.000,00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37.000,00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-7.000,00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30.000,00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81,08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426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Nematerijalna proizvedena imovina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40.125,00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40.125,00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426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Nemater.proizvedena imovina-knjižnični rač.softwer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20.000,00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-20.000,00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</w:tr>
      <w:tr>
        <w:trPr>
          <w:trHeight w:val="52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45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Rashodi za dodatna ulaganja na nefinancijskoj imovini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-100.000,00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</w:tr>
      <w:tr>
        <w:trPr>
          <w:trHeight w:val="49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451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Dodatna ulaganja na građ. Objekt. JAVNA RASVJETA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100.000,00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100.000,00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-100.000,00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</w:tr>
      <w:tr>
        <w:trPr>
          <w:trHeight w:val="315" w:hRule="atLeast"/>
        </w:trPr>
        <w:tc>
          <w:tcPr>
            <w:tcW w:w="5610" w:type="dxa"/>
            <w:gridSpan w:val="3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B. RAČUN FINANCIRANJA</w:t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/>
            </w:r>
          </w:p>
        </w:tc>
        <w:tc>
          <w:tcPr>
            <w:tcW w:w="135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7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2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765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BROJ KONTA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NAZIV IZDATKA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2019.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PLAN PO PRVOM REBALANSU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REBALANS DRUGI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NOVI PLAN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Indeks 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3 (4 - 2)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4</w:t>
            </w:r>
          </w:p>
        </w:tc>
        <w:tc>
          <w:tcPr>
            <w:tcW w:w="85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/>
            </w:pPr>
            <w:r>
              <w:rPr>
                <w:b/>
              </w:rPr>
              <w:t>5(4:2)x100</w:t>
            </w:r>
          </w:p>
        </w:tc>
      </w:tr>
      <w:tr>
        <w:trPr>
          <w:trHeight w:val="30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NETO FINANCIRANJE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5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IZDACI ZA FINANCIJSKU IMOVINU I OTPLATE ZAJMOVA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51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54</w:t>
            </w:r>
          </w:p>
        </w:tc>
        <w:tc>
          <w:tcPr>
            <w:tcW w:w="35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Izdaci za otplatu glavnice prim. zajm.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542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 xml:space="preserve">Otplata glavnice primljenih zajmova 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922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Višak prihoda za pokriće rashoda iz prethodnog razdoblja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  <w:tr>
        <w:trPr>
          <w:trHeight w:val="480" w:hRule="atLeast"/>
        </w:trPr>
        <w:tc>
          <w:tcPr>
            <w:tcW w:w="73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922</w:t>
            </w:r>
          </w:p>
        </w:tc>
        <w:tc>
          <w:tcPr>
            <w:tcW w:w="352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Dio manjka/viška koji će se pokrit/rasporedit</w:t>
            </w:r>
          </w:p>
        </w:tc>
        <w:tc>
          <w:tcPr>
            <w:tcW w:w="13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7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/>
              <w:t>0,00</w:t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#DIV/0!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577" w:type="dxa"/>
        <w:jc w:val="left"/>
        <w:tblInd w:w="-47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05"/>
        <w:gridCol w:w="1650"/>
        <w:gridCol w:w="1605"/>
        <w:gridCol w:w="1575"/>
        <w:gridCol w:w="1442"/>
      </w:tblGrid>
      <w:tr>
        <w:trPr>
          <w:trHeight w:val="315" w:hRule="atLeast"/>
        </w:trPr>
        <w:tc>
          <w:tcPr>
            <w:tcW w:w="4305" w:type="dxa"/>
            <w:tcBorders/>
          </w:tcPr>
          <w:p>
            <w:pPr>
              <w:pStyle w:val="Normal"/>
              <w:tabs>
                <w:tab w:val="clear" w:pos="720"/>
              </w:tabs>
              <w:jc w:val="both"/>
              <w:rPr/>
            </w:pPr>
            <w:r>
              <w:rPr>
                <w:b/>
              </w:rPr>
              <w:t>UKUPNO RASHODI I IZDACI 3+4+5</w:t>
            </w:r>
          </w:p>
        </w:tc>
        <w:tc>
          <w:tcPr>
            <w:tcW w:w="1650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10.549.891,00</w:t>
            </w:r>
          </w:p>
        </w:tc>
        <w:tc>
          <w:tcPr>
            <w:tcW w:w="160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9.349.091,00</w:t>
            </w:r>
          </w:p>
        </w:tc>
        <w:tc>
          <w:tcPr>
            <w:tcW w:w="1575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2.966.407,00</w:t>
            </w:r>
          </w:p>
        </w:tc>
        <w:tc>
          <w:tcPr>
            <w:tcW w:w="1442" w:type="dxa"/>
            <w:tcBorders/>
            <w:vAlign w:val="center"/>
          </w:tcPr>
          <w:p>
            <w:pPr>
              <w:pStyle w:val="Normal"/>
              <w:tabs>
                <w:tab w:val="clear" w:pos="720"/>
              </w:tabs>
              <w:jc w:val="right"/>
              <w:rPr/>
            </w:pPr>
            <w:r>
              <w:rPr>
                <w:b/>
              </w:rPr>
              <w:t>6.414.339,00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/>
      </w:r>
    </w:p>
    <w:p>
      <w:pPr>
        <w:pStyle w:val="Normal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Bilješke:</w:t>
      </w:r>
    </w:p>
    <w:p>
      <w:pPr>
        <w:pStyle w:val="Normal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p>
      <w:pPr>
        <w:pStyle w:val="Normal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</w:r>
    </w:p>
    <w:tbl>
      <w:tblPr>
        <w:tblW w:w="7560" w:type="dxa"/>
        <w:jc w:val="left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560"/>
      </w:tblGrid>
      <w:tr>
        <w:trPr>
          <w:trHeight w:val="1620" w:hRule="atLeast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ind w:left="168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168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Izdaje Jedinstveni upravni odjel općine Gornji Bogićevci</w:t>
            </w:r>
          </w:p>
          <w:p>
            <w:pPr>
              <w:pStyle w:val="Normal"/>
              <w:widowControl w:val="false"/>
              <w:ind w:left="168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Odgovorni urednik: Pavo Klarić, dipl.oec., Trg hrv. branitelja 1</w:t>
              <w:tab/>
              <w:t>Telefon : 035/375-056</w:t>
            </w:r>
          </w:p>
          <w:p>
            <w:pPr>
              <w:pStyle w:val="Normal"/>
              <w:widowControl w:val="false"/>
              <w:ind w:left="168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ab/>
              <w:t>Glasnik izlazi po potrebi općine Gornji Bogićevci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417" w:right="1417" w:header="708" w:top="1417" w:footer="708" w:bottom="1417" w:gutter="0"/>
      <w:pgNumType w:start="9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IDFont+F1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onotype Corsiva">
    <w:charset w:val="ee"/>
    <w:family w:val="roman"/>
    <w:pitch w:val="variable"/>
  </w:font>
  <w:font w:name="Garamond">
    <w:charset w:val="ee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3088859"/>
    </w:sdtPr>
    <w:sdtContent>
      <w:p>
        <w:pPr>
          <w:pStyle w:val="Podnoje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105</w:t>
        </w:r>
        <w:r>
          <w:rPr/>
          <w:fldChar w:fldCharType="end"/>
        </w:r>
      </w:p>
    </w:sdtContent>
  </w:sdt>
  <w:p>
    <w:pPr>
      <w:pStyle w:val="Podnoj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odnoje"/>
      <w:jc w:val="right"/>
      <w:rPr/>
    </w:pPr>
    <w:r>
      <w:rPr/>
    </w:r>
  </w:p>
  <w:p>
    <w:pPr>
      <w:pStyle w:val="Podnoje"/>
      <w:ind w:left="708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aglavlje"/>
      <w:pBdr>
        <w:bottom w:val="thickThinSmallGap" w:sz="24" w:space="1" w:color="622423"/>
      </w:pBdr>
      <w:ind w:left="720" w:hanging="0"/>
      <w:rPr>
        <w:rFonts w:ascii="Cambria" w:hAnsi="Cambria" w:eastAsia="" w:cs="" w:asciiTheme="majorHAnsi" w:cstheme="majorBidi" w:eastAsiaTheme="majorEastAsia" w:hAnsiTheme="majorHAnsi"/>
        <w:sz w:val="32"/>
        <w:szCs w:val="32"/>
      </w:rPr>
    </w:pPr>
    <w:r>
      <w:rPr>
        <w:rFonts w:eastAsia="" w:cs="" w:ascii="Cambria" w:hAnsi="Cambria" w:asciiTheme="majorHAnsi" w:cstheme="majorBidi" w:eastAsiaTheme="majorEastAsia" w:hAnsiTheme="majorHAnsi"/>
        <w:sz w:val="32"/>
        <w:szCs w:val="32"/>
      </w:rPr>
      <w:t>Službeni glasnik Općine Gornji Bogićevci                 05/2020</w:t>
    </w:r>
  </w:p>
  <w:p>
    <w:pPr>
      <w:pStyle w:val="Zaglavlj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086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f75153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ilnaslova2">
    <w:name w:val="Heading 2"/>
    <w:basedOn w:val="Normal"/>
    <w:next w:val="Normal"/>
    <w:link w:val="Naslov2Char"/>
    <w:uiPriority w:val="9"/>
    <w:semiHidden/>
    <w:unhideWhenUsed/>
    <w:qFormat/>
    <w:rsid w:val="00fd0861"/>
    <w:pPr>
      <w:keepNext w:val="true"/>
      <w:ind w:left="708" w:hanging="0"/>
      <w:jc w:val="both"/>
      <w:outlineLvl w:val="1"/>
    </w:pPr>
    <w:rPr>
      <w:rFonts w:ascii="Arial" w:hAnsi="Arial" w:cs="Arial"/>
      <w:b/>
      <w:bCs/>
      <w:sz w:val="22"/>
    </w:rPr>
  </w:style>
  <w:style w:type="paragraph" w:styleId="Stilnaslova3">
    <w:name w:val="Heading 3"/>
    <w:basedOn w:val="Normal"/>
    <w:next w:val="Normal"/>
    <w:link w:val="Naslov3Char"/>
    <w:uiPriority w:val="9"/>
    <w:semiHidden/>
    <w:unhideWhenUsed/>
    <w:qFormat/>
    <w:rsid w:val="00fd0861"/>
    <w:pPr>
      <w:keepNext w:val="true"/>
      <w:jc w:val="both"/>
      <w:outlineLvl w:val="2"/>
    </w:pPr>
    <w:rPr>
      <w:b/>
      <w:bCs/>
      <w:sz w:val="28"/>
    </w:rPr>
  </w:style>
  <w:style w:type="paragraph" w:styleId="Stilnaslova4">
    <w:name w:val="Heading 4"/>
    <w:basedOn w:val="Normal"/>
    <w:next w:val="Normal"/>
    <w:link w:val="Naslov4Char"/>
    <w:uiPriority w:val="9"/>
    <w:semiHidden/>
    <w:unhideWhenUsed/>
    <w:qFormat/>
    <w:rsid w:val="00cc368b"/>
    <w:pPr>
      <w:keepNext w:val="true"/>
      <w:spacing w:lineRule="auto" w:line="276"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2Char" w:customStyle="1">
    <w:name w:val="Naslov 2 Char"/>
    <w:basedOn w:val="DefaultParagraphFont"/>
    <w:link w:val="Naslov2"/>
    <w:uiPriority w:val="9"/>
    <w:semiHidden/>
    <w:qFormat/>
    <w:rsid w:val="00fd0861"/>
    <w:rPr>
      <w:rFonts w:ascii="Arial" w:hAnsi="Arial" w:eastAsia="Times New Roman" w:cs="Arial"/>
      <w:b/>
      <w:bCs/>
      <w:szCs w:val="24"/>
      <w:lang w:eastAsia="hr-HR"/>
    </w:rPr>
  </w:style>
  <w:style w:type="character" w:styleId="Naslov3Char" w:customStyle="1">
    <w:name w:val="Naslov 3 Char"/>
    <w:basedOn w:val="DefaultParagraphFont"/>
    <w:link w:val="Naslov3"/>
    <w:uiPriority w:val="9"/>
    <w:semiHidden/>
    <w:qFormat/>
    <w:rsid w:val="00fd0861"/>
    <w:rPr>
      <w:rFonts w:ascii="Times New Roman" w:hAnsi="Times New Roman" w:eastAsia="Times New Roman" w:cs="Times New Roman"/>
      <w:b/>
      <w:bCs/>
      <w:sz w:val="28"/>
      <w:szCs w:val="24"/>
      <w:lang w:eastAsia="hr-HR"/>
    </w:rPr>
  </w:style>
  <w:style w:type="character" w:styleId="TijelotekstaChar" w:customStyle="1">
    <w:name w:val="Tijelo teksta Char"/>
    <w:basedOn w:val="DefaultParagraphFont"/>
    <w:link w:val="Tijeloteksta"/>
    <w:uiPriority w:val="99"/>
    <w:qFormat/>
    <w:rsid w:val="00fd0861"/>
    <w:rPr>
      <w:rFonts w:ascii="Arial" w:hAnsi="Arial" w:eastAsia="Times New Roman" w:cs="Arial"/>
      <w:szCs w:val="24"/>
      <w:lang w:eastAsia="hr-HR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fd0861"/>
    <w:rPr>
      <w:rFonts w:ascii="Tahoma" w:hAnsi="Tahoma" w:eastAsia="Times New Roman" w:cs="Tahoma"/>
      <w:sz w:val="16"/>
      <w:szCs w:val="16"/>
      <w:lang w:eastAsia="hr-HR"/>
    </w:rPr>
  </w:style>
  <w:style w:type="character" w:styleId="ZaglavljeChar" w:customStyle="1">
    <w:name w:val="Zaglavlje Char"/>
    <w:basedOn w:val="DefaultParagraphFont"/>
    <w:link w:val="Zaglavlje"/>
    <w:qFormat/>
    <w:rsid w:val="00556d8a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PodnojeChar" w:customStyle="1">
    <w:name w:val="Podnožje Char"/>
    <w:basedOn w:val="DefaultParagraphFont"/>
    <w:link w:val="Podnoje"/>
    <w:uiPriority w:val="99"/>
    <w:qFormat/>
    <w:rsid w:val="00556d8a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BezproredaChar" w:customStyle="1">
    <w:name w:val="Bez proreda Char"/>
    <w:basedOn w:val="DefaultParagraphFont"/>
    <w:link w:val="Bezproreda"/>
    <w:uiPriority w:val="1"/>
    <w:qFormat/>
    <w:rsid w:val="005b496f"/>
    <w:rPr>
      <w:rFonts w:eastAsia="" w:eastAsiaTheme="minorEastAsia"/>
      <w:lang w:eastAsia="hr-HR"/>
    </w:rPr>
  </w:style>
  <w:style w:type="character" w:styleId="Tijeloteksta2Char" w:customStyle="1">
    <w:name w:val="Tijelo teksta 2 Char"/>
    <w:basedOn w:val="DefaultParagraphFont"/>
    <w:link w:val="Tijeloteksta2"/>
    <w:uiPriority w:val="99"/>
    <w:semiHidden/>
    <w:qFormat/>
    <w:rsid w:val="00e62d68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slov1Char" w:customStyle="1">
    <w:name w:val="Naslov 1 Char"/>
    <w:basedOn w:val="DefaultParagraphFont"/>
    <w:link w:val="Naslov1"/>
    <w:uiPriority w:val="9"/>
    <w:qFormat/>
    <w:rsid w:val="00f75153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hr-HR"/>
    </w:rPr>
  </w:style>
  <w:style w:type="character" w:styleId="Internetskapoveznica">
    <w:name w:val="Internetska poveznica"/>
    <w:unhideWhenUsed/>
    <w:rsid w:val="00f75153"/>
    <w:rPr>
      <w:color w:val="0563C1"/>
      <w:u w:val="single"/>
    </w:rPr>
  </w:style>
  <w:style w:type="character" w:styleId="Posjeenainternetskapoveznica">
    <w:name w:val="Posjećena internetska poveznica"/>
    <w:basedOn w:val="DefaultParagraphFont"/>
    <w:uiPriority w:val="99"/>
    <w:semiHidden/>
    <w:unhideWhenUsed/>
    <w:rsid w:val="00e20dc0"/>
    <w:rPr>
      <w:color w:val="800080" w:themeColor="followedHyperlink"/>
      <w:u w:val="single"/>
    </w:rPr>
  </w:style>
  <w:style w:type="character" w:styleId="Fontstyle01" w:customStyle="1">
    <w:name w:val="fontstyle01"/>
    <w:basedOn w:val="DefaultParagraphFont"/>
    <w:qFormat/>
    <w:rsid w:val="00c27440"/>
    <w:rPr>
      <w:rFonts w:ascii="CIDFont+F1" w:hAnsi="CIDFont+F1"/>
      <w:b/>
      <w:bCs/>
      <w:i w:val="false"/>
      <w:iCs w:val="false"/>
      <w:color w:val="000000"/>
      <w:sz w:val="20"/>
      <w:szCs w:val="20"/>
    </w:rPr>
  </w:style>
  <w:style w:type="character" w:styleId="Naslov4Char" w:customStyle="1">
    <w:name w:val="Naslov 4 Char"/>
    <w:basedOn w:val="DefaultParagraphFont"/>
    <w:link w:val="Naslov4"/>
    <w:uiPriority w:val="9"/>
    <w:semiHidden/>
    <w:qFormat/>
    <w:rsid w:val="00cc368b"/>
    <w:rPr>
      <w:rFonts w:ascii="Calibri" w:hAnsi="Calibri" w:eastAsia="Times New Roman" w:cs="Times New Roman"/>
      <w:b/>
      <w:bCs/>
      <w:sz w:val="28"/>
      <w:szCs w:val="28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unhideWhenUsed/>
    <w:rsid w:val="00fd0861"/>
    <w:pPr/>
    <w:rPr>
      <w:rFonts w:ascii="Arial" w:hAnsi="Arial" w:cs="Arial"/>
      <w:sz w:val="22"/>
    </w:rPr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d086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fd0861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ac7d1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hr-HR" w:eastAsia="en-US" w:bidi="ar-SA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nhideWhenUsed/>
    <w:rsid w:val="00556d8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odnoje">
    <w:name w:val="Footer"/>
    <w:basedOn w:val="Normal"/>
    <w:link w:val="PodnojeChar"/>
    <w:uiPriority w:val="99"/>
    <w:unhideWhenUsed/>
    <w:rsid w:val="00556d8a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NoSpacing">
    <w:name w:val="No Spacing"/>
    <w:link w:val="BezproredaChar"/>
    <w:uiPriority w:val="1"/>
    <w:qFormat/>
    <w:rsid w:val="005b496f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hr-HR" w:val="hr-HR" w:bidi="ar-SA"/>
    </w:rPr>
  </w:style>
  <w:style w:type="paragraph" w:styleId="BodyText2">
    <w:name w:val="Body Text 2"/>
    <w:basedOn w:val="Normal"/>
    <w:link w:val="Tijeloteksta2Char"/>
    <w:uiPriority w:val="99"/>
    <w:semiHidden/>
    <w:unhideWhenUsed/>
    <w:qFormat/>
    <w:rsid w:val="00e62d68"/>
    <w:pPr>
      <w:spacing w:lineRule="auto" w:line="480" w:before="0" w:after="120"/>
    </w:pPr>
    <w:rPr/>
  </w:style>
  <w:style w:type="paragraph" w:styleId="NormalWeb">
    <w:name w:val="Normal (Web)"/>
    <w:basedOn w:val="Normal"/>
    <w:uiPriority w:val="99"/>
    <w:unhideWhenUsed/>
    <w:qFormat/>
    <w:rsid w:val="00e20dc0"/>
    <w:pPr/>
    <w:rPr/>
  </w:style>
  <w:style w:type="paragraph" w:styleId="DE7B8801F2B1483F98D539CC92927118" w:customStyle="1">
    <w:name w:val="DE7B8801F2B1483F98D539CC92927118"/>
    <w:qFormat/>
    <w:rsid w:val="00bf4948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hr-HR" w:val="hr-HR" w:bidi="ar-SA"/>
    </w:rPr>
  </w:style>
  <w:style w:type="paragraph" w:styleId="Box454532" w:customStyle="1">
    <w:name w:val="box_454532"/>
    <w:basedOn w:val="Normal"/>
    <w:qFormat/>
    <w:rsid w:val="00542508"/>
    <w:pPr>
      <w:spacing w:beforeAutospacing="1" w:afterAutospacing="1"/>
    </w:pPr>
    <w:rPr/>
  </w:style>
  <w:style w:type="paragraph" w:styleId="T98" w:customStyle="1">
    <w:name w:val="t-9-8"/>
    <w:basedOn w:val="Normal"/>
    <w:qFormat/>
    <w:rsid w:val="0023481e"/>
    <w:pPr>
      <w:spacing w:beforeAutospacing="1" w:afterAutospacing="1"/>
    </w:pPr>
    <w:rPr/>
  </w:style>
  <w:style w:type="paragraph" w:styleId="Box454509" w:customStyle="1">
    <w:name w:val="box_454509"/>
    <w:basedOn w:val="Normal"/>
    <w:uiPriority w:val="99"/>
    <w:qFormat/>
    <w:rsid w:val="00cc368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f81b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EECD-72E7-4184-8C12-778D823A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Application>LibreOffice/7.0.1.2$Windows_X86_64 LibreOffice_project/7cbcfc562f6eb6708b5ff7d7397325de9e764452</Application>
  <Pages>13</Pages>
  <Words>2880</Words>
  <Characters>19424</Characters>
  <CharactersWithSpaces>22074</CharactersWithSpaces>
  <Paragraphs>925</Paragraphs>
  <Company>OPĆINA GORNJI BOGIĆEVCI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2017-08-16T12:09:00Z</dcterms:created>
  <dc:creator>Pavo</dc:creator>
  <dc:description/>
  <dc:language>hr-HR</dc:language>
  <cp:lastModifiedBy/>
  <cp:lastPrinted>2019-03-08T09:49:00Z</cp:lastPrinted>
  <dcterms:modified xsi:type="dcterms:W3CDTF">2021-01-18T14:44:31Z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OPĆINA GORNJI BOGIĆEVCI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