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1C3F75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 w:rsidR="002217A2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9.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 w:rsidR="002217A2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.2024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2217A2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8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rebalans Proračuna za 2024. g.</w:t>
      </w:r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Proračuna za 2025. godinu</w:t>
      </w:r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Pravilnika o jednostavnoj nabavi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visini poreznih stopa godišnjeg poreza na dohodak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raspoređivanju sredstava za sufinanciranje političkih stranaka </w:t>
      </w:r>
    </w:p>
    <w:p w:rsidR="002217A2" w:rsidRDefault="002217A2" w:rsidP="002217A2">
      <w:pPr>
        <w:pStyle w:val="Bezprored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stanja sustava civilne zaštite u 2024. godinu</w:t>
      </w: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2217A2" w:rsidRDefault="002217A2" w:rsidP="002217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- Akti Načelnika </w:t>
      </w: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B2511B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221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17A2" w:rsidRPr="002217A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 o davanju suglasnosti na Odluku upravnog vijeća Dj. vrtića NG za imenovanje ravnateljice</w:t>
      </w:r>
    </w:p>
    <w:p w:rsidR="00B156E6" w:rsidRPr="001D0435" w:rsidRDefault="00B156E6" w:rsidP="00B156E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</w:t>
      </w:r>
      <w:r w:rsidRPr="001D04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7A2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o utvrđivanju prijedloga Plana</w:t>
      </w: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:rsidR="007F0B2A" w:rsidRDefault="007F0B2A" w:rsidP="007F0B2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7F0B2A" w:rsidRDefault="002837C4" w:rsidP="002837C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1.</w:t>
      </w:r>
    </w:p>
    <w:tbl>
      <w:tblPr>
        <w:tblW w:w="0" w:type="auto"/>
        <w:tblLook w:val="04A0"/>
      </w:tblPr>
      <w:tblGrid>
        <w:gridCol w:w="3237"/>
        <w:gridCol w:w="568"/>
        <w:gridCol w:w="553"/>
        <w:gridCol w:w="539"/>
        <w:gridCol w:w="415"/>
        <w:gridCol w:w="721"/>
        <w:gridCol w:w="531"/>
        <w:gridCol w:w="1456"/>
        <w:gridCol w:w="1268"/>
      </w:tblGrid>
      <w:tr w:rsidR="002837C4" w:rsidRPr="002837C4" w:rsidTr="002837C4">
        <w:trPr>
          <w:trHeight w:val="112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Na temelju članka 45. Zakona o proračunu ("Narodne novine", broj 144/21) i članka 39. stavak 5. Statuta općine 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("Službeni vjesnik općine 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br.02/21), </w:t>
            </w: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OPĆINSKO VIJEĆE OPĆINE GORNJI BOGIĆEVCI</w:t>
            </w: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19. sjednici održanoj  19.12.2024.  godine donijelo je</w:t>
            </w:r>
          </w:p>
        </w:tc>
      </w:tr>
      <w:tr w:rsidR="002837C4" w:rsidRPr="002837C4" w:rsidTr="002837C4">
        <w:trPr>
          <w:trHeight w:val="81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ODLUKU                                                                                                                                                                              o izmjeni 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dpouni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Plana Proračuna općine 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2024.godinu prvi Rebalans</w:t>
            </w:r>
          </w:p>
        </w:tc>
      </w:tr>
      <w:tr w:rsidR="002837C4" w:rsidRPr="002837C4" w:rsidTr="002837C4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 OPĆI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1.</w:t>
            </w:r>
          </w:p>
        </w:tc>
      </w:tr>
      <w:tr w:rsidR="002837C4" w:rsidRPr="002837C4" w:rsidTr="002837C4">
        <w:trPr>
          <w:trHeight w:val="81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Članak 1. Proračuna Općine 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,</w:t>
            </w:r>
            <w:r w:rsidRPr="00283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15.12.2023. godine mijenja se i glasi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A.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2024. GODINU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POVEĆANJE/  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-461.047,40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1.208.524,60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60.000,00</w:t>
            </w:r>
          </w:p>
        </w:tc>
      </w:tr>
      <w:tr w:rsidR="002837C4" w:rsidRPr="002837C4" w:rsidTr="002837C4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1.729.572,00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-461.047,40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1.268.524,60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790.898,00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-108.217,63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682.680,37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1.120.500,00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-270753,97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849.746,03</w:t>
            </w:r>
          </w:p>
        </w:tc>
      </w:tr>
      <w:tr w:rsidR="002837C4" w:rsidRPr="002837C4" w:rsidTr="002837C4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1.911.398,00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-378.971,60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1.532.426,40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RAZLIKA PRIHODA I RASHODA -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višakak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/ manjak prihoda nad rashodima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-181.826,00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-82.075,80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-263.901,80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2024. GODINU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POVEĆANJE/  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16.500,00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IZDACI ZA FINANCIJSKU IMOVINU I OTPLAE ZAJMOVA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</w:t>
            </w: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1.500,00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6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RAZLIKA PRIHODA I RASHODA + NETO FINANCIRANJE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-180.326,00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-82.075,80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-262.401,80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2.</w:t>
            </w:r>
          </w:p>
        </w:tc>
      </w:tr>
      <w:tr w:rsidR="002837C4" w:rsidRPr="002837C4" w:rsidTr="002837C4">
        <w:trPr>
          <w:trHeight w:val="6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Prihodi i rashodi te primici i izdaci po ekonomskoj klasifikaciji utvrđuju se u Računu prihoda i rashoda i Računu financiranja za 2024. godinu kako slijedi: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KLASA:400-01/24-02-1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URBR:2178-22-03-02-2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PREDSJEDNIK 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Željko Klarić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2837C4" w:rsidRPr="002837C4" w:rsidRDefault="002837C4" w:rsidP="002837C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863A6" w:rsidRDefault="00B863A6" w:rsidP="00B863A6"/>
    <w:tbl>
      <w:tblPr>
        <w:tblW w:w="0" w:type="auto"/>
        <w:tblLook w:val="04A0"/>
      </w:tblPr>
      <w:tblGrid>
        <w:gridCol w:w="2125"/>
        <w:gridCol w:w="3424"/>
        <w:gridCol w:w="757"/>
        <w:gridCol w:w="1039"/>
        <w:gridCol w:w="757"/>
        <w:gridCol w:w="504"/>
        <w:gridCol w:w="237"/>
        <w:gridCol w:w="445"/>
      </w:tblGrid>
      <w:tr w:rsidR="002837C4" w:rsidRPr="002837C4" w:rsidTr="002837C4">
        <w:trPr>
          <w:gridAfter w:val="2"/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OPĆINA GORNJI BOGIĆEVCI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  PRIHODA I PRIMITAKA, RASHODA I IZDATAKA  od 01.01.2024. do 31.12.2024 S PROCJENOM DO 2026. GODINE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00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OPĆI DIO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00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00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00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00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CC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6.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2837C4" w:rsidRPr="002837C4" w:rsidTr="002837C4">
        <w:trPr>
          <w:gridAfter w:val="2"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-461.047,40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1.208.524,60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175,30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79.000,00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105,14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111,11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Pomoći iz inozemstva  i od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subjek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-522.577,40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773.359,60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220,87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Pomoći proračunu iz drugih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942.292,00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-185.644,00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756.648,00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163,96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Kompenzacijska sredstva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538.085,00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538.085,00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136,74</w:t>
            </w:r>
          </w:p>
        </w:tc>
      </w:tr>
      <w:tr w:rsidR="002837C4" w:rsidRPr="002837C4" w:rsidTr="002837C4">
        <w:trPr>
          <w:gridAfter w:val="2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Tek. Potpore iz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drž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Proračuna – funkcionalno spajanje općine – dj, vrtić + kom. Redar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100,20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124,38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iz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-185.644,00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235,69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od izvanproračunskih korisnika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od HZZ-a -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32,91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127,47</w:t>
            </w:r>
          </w:p>
        </w:tc>
      </w:tr>
      <w:tr w:rsidR="002837C4" w:rsidRPr="002837C4" w:rsidTr="002837C4">
        <w:trPr>
          <w:gridAfter w:val="2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Tekuće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roračunskim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JLS korisnicima iz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neneadležnih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236,69</w:t>
            </w:r>
          </w:p>
        </w:tc>
      </w:tr>
      <w:tr w:rsidR="002837C4" w:rsidRPr="002837C4" w:rsidTr="002837C4">
        <w:trPr>
          <w:gridAfter w:val="2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– Kapitalne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roračunskim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JLS korisnicima iz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neneadležnih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115,84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Pom.iz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drž.pror.temeljem prijenosa EU sr.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pomoći  iz državnog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 temeljem prijenosa  EU sredstava (javni 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-9.350,00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iz državnog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 temeljem prijenosa  EU sredstava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-333.695,00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Prihodi od 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zakupa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polj.zemlj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zakupa i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iznajmlj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Imov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Naknada za korištenje nefinancijske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imov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kratkotrajne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nef.im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Naknada za zadržavanje nezakonitih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upravnih i administrativnih pristojbi i po posebnim propisima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-20.470,00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98,12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100,48</w:t>
            </w:r>
          </w:p>
        </w:tc>
      </w:tr>
      <w:tr w:rsidR="002837C4" w:rsidRPr="002837C4" w:rsidTr="002837C4">
        <w:trPr>
          <w:gridAfter w:val="2"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Ost.općinske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.- troškovi ovršnih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Ostale upravne pristojbe - državni </w:t>
            </w: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biljezi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Ost.naknade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prist.za </w:t>
            </w: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pos.namj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.-</w:t>
            </w: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grobar.i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</w:t>
            </w:r>
            <w:proofErr w:type="spellEnd"/>
            <w:r w:rsidRPr="002837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-18.970,00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91,21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vodnog doprinosa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90,38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KNJIŽNICA - Sufinanciranje cijene usluge, participacije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99,60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96,21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96,88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el. energije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solari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166,67</w:t>
            </w:r>
          </w:p>
        </w:tc>
      </w:tr>
      <w:tr w:rsidR="002837C4" w:rsidRPr="002837C4" w:rsidTr="002837C4">
        <w:trPr>
          <w:gridAfter w:val="2"/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proizvoda i robe te pruženih usluga (usluge ukopa, radnog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stroja.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usluge održavanja površina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Donacije pravnih i fizičkih osoba izvan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KNJIŽNICA - Kapitalne donacije trgovačkih društava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fizičkih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104,84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Ostali prihodi- po Rješenju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kom.redara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prihodi- PENALI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7.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</w:tr>
      <w:tr w:rsidR="002837C4" w:rsidRPr="002837C4" w:rsidTr="002837C4">
        <w:trPr>
          <w:gridAfter w:val="2"/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materijalne imovine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pr.bog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- poljoprivredno zemljište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116,67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83,33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opreme i postrojenja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oprema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CCFF" w:fill="99CCFF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 PRIMICI OD FINANCIJSKE IMOVINE I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99CC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FIN. IMOVINE I ZADUŽIVANJA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</w:tr>
      <w:tr w:rsidR="002837C4" w:rsidRPr="002837C4" w:rsidTr="002837C4">
        <w:trPr>
          <w:gridAfter w:val="2"/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Primici od prodaje dionica i udjela u glavnici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prodaje dionica i udjela u glavnici trgovačkih društava u javnom sektoru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Prodaja udjela u Radio Bljesak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Okučani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84432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izvan javnog sektora dugoročni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99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UKUPNO PRIHODI ( 6+7+8):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1.746.072,00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#VALUE!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1.285.024,60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171,62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#VALUE!</w:t>
            </w:r>
          </w:p>
        </w:tc>
      </w:tr>
      <w:tr w:rsidR="002837C4" w:rsidRPr="002837C4" w:rsidTr="002837C4">
        <w:trPr>
          <w:gridAfter w:val="2"/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790.898,00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-10.914,63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779.983,37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148,35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155.087,00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70.471,60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225.558,60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114,40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55.355,00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173.455,00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113,66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Plaća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110,17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Knjižnica - Plaća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103,24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VSNM - Plaće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121,95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Plaća Javni radovi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214,29</w:t>
            </w:r>
          </w:p>
        </w:tc>
      </w:tr>
      <w:tr w:rsidR="002837C4" w:rsidRPr="002837C4" w:rsidTr="002837C4">
        <w:trPr>
          <w:gridAfter w:val="2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9.850,00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106,78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107,14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KNJIŽNICA 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104,65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5.266,60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24.753,60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127,66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Plaća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128,57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KNJIŽNICA - Plaća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103,26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VSNM Plaće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121,10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Plaća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-653,40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170,69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-85.347,23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240.202,77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159,44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138,25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101,65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Službena putovanja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101,69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95,24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za prijevoz na posao i s posla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1.604,94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117,65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KNJIŽNICA - Ostale naknade 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109,89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111,26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-5.950,00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62.810,00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129,53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mat. i ostali materijalni </w:t>
            </w: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750,0</w:t>
            </w: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</w:t>
            </w: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107,14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Uredski mat. i ostali materijalni rashodi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13,07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matrijal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Energija : el.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., plin, benzin, diesel.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Energija : el.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., plin,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VSNM - Energija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142,86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i dijelovi za tek. i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inv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107,69</w:t>
            </w:r>
          </w:p>
        </w:tc>
      </w:tr>
      <w:tr w:rsidR="002837C4" w:rsidRPr="002837C4" w:rsidTr="002837C4">
        <w:trPr>
          <w:gridAfter w:val="2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Materijal i dijelovi za tek. i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inv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Održavanje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90,91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KNJIŽNICA - Sitni inventar i auto gume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-80.550,00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124.580,00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205,89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102,50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KNJIŽNICA - 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Telefon, pošta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Usluge tekućeg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Usluge tekućeg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inest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održavanja spomenika braniteljima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Izmještanje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KNJIŽNICA - Usluge tekućeg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Održavanja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KNJIŽNICA Časopisi i promidžba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102,94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105,63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KNJIŽNICA - Komunalne usluge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Zdravstvene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123,81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109,01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6.200,00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114,29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teh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pregl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voz,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gra.usl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,…naplata 1% prihoda, održavanje aplikacija)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troškova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45.772,77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97,37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102,04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VSNM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Reprezenatcija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105,26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 -(FZOEU _ KAZNA)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-527,23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24.672,77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93,47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101,25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Političke stranke i troškovi izbora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23,21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2.472,77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lang w:eastAsia="hr-HR"/>
              </w:rPr>
              <w:t>8.472,77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KNJIŽNICA - 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135,29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VSNM - Kulturne manifestacije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100,60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100,60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Bank. usluge i usluge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plat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KNJIŽNICA - Financijski rashodi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808080" w:fill="808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VSNM - Financijski rashodi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Subvencije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trg.društvima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poljoprivr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i obrtnicima izvan javnog sektora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Subvencije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trfg.dr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., poljoprivrednicima, obrtima…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100,32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103,33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općinskim proračunima - KOMUNALNI REDAR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103,33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potpore unutar opće države (DJEČJI VRTIĆ)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Naknade građanima i kućanstvima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102,85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102,85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i kućanstvima u novcu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108,26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Jednokratne pomoći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111,11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Opremanje novorođenčeta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139,53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pomoći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VSNM Jednokratne pomoći  -potrebiti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Naknada građanima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kućan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100,50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Naknada građanima 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kuć.u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naravi za stanovanje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116,67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prijevoza srednjoškolcima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Kupnja radnih materijala učenicima 1.-8.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225.191,00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-4.509,00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220.682,00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206,01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53.565,00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29.114,00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100,65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29.114,00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100,72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Vijeće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KUD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101,69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Udruga umirovljenika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166,67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UDVDR Gornji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89,47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3811502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113,33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Sokol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DSR G.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Vepar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45,45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DVD Gornji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8.164,00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20.164,00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133,33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102,67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tek.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donacije u naravi - košenje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j.površina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katoličke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donacije u naravi - košenje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j.površina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pravoslavne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109,96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118,98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38211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zdravstvenim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Vjerske zajednice -RMK Župa Duha Svetoga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128,76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Vjerske zajednice -RMK Župa Svetog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Vjerske zajednice -Srpska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Ostale kap.don.građ.i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kuć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.- rješavanje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stamb.pit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gridAfter w:val="2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-34.623,00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97.303,00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668,22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trgovačkim društvima  u javnom sektoru - Odlagalište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nab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7.560,00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trgovačkim društvima  u javnom sektoru - odvodnja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104.623,00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-34.623,00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gridAfter w:val="2"/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trgovačkim društvima  u javnom sektoru vodoopskrba -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4.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</w:tr>
      <w:tr w:rsidR="002837C4" w:rsidRPr="002837C4" w:rsidTr="002837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#VALUE!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-270.753,97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849.746,03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299,00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175,19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Matrijalna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imovina- prirodna bogatstva - zemljišta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Utvrda BEDEM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ulag.na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tuđoj imovini radi prava korištenja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Ulaganja na tuđoj imovini radi prava korištenja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-271.378,97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837.471,03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301,24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-279.803,97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663.166,03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267,23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prema groblju GB iz Karlovca + parkiralište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Cesta Stari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Izgradnja prilazne ceste i mosta na potoku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Draževac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-242.928,97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660.041,03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283,68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Hrvatski Seljački Dom GB - rekonstrukcija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-49.800,00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10.200,00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Kosovac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8.266,03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13.266,03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2,86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121.200,00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2.424,00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Dječji vrtić GB -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izgreadnja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44.695,00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Centar općine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D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ED000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417,14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Poslovna zgrada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Semafor Gornji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Uređenje groblja GB (staze stari i novi </w:t>
            </w: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5.000,</w:t>
            </w: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9,23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4214918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Parkiralište i ograda kod doma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Okoliš kod doma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808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VSNM Spomenik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8.430,00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72,49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Javna rasvjeta -Poduzetnička zona Brezine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Javna rasvjeta igralište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Ratkovac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rasvjeta igralište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rasvjeta modernizacija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165.000,00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Javna rasvjeta-ostali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građ.objekti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Klubana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 NK Sloboda - stolarija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SRC tereni - stolice na tribinama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Fotonaponske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elektrane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FF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1.187,50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512,31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Kom. pogon -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594,39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uredska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118,49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Knjige,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umjetn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djela i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115,12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115,12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33.950,00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Dokumenti prostornog uređenja - PPUOGB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Izrada i implementacija GIS sustava Općine Gornji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Implementacija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ePisarnice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 digitalno urudžbiranje predmeta i dokumenata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Vijećnica - video soba (Pametni gradovi)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D966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Knjižnični Računalni </w:t>
            </w:r>
            <w:proofErr w:type="spellStart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softwer</w:t>
            </w:r>
            <w:proofErr w:type="spellEnd"/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građ.objekt.JAVNA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#VALUE!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0000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Izdaci za otplatu glavnice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zajm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zajmova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Ukupan donos viška/manjka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Dio manjka/viška koji će se pokrit/rasporedit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58.146,60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-359.704,80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-164,68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 I IZDACI 3+4+5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lang w:eastAsia="hr-HR"/>
              </w:rPr>
              <w:t>1.746.072,00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lang w:eastAsia="hr-HR"/>
              </w:rPr>
              <w:t>-223.522,00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lang w:eastAsia="hr-HR"/>
              </w:rPr>
              <w:t>1.285.024,60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171,62</w:t>
            </w: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tbl>
      <w:tblPr>
        <w:tblW w:w="0" w:type="auto"/>
        <w:tblLook w:val="04A0"/>
      </w:tblPr>
      <w:tblGrid>
        <w:gridCol w:w="1988"/>
        <w:gridCol w:w="1583"/>
        <w:gridCol w:w="691"/>
        <w:gridCol w:w="668"/>
        <w:gridCol w:w="691"/>
        <w:gridCol w:w="624"/>
        <w:gridCol w:w="578"/>
        <w:gridCol w:w="576"/>
        <w:gridCol w:w="527"/>
        <w:gridCol w:w="583"/>
        <w:gridCol w:w="779"/>
      </w:tblGrid>
      <w:tr w:rsidR="002837C4" w:rsidRPr="002837C4" w:rsidTr="002837C4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hr-HR"/>
              </w:rPr>
            </w:pPr>
            <w:r w:rsidRPr="002837C4">
              <w:rPr>
                <w:rFonts w:ascii="Arial Black" w:eastAsia="Times New Roman" w:hAnsi="Arial Black" w:cs="Calibri"/>
                <w:color w:val="000000"/>
                <w:lang w:eastAsia="hr-HR"/>
              </w:rPr>
              <w:t>II POSEBNI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Rashodi i izdaci razvrstani prema proračunskim klasifikacijama u  Posebnom dijelu proračuna iskazani su kako slijedi: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SVEUKUPNO IZVORI FINANCIRANJA - PRIHODI I PRIMITCI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1.864.586,00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#REF!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#REF!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543.828,20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PLAN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REBALANS PRVI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OPĆI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VLASTITI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PRODAJE </w:t>
            </w:r>
            <w:proofErr w:type="spellStart"/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NEFIN.IM</w:t>
            </w:r>
            <w:proofErr w:type="spellEnd"/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NAMJENSKI - KREDITI    I VIŠAK PRIHODA IZ </w:t>
            </w:r>
            <w:proofErr w:type="spellStart"/>
            <w:r w:rsidRPr="002837C4">
              <w:rPr>
                <w:rFonts w:ascii="Calibri" w:eastAsia="Times New Roman" w:hAnsi="Calibri" w:cs="Calibri"/>
                <w:color w:val="000000"/>
                <w:lang w:eastAsia="hr-HR"/>
              </w:rPr>
              <w:t>PRETH.GODINA</w:t>
            </w:r>
            <w:proofErr w:type="spellEnd"/>
          </w:p>
        </w:tc>
      </w:tr>
      <w:tr w:rsidR="002837C4" w:rsidRPr="002837C4" w:rsidTr="002837C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1.812.656,00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-80.924,40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1.731.731,60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506.648,20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98.850,00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134.390,00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134.390,00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34.689,00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nefinancijske imovine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9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predškolskog odgoja-korisnik Dječji vrtić Nova Gradiška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odgajateljice "Male škole"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školskih ustanova na području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Pomoći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studenatima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PROGRAMSKA DJELATNOST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64.885,00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08 -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64.885,00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kulturi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Grigor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Vitez"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uredske opreme i namještaja u knjižnici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Nabava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knjižničke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građe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nematerijalne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Nematerijalna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proizv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Izgradnja, obnova i održavanje sakralnih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Tekuće donacije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19.300,0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20.300,0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Program 04: Ulaganja u kulturna i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povjesna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nalazišta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projekt:Ulaganje u kulturnu destinaciju "Bedem"- utvrda Templara i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Ivanovaca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08- rekreacija, kultura,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Organizacija rekreacije i športskih aktivnosti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JAVNE POTREBE I USLUGE U ZDRAVSTVU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07 -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Dodatne usluge u zdravstvu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Poslovi deratizacije i dezinsekcije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Poslovi deratizacije i dezinsekcije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46.550,00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10-Socijalna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46.550,00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pomoći, te briga za stare i nemoćne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obiteljima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u rješavanju stambenog pitanja mladih obitelj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Humanitarna skrb kroz udruge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udruge umirovljenika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-11.5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00107 PRORAČUN I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42.170,00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-32.450,00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42.170,00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42.170,00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-32.450,00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42.170,00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-32.450,00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VSNM plaća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VSNM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Službena putovanja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Uredski materijal i energija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Telefon, pošta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VSNM 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VSNM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VSNM jednokratne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66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Civilna zaštita i zaštita od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 i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Poticanje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10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Aktivnost:Sufinanciranje otvaranja novih mikro poduzeća i odricanje od vlastitih prihoda u korist poduzeća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Subvencije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trg.društvima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poljop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Funkcijska klasifikacija: </w:t>
            </w: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Aktivnost: Poticanje poduzetništva poboljšanjem komunalne infrastrukture u </w:t>
            </w:r>
            <w:proofErr w:type="spellStart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poduz.zoni</w:t>
            </w:r>
            <w:proofErr w:type="spellEnd"/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443.641,00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-154.064,40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289.576,60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289.576,60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147.485,00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179.021,60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179.021,60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147.485,00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31.536,60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179.021,60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179.021,60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-39.463,40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56.371,60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56.371,60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-653,40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Opremanje vlastitog pogona, sitni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inventarm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 radna odjeća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291.156,00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-221.226,00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i uređivanje javnih ostalih objekata - Mrtvačnica,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vodocrp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188.926,00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-133.226,00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Kap.pomoći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 javnog sektoru- odlagalište-nabava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Kap.pomoći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 javnom sektoru-odvodnja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104.623,00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-34.623,00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Kap.pomoći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 javnom sektoru-vodoopskrba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cesta i drugih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materijal i </w:t>
            </w: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14.000,0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Održavanje objekata i uređaja ulične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8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00111 IZGRADNJA I 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953.470,00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i asfaltiranje cesta, nogostupa,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-36.875,00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913.470,00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917.075,00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917.075,00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Prostorno-planska dokumentacija za područje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Izrada prostorno-planske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Materijalna imovina-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prir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Program 03: Dodatna ulaganja, uređenje i održavanje ostale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unaprjeđenje ostale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-242.928,97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660.041,03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01:Prikupljanje i odvodnja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sistema za odvodnju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4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Izvršna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Program 01: Donošenje akata i mjera iz djelokruga </w:t>
            </w:r>
            <w:proofErr w:type="spellStart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predst</w:t>
            </w:r>
            <w:proofErr w:type="spellEnd"/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Predstavničko tijelo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Rad nacionalnih manjina i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Aktivnosti vijeća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</w:t>
            </w: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</w:t>
            </w: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</w:tr>
      <w:tr w:rsidR="002837C4" w:rsidRPr="002837C4" w:rsidTr="002837C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75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Nabava, uređenje i održavanje poslovnih zgrada za rad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37C4" w:rsidRPr="002837C4" w:rsidTr="002837C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837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</w:tr>
      <w:tr w:rsidR="002837C4" w:rsidRPr="002837C4" w:rsidTr="002837C4">
        <w:trPr>
          <w:trHeight w:val="96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Planiran je manjak prihoda nad rashodima u iznosu od 181.826,00 koji je djelomično pokriven viškom prihoda nad rashodima iz prethodnih razdoblja u iznosu od 54.119,61 eura, te stvaranje manjka prihoda nad rashodima u iznosu od 82.075,80 eura koji će se pokriti u cijelosti u slijedećoj godini stvaranjem viška prihoda nad rashodima.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7.</w:t>
            </w:r>
          </w:p>
        </w:tc>
      </w:tr>
      <w:tr w:rsidR="002837C4" w:rsidRPr="002837C4" w:rsidTr="002837C4">
        <w:trPr>
          <w:trHeight w:val="67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Ova odluka stupa na snagu danom donošenja i bit će objavljena u "Službenom glasniku općine 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", te na web stranici Općine </w:t>
            </w:r>
            <w:r w:rsidRPr="0028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www.opcinagornjibogicevci.hr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REPUBLIKA HRVATSKA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ŽUPANIJA BRODSKO-POSAVSKA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 GORNJI BOGIĆEVCI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OPĆINSKO VJEĆE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KLASA:400-01/24-02-1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PREDSJEDNIK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URBROJ: 2178-22-03-24-4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OPĆINSKOG VJEĆA:</w:t>
            </w:r>
          </w:p>
        </w:tc>
      </w:tr>
      <w:tr w:rsidR="002837C4" w:rsidRPr="002837C4" w:rsidTr="002837C4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Gornji </w:t>
            </w:r>
            <w:proofErr w:type="spellStart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Bogićevci</w:t>
            </w:r>
            <w:proofErr w:type="spellEnd"/>
            <w:r w:rsidRPr="00283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19.12.2024.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2837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Željko Klarić</w:t>
            </w:r>
          </w:p>
        </w:tc>
      </w:tr>
      <w:tr w:rsidR="002837C4" w:rsidRPr="002837C4" w:rsidTr="002837C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C4" w:rsidRPr="002837C4" w:rsidRDefault="002837C4" w:rsidP="0028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217A2" w:rsidRDefault="002837C4" w:rsidP="00B863A6">
      <w:r>
        <w:t>2.</w:t>
      </w:r>
    </w:p>
    <w:p w:rsidR="00836E3A" w:rsidRPr="00836E3A" w:rsidRDefault="00836E3A" w:rsidP="00836E3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Na temelju članka 18. stavak 1. Zakona o proračunu ("Narodne novine", broj 144/21) i članka 39. stavak 5. Statuta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("Službeni vjesnik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  br.02/21), OPĆINSKO VIJEĆE OPĆINE GORNJI BOGIĆEVCI na 21. sjednici održanoj  19.12.2024.  godine donosi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ODLUKU</w:t>
      </w:r>
    </w:p>
    <w:p w:rsidR="00836E3A" w:rsidRPr="00836E3A" w:rsidRDefault="00836E3A" w:rsidP="00836E3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O IZVRŠAVANJU PRORAČUNA OPĆINE GORNJI BOGIĆEVCI ZA 2025. GODINU</w:t>
      </w:r>
    </w:p>
    <w:p w:rsidR="00836E3A" w:rsidRPr="00836E3A" w:rsidRDefault="00836E3A" w:rsidP="00836E3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Opće odredbe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1.</w:t>
      </w:r>
    </w:p>
    <w:p w:rsidR="00836E3A" w:rsidRPr="00836E3A" w:rsidRDefault="00836E3A" w:rsidP="00836E3A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Ovom Odlukom ureduje se struktura prihoda i primitaka, te rashoda i izdataka Proračuna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za 2025. godinu, njegovo izvršavanje, upravljanje financijskom i nefinancijskom imovinom Općine, prava i obveze nositelja i korisnika proračunskih sredstava, zaduživanje, te davanje jamstva, ovlasti Načelnika, te druga pitanja u izvršavanju Proračuna. Proračun se donosi i izvršava u skladu s načelima jedinstva i točnosti proračuna, uravnoteženosti, obračunske jedinice, univerzalnosti, specifikacije, dobrog financijskog upravljanja i transparentnosti.</w:t>
      </w:r>
    </w:p>
    <w:p w:rsidR="00836E3A" w:rsidRPr="00836E3A" w:rsidRDefault="00836E3A" w:rsidP="00836E3A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Ako se tijekom godine usvoje zakoni, odluke i drugi propisi na osnovi kojih nastaju nove obveze za Proračun, sredstva će se osigurati u Proračunu za sljedeću proračunsku godinu u skladu s trogodišnjim fiskalnim projekcijama i mogućnostima.  </w:t>
      </w:r>
    </w:p>
    <w:p w:rsidR="00836E3A" w:rsidRPr="00836E3A" w:rsidRDefault="00836E3A" w:rsidP="00836E3A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lastRenderedPageBreak/>
        <w:tab/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Struktura proračuna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2.</w:t>
      </w:r>
    </w:p>
    <w:p w:rsidR="00836E3A" w:rsidRPr="00836E3A" w:rsidRDefault="00836E3A" w:rsidP="00836E3A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Proračun se sastoji od općeg i posebnog dijela, te programa. Opći dio proračuna sastoji se od Računa prihoda i rashoda i Računa financiranja. Posebni dio sadrži plan rashoda i izdataka prema ekonomskoj, programskoj, organizacijskoj i funkcijskoj klasifikaciji, te po proračunskim korisnicima. Rashodi i izdatci su raspoređeni u programe. Svaki program sastoji se od usko povezanih aktivnosti i projekata usmjerenih ispunjenju zajedničkog cilja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 općem i posebnom dijelu Proračuna iskazani su i prihodi i primitci, te rashodi i izdatci proračunskog korisnika – Narodna knjižnica i čitaonica „</w:t>
      </w:r>
      <w:proofErr w:type="spellStart"/>
      <w:r w:rsidRPr="00836E3A">
        <w:rPr>
          <w:rFonts w:ascii="Arial" w:eastAsia="Times New Roman" w:hAnsi="Arial" w:cs="Arial"/>
          <w:lang w:eastAsia="hr-HR"/>
        </w:rPr>
        <w:t>Grigor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Vitez“,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Bogićevci.</w:t>
      </w:r>
      <w:proofErr w:type="spellEnd"/>
      <w:r w:rsidRPr="00836E3A">
        <w:rPr>
          <w:rFonts w:ascii="Arial" w:eastAsia="Times New Roman" w:hAnsi="Arial" w:cs="Arial"/>
          <w:lang w:eastAsia="hr-HR"/>
        </w:rPr>
        <w:t>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Izvršavanje proračuna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3.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Proračun se odnosi na fiskalnu godinu i važi za godinu za koju je donesen. Godišnji proračun se izvršava do 31. prosinca fiskalne godine.</w:t>
      </w:r>
    </w:p>
    <w:p w:rsidR="00836E3A" w:rsidRPr="00836E3A" w:rsidRDefault="00836E3A" w:rsidP="00836E3A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Proračun se izvršava na temelju planova o njegovu izvršavanju, a u skladu s tekućim platežnim mogućnostima, odnosno dinamikom priljeva sredstava. Prihodi Proračuna ubiru se i uplaćuju u Proračun u skladu sa Zakonom i drugim propisima neovisno o visini prihoda planiranih u Proračunu. 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4.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Pravo i odgovornost za izvršavanje proračuna po svim pozicijama ima načelnik.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 okviru razdjela Jedinstvenog upravnog odjela preraspodjela utvrđenih rashoda dopuštena je između pojedinih stavaka najviše do 5 % rashoda utvrđenih na stavci koje se umanjuje uz odobrenje načelnika.</w:t>
      </w:r>
    </w:p>
    <w:p w:rsidR="00836E3A" w:rsidRPr="00836E3A" w:rsidRDefault="00836E3A" w:rsidP="00836E3A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Načelnik je obvezan uz polugodišnje i godišnje izvješće izvijestiti Općinsko vijeće o preraspodjeli sredstava. 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5.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Sredstva Proračuna osiguravaju se proračunskom korisniku koji je u posebnom dijelu određen za nositelja po pojedinim pozicijama. Proračunski korisnik je  Narodna knjižnica i čitaonica „</w:t>
      </w:r>
      <w:proofErr w:type="spellStart"/>
      <w:r w:rsidRPr="00836E3A">
        <w:rPr>
          <w:rFonts w:ascii="Arial" w:eastAsia="Times New Roman" w:hAnsi="Arial" w:cs="Arial"/>
          <w:lang w:eastAsia="hr-HR"/>
        </w:rPr>
        <w:t>Grigor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Vitez“ čiji su izdaci u posebnom dijelu iskazani prema vrsti izdataka koji se financiraju iz proračuna.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Sredstva proračuna doznačavaju se korisniku na temelju zahtjeva za dodjelu sredstava. 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Korisnici smiju koristiti proračunska sredstva samo za namjene utvrđene godišnjim financijskim planom, štedljivo i u skladu s propisima o korištenju odnosno raspolaganju tim sredstvima.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Korisnici proračuna smiju proračunska sredstva koristiti i preuzimati obveze najviše do visine sredstava osiguranih u Posebnom dijelu Proračuna.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Korisnici proračuna kao i udruge kojima se temeljem javnog poziva odobre sredstva iz proračuna dužni su načelniku Općine, odnosno općinskom vijeću dostaviti Izvješće o rezultatima svoga rada i financijsko izvješće za prethodnu godinu najkasnije do kraja lipnja tekuće godine zajedno sa odlukom o prihvaćanju od strane svojih tijela upravljanja.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6.</w:t>
      </w:r>
    </w:p>
    <w:p w:rsidR="00836E3A" w:rsidRPr="00836E3A" w:rsidRDefault="00836E3A" w:rsidP="00836E3A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Ukoliko se prihodi Proračuna ne ostvaruju planiranom dinamikom, prednost u izvršavanju obveza imati će sredstva za redovnu djelatnost Jedinstvenog upravnog odjela.</w:t>
      </w:r>
    </w:p>
    <w:p w:rsidR="00836E3A" w:rsidRPr="00836E3A" w:rsidRDefault="00836E3A" w:rsidP="00836E3A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ab/>
        <w:t>Pročelnik jedinstvenog upravnog odjela dužan je redovito pratiti izvršavanje Proračuna na razini Odjela, a obveze izvršavati do visine utvrđene Proračunom</w:t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7.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Postupak nabave investicijskih dobara provodi se u skladu sa Zakonom o javnoj nabavi (Narodne novine broj 120/16, 114/22), te Pravilnikom o nabavi roba, radova i usluga male vrijednosti </w:t>
      </w:r>
      <w:r w:rsidRPr="00836E3A">
        <w:rPr>
          <w:rFonts w:ascii="Times New Roman" w:eastAsia="Times New Roman" w:hAnsi="Times New Roman" w:cs="Times New Roman"/>
          <w:sz w:val="24"/>
          <w:lang w:eastAsia="hr-HR"/>
        </w:rPr>
        <w:t xml:space="preserve">(« Službeni glasnik općine Gornji </w:t>
      </w:r>
      <w:proofErr w:type="spellStart"/>
      <w:r w:rsidRPr="00836E3A">
        <w:rPr>
          <w:rFonts w:ascii="Times New Roman" w:eastAsia="Times New Roman" w:hAnsi="Times New Roman" w:cs="Times New Roman"/>
          <w:sz w:val="24"/>
          <w:lang w:eastAsia="hr-HR"/>
        </w:rPr>
        <w:t>Bogićevci</w:t>
      </w:r>
      <w:proofErr w:type="spellEnd"/>
      <w:r w:rsidRPr="00836E3A">
        <w:rPr>
          <w:rFonts w:ascii="Times New Roman" w:eastAsia="Times New Roman" w:hAnsi="Times New Roman" w:cs="Times New Roman"/>
          <w:sz w:val="24"/>
          <w:lang w:eastAsia="hr-HR"/>
        </w:rPr>
        <w:t xml:space="preserve"> « br. 8/24)</w:t>
      </w:r>
    </w:p>
    <w:p w:rsidR="00836E3A" w:rsidRPr="00836E3A" w:rsidRDefault="00836E3A" w:rsidP="00836E3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lastRenderedPageBreak/>
        <w:t>Proračunska rezerva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8.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 proračunu su planirana sredstva tekuće pričuve u svoti od 2.700 eura za financiranje hitnih i nepredviđenih izdataka koji se pojave tijekom proračunske godine.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Korištenje rezerve odobrava načelnik Općine do iznosa utvrđenog godišnjim proračunom. 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Načelnik je obvezan izvijestiti općinsko vijeće o korištenju proračunske rezerve polugodišnje prilikom usvajanja Polugodišnjeg i Godišnjeg izvršenja proračuna.</w:t>
      </w:r>
    </w:p>
    <w:p w:rsidR="00836E3A" w:rsidRPr="00836E3A" w:rsidRDefault="00836E3A" w:rsidP="00836E3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9.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 okviru proračunskih stavki dopuštena je preraspodjela unutar treće razine proračuna ako to odobri načelnik.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O izvršenim preraspodjelama Načelnik izvještava općinsko vijeće polugodišnje.</w:t>
      </w:r>
    </w:p>
    <w:p w:rsidR="00836E3A" w:rsidRPr="00836E3A" w:rsidRDefault="00836E3A" w:rsidP="00836E3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836E3A">
        <w:rPr>
          <w:rFonts w:ascii="Arial" w:eastAsia="Times New Roman" w:hAnsi="Arial" w:cs="Arial"/>
          <w:b/>
          <w:bCs/>
          <w:lang w:eastAsia="hr-HR"/>
        </w:rPr>
        <w:t>Članak 10.</w:t>
      </w:r>
    </w:p>
    <w:p w:rsidR="00836E3A" w:rsidRPr="00836E3A" w:rsidRDefault="00836E3A" w:rsidP="00836E3A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Prava i obveze iz rada i po osnovi rada djelatnika regulirana su Pravilnikom o radu lokalnih službenika i namještenika </w:t>
      </w:r>
      <w:r w:rsidRPr="00836E3A">
        <w:rPr>
          <w:rFonts w:ascii="Times New Roman" w:eastAsia="Times New Roman" w:hAnsi="Times New Roman" w:cs="Times New Roman"/>
          <w:sz w:val="24"/>
          <w:lang w:eastAsia="hr-HR"/>
        </w:rPr>
        <w:t xml:space="preserve">(« Službeni glasnik općine Gornji </w:t>
      </w:r>
      <w:proofErr w:type="spellStart"/>
      <w:r w:rsidRPr="00836E3A">
        <w:rPr>
          <w:rFonts w:ascii="Times New Roman" w:eastAsia="Times New Roman" w:hAnsi="Times New Roman" w:cs="Times New Roman"/>
          <w:sz w:val="24"/>
          <w:lang w:eastAsia="hr-HR"/>
        </w:rPr>
        <w:t>Bogićevci</w:t>
      </w:r>
      <w:proofErr w:type="spellEnd"/>
      <w:r w:rsidRPr="00836E3A">
        <w:rPr>
          <w:rFonts w:ascii="Times New Roman" w:eastAsia="Times New Roman" w:hAnsi="Times New Roman" w:cs="Times New Roman"/>
          <w:sz w:val="24"/>
          <w:lang w:eastAsia="hr-HR"/>
        </w:rPr>
        <w:t xml:space="preserve"> « br. 03/24)</w:t>
      </w:r>
      <w:r w:rsidRPr="00836E3A">
        <w:rPr>
          <w:rFonts w:ascii="Arial" w:eastAsia="Times New Roman" w:hAnsi="Arial" w:cs="Arial"/>
          <w:lang w:eastAsia="hr-HR"/>
        </w:rPr>
        <w:t xml:space="preserve">, zakonskim propisima i općim aktima.  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11.</w:t>
      </w:r>
    </w:p>
    <w:p w:rsidR="00836E3A" w:rsidRPr="00836E3A" w:rsidRDefault="00836E3A" w:rsidP="00836E3A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Rashodi i izdaci proračuna moraju biti uravnoteženi s prihodima i primicima.</w:t>
      </w:r>
    </w:p>
    <w:p w:rsidR="00836E3A" w:rsidRPr="00836E3A" w:rsidRDefault="00836E3A" w:rsidP="00836E3A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Ako tijekom proračunske godine dođe do povećanja i smanjenja rashoda i izdataka odnosno prihoda i primitaka, uravnoteženje Proračuna se provodi izmjenama i dopunama proračuna, a podnosi se Općinskom vijeću na usvajanje.                              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Zaduživanje, otplata duga i izdavanje jamstva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12.</w:t>
      </w:r>
      <w:r w:rsidRPr="00836E3A">
        <w:rPr>
          <w:rFonts w:ascii="Arial" w:eastAsia="Times New Roman" w:hAnsi="Arial" w:cs="Arial"/>
          <w:lang w:eastAsia="hr-HR"/>
        </w:rPr>
        <w:t>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Primici od kratkoročnog i dugoročnog zaduživanja nisu planirani. 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13.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Načelnik može predložiti najpovoljniji oblik zaduživanja uzimanjem kredita na tržištu novca i kapitala i kod izvoditelja radova isključivo za kapitalni projekt (investiciju) koju potvrdi</w:t>
      </w:r>
      <w:r w:rsidRPr="00836E3A">
        <w:rPr>
          <w:rFonts w:ascii="Arial" w:eastAsia="Times New Roman" w:hAnsi="Arial" w:cs="Arial"/>
          <w:b/>
          <w:lang w:eastAsia="hr-HR"/>
        </w:rPr>
        <w:t xml:space="preserve"> </w:t>
      </w:r>
      <w:r w:rsidRPr="00836E3A">
        <w:rPr>
          <w:rFonts w:ascii="Arial" w:eastAsia="Times New Roman" w:hAnsi="Arial" w:cs="Arial"/>
          <w:lang w:eastAsia="hr-HR"/>
        </w:rPr>
        <w:t>općinsko vijeće uz prethodnu suglasnost Vlade Republike Hrvatske.</w:t>
      </w:r>
      <w:r w:rsidRPr="00836E3A">
        <w:rPr>
          <w:rFonts w:ascii="Arial" w:eastAsia="Times New Roman" w:hAnsi="Arial" w:cs="Arial"/>
          <w:b/>
          <w:lang w:eastAsia="hr-HR"/>
        </w:rPr>
        <w:t xml:space="preserve"> </w:t>
      </w:r>
      <w:r w:rsidRPr="00836E3A">
        <w:rPr>
          <w:rFonts w:ascii="Arial" w:eastAsia="Times New Roman" w:hAnsi="Arial" w:cs="Arial"/>
          <w:lang w:eastAsia="hr-HR"/>
        </w:rPr>
        <w:t>Ugovor o zaduživanju sklapa načelnik na osnovu Proračuna.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Suglasnost iz stavka 1. ovog članka obvezni je prilog ugovora o zaduživanju. O zahtjevu o davanju suglasnosti Vlada odlučuje u roku 40 dana nakon podnošenja zahtjeva. Zahtjev sadrži obvezne sastojke, priloge i dokumentaciju koju propisuje ministar financija.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14.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Ukupna godišnja obaveza (godišnji anuitet) iz članka 13. ove Odluke može iznositi najviše do 20% ostvarenih prihoda u godini koja prethodi godini u kojoj se zadužuje.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U iznos ukupne godišnje obveze iz stavka 1. ovog članka uključen je i iznos godišnjeg anuiteta po kreditima, danim jamstvima, te neplaćene obveze iz prethodnih godina.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Pod ostvarenim proračunskim prihodima podrazumijevaju se ostvareni prihodi Općine iz članka 106 Zakona o proračunu umanjeni za primitke od domaćih i inozemnih potpora, dotacija i pomoći iz državnog proračuna i proračuna drugih jedinica lokalne samouprave i uprave, primitke iz posebnih ugovora: sufinanciranje građana te tuzemnog i inozemnog zaduženja.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15.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Trgovačko društvo i javna ustanova, čiji je osnivač i većinski vlasnik općina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 može se zadužiti samo uz suglasnost osnivača.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Odluku o davanju suglasnosti donosi općinsko vijeće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>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Općina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dužna je izvijestiti Ministarstvo financija o danim suglasnostima dva puta godišnje i to u srpnju i prosincu tekuće godine.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lastRenderedPageBreak/>
        <w:t>Članak 16.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Općina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može davati jamstvo za ispunjenje obaveza trgovačkog društva i javne ustanove čiji je osnivač i većinski vlasnik.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Dano jamstvo uključuje se u opseg mogućeg zaduženja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iz članka 14. Ove Odluke.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Odluku o davanju jamstva donosi općinsko vijeće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>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6E3A">
        <w:rPr>
          <w:rFonts w:ascii="Arial" w:eastAsia="Times New Roman" w:hAnsi="Arial" w:cs="Arial"/>
          <w:b/>
          <w:lang w:eastAsia="hr-HR"/>
        </w:rPr>
        <w:t>Članak 17.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Ova Odluka sastavni je dio Proračuna i stupa na snagu danom objave u “Službenom glasniku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>”, a primjenjuje se od 01. siječnja 2025. godine.</w:t>
      </w: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autoSpaceDE w:val="0"/>
        <w:autoSpaceDN w:val="0"/>
        <w:adjustRightInd w:val="0"/>
        <w:spacing w:after="0" w:line="240" w:lineRule="auto"/>
        <w:ind w:left="2832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    REPUBLIKA HRVATSKA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BRODSKO – POSAVSKA ŽUPANIJA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OPĆINA GORNJI BOGIĆEVCI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Općinsko vijeće</w:t>
      </w:r>
    </w:p>
    <w:p w:rsidR="00836E3A" w:rsidRPr="00836E3A" w:rsidRDefault="00836E3A" w:rsidP="00836E3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>Klasa : 400-05/22-01/01</w:t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836E3A">
        <w:rPr>
          <w:rFonts w:ascii="Arial" w:eastAsia="Times New Roman" w:hAnsi="Arial" w:cs="Arial"/>
          <w:lang w:eastAsia="hr-HR"/>
        </w:rPr>
        <w:t>Urbroj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 : 2178-22-03-24-2</w:t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 xml:space="preserve">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  <w:r w:rsidRPr="00836E3A">
        <w:rPr>
          <w:rFonts w:ascii="Arial" w:eastAsia="Times New Roman" w:hAnsi="Arial" w:cs="Arial"/>
          <w:lang w:eastAsia="hr-HR"/>
        </w:rPr>
        <w:t xml:space="preserve">, 19. prosinca  2024.  </w:t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  <w:t>Predsjednik Općinskog vijeća</w:t>
      </w:r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  <w:t xml:space="preserve">     </w:t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  <w:t xml:space="preserve">     Općine Gornji </w:t>
      </w:r>
      <w:proofErr w:type="spellStart"/>
      <w:r w:rsidRPr="00836E3A">
        <w:rPr>
          <w:rFonts w:ascii="Arial" w:eastAsia="Times New Roman" w:hAnsi="Arial" w:cs="Arial"/>
          <w:lang w:eastAsia="hr-HR"/>
        </w:rPr>
        <w:t>Bogićevci</w:t>
      </w:r>
      <w:proofErr w:type="spellEnd"/>
    </w:p>
    <w:p w:rsidR="00836E3A" w:rsidRPr="00836E3A" w:rsidRDefault="00836E3A" w:rsidP="00836E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  <w:t xml:space="preserve">               </w:t>
      </w:r>
      <w:r w:rsidRPr="00836E3A">
        <w:rPr>
          <w:rFonts w:ascii="Arial" w:eastAsia="Times New Roman" w:hAnsi="Arial" w:cs="Arial"/>
          <w:lang w:eastAsia="hr-HR"/>
        </w:rPr>
        <w:tab/>
      </w:r>
      <w:r w:rsidRPr="00836E3A">
        <w:rPr>
          <w:rFonts w:ascii="Arial" w:eastAsia="Times New Roman" w:hAnsi="Arial" w:cs="Arial"/>
          <w:lang w:eastAsia="hr-HR"/>
        </w:rPr>
        <w:tab/>
        <w:t>Željko Klarić</w:t>
      </w:r>
    </w:p>
    <w:p w:rsidR="00836E3A" w:rsidRPr="00836E3A" w:rsidRDefault="00836E3A" w:rsidP="0083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37C4" w:rsidRDefault="002837C4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A620C5" w:rsidRPr="00A620C5" w:rsidRDefault="00A620C5" w:rsidP="00A620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SADRŽAJ :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1. Organizacijska struktura s brojem pripadajućih radnih mjesta</w:t>
      </w: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Općine Gornji </w:t>
      </w:r>
      <w:proofErr w:type="spellStart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proračunskog korisnika NKČ </w:t>
      </w:r>
      <w:proofErr w:type="spellStart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Grigor</w:t>
      </w:r>
      <w:proofErr w:type="spellEnd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Vitezza</w:t>
      </w:r>
      <w:proofErr w:type="spellEnd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g. s procjenom za  2026.-2027.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2.1. Opći dio proračuna</w:t>
      </w:r>
    </w:p>
    <w:p w:rsidR="00A620C5" w:rsidRPr="00A620C5" w:rsidRDefault="00A620C5" w:rsidP="00A620C5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2.1.1. Procjena prihoda i primitaka</w:t>
      </w:r>
    </w:p>
    <w:p w:rsidR="00A620C5" w:rsidRPr="00A620C5" w:rsidRDefault="00A620C5" w:rsidP="00A620C5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2.1.2. Prijedlog plana rashoda i izdataka</w:t>
      </w:r>
    </w:p>
    <w:p w:rsidR="00A620C5" w:rsidRPr="00A620C5" w:rsidRDefault="00A620C5" w:rsidP="00A620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2.2. Posebni dio proračuna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Odluka o izvršavanju Proračuna Općine Gornji </w:t>
      </w:r>
      <w:proofErr w:type="spellStart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godinu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4. Program održavanja komunalne infrastrukture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5. Program gradnje komunalne infrastrukture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6. Program javnih potreba u kulturi i religiji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7. Program javnih potreba u sportu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8. Program javnih potreba ostalih društvenih područja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Zaključak o usvajanju Proračuna Općine Gornji </w:t>
      </w:r>
      <w:proofErr w:type="spellStart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A620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godinu</w:t>
      </w: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>1. ORGANIZACIJSKA STRUKTURA UPRAVNIH TIJELA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 xml:space="preserve">          S BROJEM POPUNJENIH RADNIH MJESTA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Općina Gornji </w:t>
      </w:r>
      <w:proofErr w:type="spellStart"/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>Bogićevci</w:t>
      </w:r>
      <w:proofErr w:type="spellEnd"/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ima jedan upravni odjel, </w:t>
      </w:r>
      <w:r w:rsidRPr="00A620C5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>Jedinstveni upravni odjel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kroz koji su organizirani svi poslovi koje općina obavlja, a zbog opsega poslova u odnosu na broj stanovnika i teritorijalnu veličinu općine.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 xml:space="preserve">U okviru Jedinstvenog upravnog odjela organiziran je </w:t>
      </w:r>
      <w:r w:rsidRPr="00A620C5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>Komunalni pogon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koji vrši poslove održavanja komunalne infrastrukture, javnih površina i javnih objekata, te ukopa pokojnika.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 xml:space="preserve">Na ovim poslovima je stalno zaposleno četiri djelatnika To su radna mjesta : </w:t>
      </w:r>
    </w:p>
    <w:p w:rsidR="00A620C5" w:rsidRPr="00A620C5" w:rsidRDefault="00A620C5" w:rsidP="00A620C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 -     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  <w:t>voditelj komunalnog pogona, SSS – 1 djelatnik</w:t>
      </w:r>
    </w:p>
    <w:p w:rsidR="00A620C5" w:rsidRPr="00A620C5" w:rsidRDefault="00A620C5" w:rsidP="00A620C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  <w:t>komunalni djelatnik, SSS – 2 djelatnika</w:t>
      </w:r>
    </w:p>
    <w:p w:rsidR="00A620C5" w:rsidRPr="00A620C5" w:rsidRDefault="00A620C5" w:rsidP="00A620C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  <w:t>pomoćni djelatnik, OŠ- 1 djelatnika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 xml:space="preserve">Osim navedenog u okviru upravnog odjela organizirano je </w:t>
      </w:r>
      <w:r w:rsidRPr="00A620C5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hr-HR"/>
        </w:rPr>
        <w:t>samostalno vođenje računovodstva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koje obavlja 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eastAsia="hr-HR"/>
        </w:rPr>
        <w:t>Pročelnik upravnog odjela, VI/I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 stupanj stručne spreme ekonomskog smjera.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 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U ovom odjelu su organizirani i svi ostali poslovi vezani za :</w:t>
      </w:r>
    </w:p>
    <w:p w:rsidR="00A620C5" w:rsidRPr="00A620C5" w:rsidRDefault="00A620C5" w:rsidP="00A62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- priprema, izvršavanje i praćenje  provođenja akata Statuta Općine Gornji </w:t>
      </w:r>
      <w:proofErr w:type="spellStart"/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>Bogićevci</w:t>
      </w:r>
      <w:proofErr w:type="spellEnd"/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>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</w:t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- priprema i organizacija sjednica Općinskog vijeća;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- obavljanje svih ostalih stručnih poslova vezanih za rad Općinskog vijeća;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lastRenderedPageBreak/>
        <w:tab/>
        <w:t>- kadrovski poslovi;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- gospodarstvo;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- komunalna infrastruktura, te zaštita prirode i okoliša;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- društvene djelatnosti i rad s udrugama građana.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  <w:t>Na ovim poslovima rade dvije djelatnice, a to su :</w:t>
      </w:r>
    </w:p>
    <w:p w:rsidR="00A620C5" w:rsidRPr="00A620C5" w:rsidRDefault="00A620C5" w:rsidP="00A620C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>Pročelnica odjela,</w:t>
      </w:r>
    </w:p>
    <w:p w:rsidR="00A620C5" w:rsidRPr="00A620C5" w:rsidRDefault="00A620C5" w:rsidP="00A620C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>Viši stručni referent za financije i proračun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 xml:space="preserve">            Na slijedećoj shemi prikazana je organizacijska struktura tijela općine :</w:t>
      </w: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</w:tblGrid>
      <w:tr w:rsidR="00A620C5" w:rsidRPr="00A620C5" w:rsidTr="00425803">
        <w:trPr>
          <w:trHeight w:val="763"/>
        </w:trPr>
        <w:tc>
          <w:tcPr>
            <w:tcW w:w="4140" w:type="dxa"/>
          </w:tcPr>
          <w:p w:rsidR="00A620C5" w:rsidRPr="00A620C5" w:rsidRDefault="00A620C5" w:rsidP="00A620C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hr-HR"/>
              </w:rPr>
              <w:t>OPĆINSKI NAČELNIK</w:t>
            </w:r>
          </w:p>
          <w:p w:rsidR="00A620C5" w:rsidRPr="00A620C5" w:rsidRDefault="00A620C5" w:rsidP="00A6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  <w:t>- 1 radno mjesto</w:t>
            </w:r>
          </w:p>
        </w:tc>
      </w:tr>
    </w:tbl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</w:tblGrid>
      <w:tr w:rsidR="00A620C5" w:rsidRPr="00A620C5" w:rsidTr="00425803">
        <w:tc>
          <w:tcPr>
            <w:tcW w:w="3600" w:type="dxa"/>
          </w:tcPr>
          <w:p w:rsidR="00A620C5" w:rsidRPr="00A620C5" w:rsidRDefault="00A620C5" w:rsidP="00A6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  <w:t>Jedinstveni upravni odjel</w:t>
            </w:r>
          </w:p>
          <w:p w:rsidR="00A620C5" w:rsidRPr="00A620C5" w:rsidRDefault="00A620C5" w:rsidP="00A6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  <w:t xml:space="preserve"> - 6 radnih mjesta, i to:</w:t>
            </w:r>
          </w:p>
        </w:tc>
      </w:tr>
    </w:tbl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A620C5" w:rsidRPr="00A620C5" w:rsidTr="00425803">
        <w:trPr>
          <w:trHeight w:val="180"/>
        </w:trPr>
        <w:tc>
          <w:tcPr>
            <w:tcW w:w="2160" w:type="dxa"/>
          </w:tcPr>
          <w:p w:rsidR="00A620C5" w:rsidRPr="00A620C5" w:rsidRDefault="00A620C5" w:rsidP="00A6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  <w:t>Računovodstvo i uprava – 2 radno mjesto</w:t>
            </w:r>
          </w:p>
        </w:tc>
      </w:tr>
    </w:tbl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  <w:lang w:eastAsia="hr-HR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</w:tblGrid>
      <w:tr w:rsidR="00A620C5" w:rsidRPr="00A620C5" w:rsidTr="00425803">
        <w:tc>
          <w:tcPr>
            <w:tcW w:w="5040" w:type="dxa"/>
          </w:tcPr>
          <w:p w:rsidR="00A620C5" w:rsidRPr="00A620C5" w:rsidRDefault="00A620C5" w:rsidP="00A62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</w:pPr>
            <w:r w:rsidRPr="00A620C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hr-HR"/>
              </w:rPr>
              <w:t xml:space="preserve">Komunalni pogon  - 4 radna mjesta, </w:t>
            </w:r>
          </w:p>
        </w:tc>
      </w:tr>
    </w:tbl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  <w:t>PLAN PRIJEMA: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  <w:t xml:space="preserve">Za potrebe provedbe programa HZZ-a provodit će se Program javnih radova gdje se planira zaposliti minimalno 3 djelatnika / </w:t>
      </w:r>
      <w:proofErr w:type="spellStart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>ca</w:t>
      </w:r>
      <w:proofErr w:type="spellEnd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 xml:space="preserve"> (ovisno o odobrenim kvotama od strane HZZ-a) na poslovima čišćenja i krčenja javnih kanala i površina koje ne ulaze u redovnu djelatnost Komunalnog pogona.</w:t>
      </w:r>
    </w:p>
    <w:p w:rsidR="00A620C5" w:rsidRPr="00A620C5" w:rsidRDefault="00A620C5" w:rsidP="00A620C5">
      <w:pPr>
        <w:spacing w:after="0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  <w:t>Plan proračuna obuhvaća i prihode i primitke, te rashode i izdatke proračunskog korisnika Narodna knjižnica i čitaonica „</w:t>
      </w:r>
      <w:proofErr w:type="spellStart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>Grigor</w:t>
      </w:r>
      <w:proofErr w:type="spellEnd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 xml:space="preserve"> Vitez“, gdje je organizirano jedno radno mjesto:</w:t>
      </w:r>
    </w:p>
    <w:p w:rsidR="00A620C5" w:rsidRPr="00A620C5" w:rsidRDefault="00A620C5" w:rsidP="00A620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hr-HR"/>
        </w:rPr>
        <w:t>Pomoćni knjižničar, VSS (tražena struka SSS) – 1 djelatnik</w:t>
      </w: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 xml:space="preserve">Imenovan je </w:t>
      </w:r>
      <w:proofErr w:type="spellStart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>vd</w:t>
      </w:r>
      <w:proofErr w:type="spellEnd"/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 xml:space="preserve"> ravnatelj koji tu funkciju izvršava volonterski</w:t>
      </w: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  <w:t>Predsjednik OV:</w:t>
      </w:r>
    </w:p>
    <w:p w:rsidR="00A620C5" w:rsidRPr="00A620C5" w:rsidRDefault="00A620C5" w:rsidP="00A620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</w:pP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</w:r>
      <w:r w:rsidRPr="00A620C5">
        <w:rPr>
          <w:rFonts w:ascii="Times New Roman" w:eastAsia="Times New Roman" w:hAnsi="Times New Roman" w:cs="Times New Roman"/>
          <w:color w:val="0033CC"/>
          <w:sz w:val="24"/>
          <w:szCs w:val="24"/>
          <w:lang w:eastAsia="hr-HR"/>
        </w:rPr>
        <w:tab/>
        <w:t>Željko Klarić</w:t>
      </w:r>
    </w:p>
    <w:p w:rsidR="002217A2" w:rsidRDefault="002217A2" w:rsidP="00B863A6"/>
    <w:p w:rsidR="002217A2" w:rsidRDefault="002217A2" w:rsidP="00B863A6"/>
    <w:p w:rsidR="002217A2" w:rsidRDefault="002217A2" w:rsidP="00B863A6"/>
    <w:p w:rsidR="00836E3A" w:rsidRPr="003820CF" w:rsidRDefault="00836E3A" w:rsidP="00836E3A">
      <w:pPr>
        <w:pStyle w:val="Tijeloteksta"/>
        <w:jc w:val="both"/>
        <w:rPr>
          <w:szCs w:val="22"/>
        </w:rPr>
      </w:pPr>
      <w:bookmarkStart w:id="0" w:name="_Hlk186460308"/>
      <w:r w:rsidRPr="00B217AF">
        <w:rPr>
          <w:szCs w:val="22"/>
        </w:rPr>
        <w:t xml:space="preserve">Na temelju članka </w:t>
      </w:r>
      <w:r>
        <w:rPr>
          <w:szCs w:val="22"/>
        </w:rPr>
        <w:t>18</w:t>
      </w:r>
      <w:r w:rsidRPr="00B217AF">
        <w:rPr>
          <w:szCs w:val="22"/>
        </w:rPr>
        <w:t xml:space="preserve">. stavak 1. Zakona o proračunu ("Narodne novine", broj 144/21) i članka 39. stavak 5. Statuta općine Gornji </w:t>
      </w:r>
      <w:proofErr w:type="spellStart"/>
      <w:r w:rsidRPr="00B217AF">
        <w:rPr>
          <w:szCs w:val="22"/>
        </w:rPr>
        <w:t>Bogićevci</w:t>
      </w:r>
      <w:proofErr w:type="spellEnd"/>
      <w:r w:rsidRPr="00B217AF">
        <w:rPr>
          <w:szCs w:val="22"/>
        </w:rPr>
        <w:t xml:space="preserve"> ("Službeni vjesnik općine Gornji </w:t>
      </w:r>
      <w:proofErr w:type="spellStart"/>
      <w:r w:rsidRPr="00B217AF">
        <w:rPr>
          <w:szCs w:val="22"/>
        </w:rPr>
        <w:t>Bogićevci</w:t>
      </w:r>
      <w:proofErr w:type="spellEnd"/>
      <w:r w:rsidRPr="00B217AF">
        <w:rPr>
          <w:szCs w:val="22"/>
        </w:rPr>
        <w:t xml:space="preserve">   br.02/21), OPĆINSKO VIJEĆE OPĆINE GORNJI BOGIĆEVCI na 21. sjednici održanoj  19.12.2024.  godine do</w:t>
      </w:r>
      <w:r>
        <w:rPr>
          <w:szCs w:val="22"/>
        </w:rPr>
        <w:t>nosi</w:t>
      </w:r>
    </w:p>
    <w:p w:rsidR="00836E3A" w:rsidRDefault="00836E3A" w:rsidP="00836E3A">
      <w:pPr>
        <w:pStyle w:val="Tijeloteksta"/>
        <w:ind w:firstLine="708"/>
      </w:pPr>
    </w:p>
    <w:p w:rsidR="00836E3A" w:rsidRDefault="00836E3A" w:rsidP="00836E3A">
      <w:pPr>
        <w:pStyle w:val="Tijeloteksta"/>
        <w:jc w:val="center"/>
        <w:rPr>
          <w:b/>
          <w:bCs/>
        </w:rPr>
      </w:pPr>
      <w:r>
        <w:rPr>
          <w:b/>
          <w:bCs/>
        </w:rPr>
        <w:t>Z A K L J U Č A K</w:t>
      </w:r>
    </w:p>
    <w:p w:rsidR="00836E3A" w:rsidRDefault="00836E3A" w:rsidP="00836E3A">
      <w:pPr>
        <w:pStyle w:val="Tijeloteksta"/>
        <w:jc w:val="center"/>
        <w:rPr>
          <w:b/>
          <w:bCs/>
        </w:rPr>
      </w:pPr>
      <w:r>
        <w:rPr>
          <w:b/>
          <w:bCs/>
        </w:rPr>
        <w:t>o usvajanju proračuna za 2025. godinu</w:t>
      </w:r>
    </w:p>
    <w:p w:rsidR="00836E3A" w:rsidRDefault="00836E3A" w:rsidP="00836E3A">
      <w:pPr>
        <w:pStyle w:val="Tijeloteksta"/>
        <w:jc w:val="center"/>
        <w:rPr>
          <w:b/>
          <w:bCs/>
        </w:rPr>
      </w:pPr>
      <w:r>
        <w:rPr>
          <w:b/>
          <w:bCs/>
        </w:rPr>
        <w:lastRenderedPageBreak/>
        <w:t>s projekcijama do 2027. godine</w:t>
      </w:r>
    </w:p>
    <w:p w:rsidR="00836E3A" w:rsidRDefault="00836E3A" w:rsidP="00836E3A">
      <w:pPr>
        <w:pStyle w:val="Tijeloteksta"/>
        <w:ind w:firstLine="708"/>
        <w:jc w:val="center"/>
        <w:rPr>
          <w:b/>
          <w:bCs/>
        </w:rPr>
      </w:pPr>
    </w:p>
    <w:p w:rsidR="00836E3A" w:rsidRDefault="00836E3A" w:rsidP="00836E3A">
      <w:pPr>
        <w:pStyle w:val="Tijeloteksta"/>
        <w:ind w:firstLine="708"/>
        <w:jc w:val="center"/>
        <w:rPr>
          <w:b/>
          <w:bCs/>
        </w:rPr>
      </w:pPr>
    </w:p>
    <w:p w:rsidR="00836E3A" w:rsidRDefault="00836E3A" w:rsidP="00836E3A">
      <w:pPr>
        <w:pStyle w:val="Tijeloteksta"/>
        <w:jc w:val="center"/>
        <w:rPr>
          <w:b/>
          <w:bCs/>
        </w:rPr>
      </w:pPr>
      <w:r>
        <w:rPr>
          <w:b/>
          <w:bCs/>
        </w:rPr>
        <w:t>Članak 1.</w:t>
      </w:r>
    </w:p>
    <w:p w:rsidR="00836E3A" w:rsidRDefault="00836E3A" w:rsidP="00836E3A">
      <w:pPr>
        <w:jc w:val="both"/>
        <w:rPr>
          <w:rFonts w:ascii="Arial" w:hAnsi="Arial" w:cs="Arial"/>
        </w:rPr>
      </w:pPr>
    </w:p>
    <w:p w:rsidR="00836E3A" w:rsidRDefault="00836E3A" w:rsidP="00836E3A">
      <w:pPr>
        <w:pStyle w:val="Tijeloteksta2"/>
      </w:pPr>
      <w:r>
        <w:tab/>
        <w:t xml:space="preserve">Usvaja se Proračun općine Gornji </w:t>
      </w:r>
      <w:proofErr w:type="spellStart"/>
      <w:r>
        <w:t>Bogićevci</w:t>
      </w:r>
      <w:proofErr w:type="spellEnd"/>
      <w:r>
        <w:t xml:space="preserve"> za 2025. godinu, sukladno Odluci o izvršavanju Proračuna općine Gornji </w:t>
      </w:r>
      <w:proofErr w:type="spellStart"/>
      <w:r>
        <w:t>Bogićevci</w:t>
      </w:r>
      <w:proofErr w:type="spellEnd"/>
      <w:r>
        <w:t xml:space="preserve"> u iznosu :</w:t>
      </w:r>
    </w:p>
    <w:p w:rsidR="00836E3A" w:rsidRDefault="00836E3A" w:rsidP="00836E3A">
      <w:pPr>
        <w:jc w:val="both"/>
        <w:rPr>
          <w:rFonts w:ascii="Arial" w:hAnsi="Arial" w:cs="Arial"/>
        </w:rPr>
      </w:pPr>
    </w:p>
    <w:p w:rsidR="00836E3A" w:rsidRPr="008D3A63" w:rsidRDefault="00836E3A" w:rsidP="00836E3A">
      <w:pPr>
        <w:jc w:val="both"/>
        <w:rPr>
          <w:rFonts w:ascii="Arial" w:hAnsi="Arial" w:cs="Arial"/>
        </w:rPr>
      </w:pPr>
      <w:r w:rsidRPr="008D3A63">
        <w:rPr>
          <w:rFonts w:ascii="Arial" w:hAnsi="Arial" w:cs="Arial"/>
        </w:rPr>
        <w:t>- prihodi i primitci</w:t>
      </w:r>
      <w:r w:rsidRPr="008D3A63">
        <w:rPr>
          <w:rFonts w:ascii="Arial" w:hAnsi="Arial" w:cs="Arial"/>
        </w:rPr>
        <w:tab/>
        <w:t xml:space="preserve">                   </w:t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  <w:t>2.938.730,00 eur</w:t>
      </w:r>
    </w:p>
    <w:p w:rsidR="00836E3A" w:rsidRPr="008D3A63" w:rsidRDefault="00836E3A" w:rsidP="00836E3A">
      <w:pPr>
        <w:jc w:val="both"/>
        <w:rPr>
          <w:rFonts w:ascii="Arial" w:hAnsi="Arial" w:cs="Arial"/>
        </w:rPr>
      </w:pPr>
      <w:r w:rsidRPr="008D3A63">
        <w:rPr>
          <w:rFonts w:ascii="Arial" w:hAnsi="Arial" w:cs="Arial"/>
        </w:rPr>
        <w:t>- rashodi i izdaci</w:t>
      </w:r>
      <w:r w:rsidRPr="008D3A63">
        <w:rPr>
          <w:rFonts w:ascii="Arial" w:hAnsi="Arial" w:cs="Arial"/>
        </w:rPr>
        <w:tab/>
        <w:t xml:space="preserve">                   </w:t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</w:r>
      <w:r w:rsidRPr="008D3A63">
        <w:rPr>
          <w:rFonts w:ascii="Arial" w:hAnsi="Arial" w:cs="Arial"/>
        </w:rPr>
        <w:tab/>
        <w:t>3.047.463,75 eur</w:t>
      </w:r>
    </w:p>
    <w:p w:rsidR="00836E3A" w:rsidRPr="001622A8" w:rsidRDefault="00836E3A" w:rsidP="00836E3A">
      <w:pPr>
        <w:jc w:val="both"/>
        <w:rPr>
          <w:rFonts w:ascii="Arial" w:hAnsi="Arial" w:cs="Arial"/>
          <w:color w:val="FF0000"/>
        </w:rPr>
      </w:pPr>
    </w:p>
    <w:p w:rsidR="00836E3A" w:rsidRDefault="00836E3A" w:rsidP="00836E3A">
      <w:pPr>
        <w:jc w:val="both"/>
        <w:rPr>
          <w:rFonts w:ascii="Arial" w:hAnsi="Arial" w:cs="Arial"/>
        </w:rPr>
      </w:pPr>
    </w:p>
    <w:p w:rsidR="00836E3A" w:rsidRDefault="00836E3A" w:rsidP="00836E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:rsidR="00836E3A" w:rsidRDefault="00836E3A" w:rsidP="00836E3A">
      <w:pPr>
        <w:jc w:val="center"/>
        <w:rPr>
          <w:rFonts w:ascii="Arial" w:hAnsi="Arial" w:cs="Arial"/>
          <w:b/>
          <w:bCs/>
        </w:rPr>
      </w:pPr>
    </w:p>
    <w:p w:rsidR="00836E3A" w:rsidRDefault="00836E3A" w:rsidP="00836E3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danom donošenja, a objavit će se u « Službenom glasniku « Općine Gornji </w:t>
      </w:r>
      <w:proofErr w:type="spellStart"/>
      <w:r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, te primjenjivati od 01. siječnja 2025.</w:t>
      </w:r>
    </w:p>
    <w:p w:rsidR="00836E3A" w:rsidRDefault="00836E3A" w:rsidP="00836E3A">
      <w:pPr>
        <w:rPr>
          <w:rFonts w:ascii="Arial" w:hAnsi="Arial" w:cs="Arial"/>
        </w:rPr>
      </w:pPr>
    </w:p>
    <w:p w:rsidR="00836E3A" w:rsidRDefault="00836E3A" w:rsidP="00836E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836E3A" w:rsidRDefault="00836E3A" w:rsidP="00836E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BRODSKO – POSAVSKA ŽUPANIJA</w:t>
      </w:r>
    </w:p>
    <w:p w:rsidR="00836E3A" w:rsidRDefault="00836E3A" w:rsidP="00836E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OPĆINA GORNJI BOGIĆEVCI</w:t>
      </w:r>
    </w:p>
    <w:p w:rsidR="00836E3A" w:rsidRDefault="00836E3A" w:rsidP="00836E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 vijeće</w:t>
      </w:r>
    </w:p>
    <w:p w:rsidR="00836E3A" w:rsidRDefault="00836E3A" w:rsidP="00836E3A">
      <w:pPr>
        <w:jc w:val="center"/>
        <w:rPr>
          <w:rFonts w:ascii="Arial" w:hAnsi="Arial" w:cs="Arial"/>
        </w:rPr>
      </w:pPr>
    </w:p>
    <w:p w:rsidR="00836E3A" w:rsidRPr="00182C93" w:rsidRDefault="00836E3A" w:rsidP="00836E3A">
      <w:pPr>
        <w:rPr>
          <w:rFonts w:ascii="Arial" w:hAnsi="Arial" w:cs="Arial"/>
        </w:rPr>
      </w:pPr>
      <w:r w:rsidRPr="00182C93">
        <w:rPr>
          <w:rFonts w:ascii="Arial" w:hAnsi="Arial" w:cs="Arial"/>
        </w:rPr>
        <w:t>Klasa : 400-0</w:t>
      </w:r>
      <w:r>
        <w:rPr>
          <w:rFonts w:ascii="Arial" w:hAnsi="Arial" w:cs="Arial"/>
        </w:rPr>
        <w:t>5</w:t>
      </w:r>
      <w:r w:rsidRPr="00182C93">
        <w:rPr>
          <w:rFonts w:ascii="Arial" w:hAnsi="Arial" w:cs="Arial"/>
        </w:rPr>
        <w:t>/2</w:t>
      </w:r>
      <w:r>
        <w:rPr>
          <w:rFonts w:ascii="Arial" w:hAnsi="Arial" w:cs="Arial"/>
        </w:rPr>
        <w:t>4</w:t>
      </w:r>
      <w:r w:rsidRPr="00182C93">
        <w:rPr>
          <w:rFonts w:ascii="Arial" w:hAnsi="Arial" w:cs="Arial"/>
        </w:rPr>
        <w:t>-01/01</w:t>
      </w:r>
    </w:p>
    <w:p w:rsidR="00836E3A" w:rsidRPr="00182C93" w:rsidRDefault="00836E3A" w:rsidP="00836E3A">
      <w:pPr>
        <w:rPr>
          <w:rFonts w:ascii="Arial" w:hAnsi="Arial" w:cs="Arial"/>
        </w:rPr>
      </w:pPr>
      <w:proofErr w:type="spellStart"/>
      <w:r w:rsidRPr="00182C93">
        <w:rPr>
          <w:rFonts w:ascii="Arial" w:hAnsi="Arial" w:cs="Arial"/>
        </w:rPr>
        <w:t>Urbroj</w:t>
      </w:r>
      <w:proofErr w:type="spellEnd"/>
      <w:r w:rsidRPr="00182C93">
        <w:rPr>
          <w:rFonts w:ascii="Arial" w:hAnsi="Arial" w:cs="Arial"/>
        </w:rPr>
        <w:t xml:space="preserve"> : 2178-22-03-2</w:t>
      </w:r>
      <w:r>
        <w:rPr>
          <w:rFonts w:ascii="Arial" w:hAnsi="Arial" w:cs="Arial"/>
        </w:rPr>
        <w:t>4</w:t>
      </w:r>
      <w:r w:rsidRPr="00182C93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</w:p>
    <w:p w:rsidR="00836E3A" w:rsidRPr="00182C93" w:rsidRDefault="00836E3A" w:rsidP="00836E3A">
      <w:pPr>
        <w:rPr>
          <w:rFonts w:ascii="Arial" w:hAnsi="Arial" w:cs="Arial"/>
        </w:rPr>
      </w:pPr>
    </w:p>
    <w:p w:rsidR="00836E3A" w:rsidRPr="00182C93" w:rsidRDefault="00836E3A" w:rsidP="00836E3A">
      <w:pPr>
        <w:rPr>
          <w:rFonts w:ascii="Arial" w:hAnsi="Arial" w:cs="Arial"/>
        </w:rPr>
      </w:pPr>
      <w:r w:rsidRPr="00182C93">
        <w:rPr>
          <w:rFonts w:ascii="Arial" w:hAnsi="Arial" w:cs="Arial"/>
        </w:rPr>
        <w:t xml:space="preserve">Gornji </w:t>
      </w:r>
      <w:proofErr w:type="spellStart"/>
      <w:r w:rsidRPr="00182C93">
        <w:rPr>
          <w:rFonts w:ascii="Arial" w:hAnsi="Arial" w:cs="Arial"/>
        </w:rPr>
        <w:t>Bogićevci</w:t>
      </w:r>
      <w:proofErr w:type="spellEnd"/>
      <w:r w:rsidRPr="00182C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19</w:t>
      </w:r>
      <w:r w:rsidRPr="00182C93">
        <w:rPr>
          <w:rFonts w:ascii="Arial" w:hAnsi="Arial" w:cs="Arial"/>
        </w:rPr>
        <w:t>. prosinca  202</w:t>
      </w:r>
      <w:r>
        <w:rPr>
          <w:rFonts w:ascii="Arial" w:hAnsi="Arial" w:cs="Arial"/>
        </w:rPr>
        <w:t>4</w:t>
      </w:r>
      <w:r w:rsidRPr="00182C93">
        <w:rPr>
          <w:rFonts w:ascii="Arial" w:hAnsi="Arial" w:cs="Arial"/>
        </w:rPr>
        <w:t xml:space="preserve">.  </w:t>
      </w:r>
    </w:p>
    <w:p w:rsidR="00836E3A" w:rsidRPr="00182C93" w:rsidRDefault="00836E3A" w:rsidP="00836E3A">
      <w:pPr>
        <w:rPr>
          <w:rFonts w:ascii="Arial" w:hAnsi="Arial" w:cs="Arial"/>
        </w:rPr>
      </w:pPr>
    </w:p>
    <w:p w:rsidR="00836E3A" w:rsidRPr="00182C93" w:rsidRDefault="00836E3A" w:rsidP="00836E3A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>Predsjednik Općinskog vijeća</w:t>
      </w:r>
    </w:p>
    <w:p w:rsidR="00836E3A" w:rsidRPr="00182C93" w:rsidRDefault="00836E3A" w:rsidP="00836E3A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</w:t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Općine Gornji </w:t>
      </w:r>
      <w:proofErr w:type="spellStart"/>
      <w:r w:rsidRPr="00182C93">
        <w:rPr>
          <w:rFonts w:ascii="Arial" w:hAnsi="Arial" w:cs="Arial"/>
        </w:rPr>
        <w:t>Bogićevci</w:t>
      </w:r>
      <w:proofErr w:type="spellEnd"/>
    </w:p>
    <w:p w:rsidR="00836E3A" w:rsidRPr="00836E3A" w:rsidRDefault="00836E3A" w:rsidP="00836E3A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          </w:t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>Željko Klarić</w:t>
      </w:r>
      <w:bookmarkEnd w:id="0"/>
    </w:p>
    <w:p w:rsidR="00A620C5" w:rsidRDefault="00A620C5" w:rsidP="00A620C5">
      <w:pPr>
        <w:rPr>
          <w:rFonts w:ascii="Arial" w:hAnsi="Arial" w:cs="Arial"/>
        </w:rPr>
      </w:pPr>
    </w:p>
    <w:p w:rsidR="00A620C5" w:rsidRDefault="00A620C5" w:rsidP="00A620C5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807"/>
        <w:gridCol w:w="799"/>
        <w:gridCol w:w="792"/>
        <w:gridCol w:w="786"/>
        <w:gridCol w:w="822"/>
        <w:gridCol w:w="998"/>
        <w:gridCol w:w="1071"/>
        <w:gridCol w:w="1071"/>
        <w:gridCol w:w="1071"/>
        <w:gridCol w:w="1071"/>
      </w:tblGrid>
      <w:tr w:rsidR="00A620C5" w:rsidRPr="00A620C5" w:rsidTr="00A620C5">
        <w:trPr>
          <w:trHeight w:val="8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OPĆINE GORNJI BOGIĆEVCI ZA 2025. I PROJEKCIJA ZA 2026. I 2027. GODINU</w:t>
            </w:r>
          </w:p>
        </w:tc>
      </w:tr>
      <w:tr w:rsidR="00A620C5" w:rsidRPr="00A620C5" w:rsidTr="00A620C5">
        <w:trPr>
          <w:trHeight w:val="7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 xml:space="preserve">        Na temelju članka 42. stavak 1. Zakona o proračunu ("Narodne novine", broj 144/21) i članka 39. stavak 5. Statuta općine Gornji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("Službeni vjesnik općine Gornji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br.02/21), OPĆINSKO VIJEĆE OPĆINE GORNJI BOGIĆEVCI na 21. sjednici održanoj  19.12.2024.  godine donijelo je</w:t>
            </w:r>
          </w:p>
        </w:tc>
      </w:tr>
      <w:tr w:rsidR="00A620C5" w:rsidRPr="00A620C5" w:rsidTr="00A620C5">
        <w:trPr>
          <w:trHeight w:val="11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OPĆINE GORNJI BOGIĆEVCI ZA 2025. GODINU I PROJEKCIJE ZA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2026. I 2027. GODINU</w:t>
            </w: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        Proračun općine Gornji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za 2025. godinu (dalje u tekstu: Proračun) i projekcije za 2026. i 2027. godinu sastoji se od:</w:t>
            </w:r>
          </w:p>
        </w:tc>
      </w:tr>
      <w:tr w:rsidR="00A620C5" w:rsidRPr="00A620C5" w:rsidTr="00A620C5">
        <w:trPr>
          <w:trHeight w:val="49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A620C5" w:rsidRPr="00A620C5" w:rsidTr="00A620C5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Proračun za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2027.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PRIHODI UKUPNO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951.320,58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1.729.572,00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2.922.230,00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2.037.500,00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939.703,11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2.862.230,00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1.880.500,00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1.992.500,00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RASHODI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620C5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620C5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897.200,97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1.745.518,00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2.900.463,75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1.160.500,00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1.306.842,00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RASHODI  POSLOVANJA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513.599,56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790.898,00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1.050.292,00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567.750,00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383.601,41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954.620,00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1.850.171,75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739.092,00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54.119,61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-15.946,00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21.766,25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730.658,00</w:t>
            </w: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A620C5" w:rsidRPr="00A620C5" w:rsidTr="00A620C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Proračun za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2027.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-521.601,60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-898.374,00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-114.875,75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523.058,00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897.000,00</w:t>
            </w: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A620C5" w:rsidRPr="00A620C5" w:rsidTr="00A620C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Proračun za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2027.</w:t>
            </w:r>
          </w:p>
        </w:tc>
      </w:tr>
      <w:tr w:rsidR="00A620C5" w:rsidRPr="00A620C5" w:rsidTr="00A620C5">
        <w:trPr>
          <w:trHeight w:val="6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UKUPAN DONOS VIŠKA / MANJKA IZ PRETHODNE(IH) GODINE***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193.029,94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-240.326,00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-203.733,75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897.000,00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-729.548,00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-659.548,00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219.358,00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87.058,00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lang w:eastAsia="hr-HR"/>
              </w:rPr>
              <w:t>VIŠAK / MANJAK + NETO FINANCIRANJE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-467.481,99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-914.320,00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-93.109,50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1.288.058,00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1.627.658,00</w:t>
            </w:r>
          </w:p>
        </w:tc>
      </w:tr>
      <w:tr w:rsidR="00A620C5" w:rsidRPr="00A620C5" w:rsidTr="00A620C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*** Napomena: Redak UKUPAN DONOS VIŠKA/MANJKA IZ PRETHODNE(IH) GODINA služi kao informacija i ne uzima se u obzir kod uravnoteženja proračuna, već se proračun uravnotežuje retkom VIŠAK/MANJAK IZ PRETHODNE(IH) GODINE KOJI ĆE SE POKRITI/RASPOREDITI.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217A2" w:rsidRDefault="002217A2" w:rsidP="00B863A6"/>
    <w:p w:rsidR="002217A2" w:rsidRDefault="002217A2" w:rsidP="00B863A6"/>
    <w:tbl>
      <w:tblPr>
        <w:tblW w:w="0" w:type="auto"/>
        <w:tblLook w:val="04A0"/>
      </w:tblPr>
      <w:tblGrid>
        <w:gridCol w:w="682"/>
        <w:gridCol w:w="759"/>
        <w:gridCol w:w="542"/>
        <w:gridCol w:w="1479"/>
        <w:gridCol w:w="1054"/>
        <w:gridCol w:w="1193"/>
        <w:gridCol w:w="1193"/>
        <w:gridCol w:w="1193"/>
        <w:gridCol w:w="1193"/>
      </w:tblGrid>
      <w:tr w:rsidR="00A620C5" w:rsidRPr="00A620C5" w:rsidTr="00A620C5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A620C5" w:rsidRPr="00A620C5" w:rsidTr="00A620C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A620C5" w:rsidRPr="00A620C5" w:rsidTr="00A620C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40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Prihodi i rashodi te primici i izdaci po ekonomskoj i funkcijskoj klasifikaciji utvrđuju se u Računu prihoda i rashoda i Računu financiranja u Proračunu za 2025. i projekcijama za 2026. i 2027. godinu, kako slijedi: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</w:t>
            </w:r>
          </w:p>
        </w:tc>
      </w:tr>
      <w:tr w:rsidR="00A620C5" w:rsidRPr="00A620C5" w:rsidTr="00A620C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2023.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2025.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 -EUR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939.703,11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2.862.230,00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1.880.500,00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1.992.500,00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188.765,61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Pomoći iz inozemstva  i od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subjek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588.592,13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1.295.937,00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2.394.065,00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1.500.000,00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572.043,20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937.292,00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1.089.400,00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1.083.300,00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gradskih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općinskih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8.880,94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Ostale pomoći i darovnice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5.013,53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1.343.350,00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404.000,00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fond za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reg.raz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(EFRR)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1.343.350,00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404.000,00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polj.fond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rur.raz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(EPFRR)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49.773,86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A620C5" w:rsidRPr="00A620C5" w:rsidTr="00A620C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Prihodi od upravnih i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adm.prist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.,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prist.po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posebn.propisima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101.430,66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102.220,00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78.226,17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23.204,49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prod.proizv.i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pruž.usluga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6.948,09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6.948,09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6.500,00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4.192,76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A620C5" w:rsidRPr="00A620C5" w:rsidTr="00A620C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45.000,00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nefin.im.i naknade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UKUPNO 6 + 7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951.320,58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1.729.572,00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2.922.230,00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1.925.500,00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2.037.500,00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RASHODI </w:t>
            </w: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za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 -EUR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513.599,56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790.898,00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1.050.292,00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552.700,00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567.750,00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155.087,00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250.917,00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103.907,91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78.250,00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15.257,20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16.393,89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203.090,65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54.000,62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Pomoći državnog </w:t>
            </w: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lastRenderedPageBreak/>
              <w:t>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lastRenderedPageBreak/>
              <w:t>102.831,40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242.120,00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16.258,63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općinskih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nefin.im.i naknade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1.641,04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1.750,00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1.641,04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1.750,00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7.118,07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41.820,62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37.398,09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4.422,53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27.562,24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27.562,24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96.807,94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225.191,00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340.775,00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96.807,94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225.191,00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340.775,00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383.601,41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954.620,00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1.850.171,75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607.800,00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739.092,00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nefin.im.i naknade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proizved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dugotrajne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375.051,41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942.970,00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1.838.521,75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599.800,00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731.092,00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361.558,19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325.492,00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13.493,22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404.000,00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nefin.im.i naknade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nefin.imovini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UKUPNO 3+4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897.200,97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1.745.518,00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2.900.463,75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1.160.500,00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1.306.842,00</w:t>
            </w:r>
          </w:p>
        </w:tc>
      </w:tr>
    </w:tbl>
    <w:p w:rsidR="002217A2" w:rsidRDefault="002217A2" w:rsidP="00B863A6"/>
    <w:p w:rsidR="002217A2" w:rsidRDefault="002217A2" w:rsidP="00B863A6"/>
    <w:tbl>
      <w:tblPr>
        <w:tblW w:w="0" w:type="auto"/>
        <w:tblLook w:val="04A0"/>
      </w:tblPr>
      <w:tblGrid>
        <w:gridCol w:w="2493"/>
        <w:gridCol w:w="1266"/>
        <w:gridCol w:w="1288"/>
        <w:gridCol w:w="1381"/>
        <w:gridCol w:w="1430"/>
        <w:gridCol w:w="1430"/>
      </w:tblGrid>
      <w:tr w:rsidR="00A620C5" w:rsidRPr="00A620C5" w:rsidTr="00A620C5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A620C5" w:rsidRPr="00A620C5" w:rsidTr="00A620C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A620C5" w:rsidRPr="00A620C5" w:rsidTr="00A620C5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RASHODI PREMA FUNKCIJSKOJ KLASIFIKACIJI</w:t>
            </w:r>
          </w:p>
        </w:tc>
      </w:tr>
      <w:tr w:rsidR="00A620C5" w:rsidRPr="00A620C5" w:rsidTr="00A620C5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A620C5" w:rsidRPr="00A620C5" w:rsidTr="00A620C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2027.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910.512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1.799.515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2.804.189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1.591.770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991.770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01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115.098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184.975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172.650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172.650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011 Izvršna i zakonodavna tijela, financijski i fiskalni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95.731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106.155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140.740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150.700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013 Opće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016 Opće javne usluge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18.900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018 Prijenosi općeg karaktera između različitih državnih razina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03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032 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04 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127.590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140.184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155.400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042 Opći ekonomski, trgovački i poslovi vezani uz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57.590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100183,80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105.400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045 Promet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102.316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233.435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219.782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203.200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052 Gospodarenje otpadnim vodama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056 Poslovi i usluge zaštite okoliša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101.116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232.235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218.582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201.800</w:t>
            </w:r>
          </w:p>
        </w:tc>
      </w:tr>
      <w:tr w:rsidR="00A620C5" w:rsidRPr="00A620C5" w:rsidTr="00A620C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06 Usluge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unapijeđenja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368.193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1.164.145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2.041.453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875.300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275.300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062 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225.100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210.090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303.030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063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Oskrba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vodom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230.660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68.300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064 Ulična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24.000</w:t>
            </w:r>
          </w:p>
        </w:tc>
      </w:tr>
      <w:tr w:rsidR="00A620C5" w:rsidRPr="00A620C5" w:rsidTr="00A620C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136.093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439.955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1.383.763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773.600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173.600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 xml:space="preserve">07 Zdravstvo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46.500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076 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46.500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59.740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60.885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56.020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56.020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081 Službe rekreacije i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27.400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082 Službe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083 Službe emitiranja i izdavanja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086 Rashodi za rekreaciju, kulturu i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religijukoji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29.085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29.935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30.345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18.620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09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67.000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092 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095 Obrazovanje koje se ne može definirati po stupnju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 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104 Obitelj i djeca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107 Socijalne pomoći stanovništvu koje nije obuhvaćeno redovnim socijalnim programom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109 Aktivnosti socijalne zaštite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4.500</w:t>
            </w:r>
          </w:p>
        </w:tc>
      </w:tr>
    </w:tbl>
    <w:p w:rsidR="002217A2" w:rsidRDefault="002217A2" w:rsidP="00B863A6"/>
    <w:p w:rsidR="002217A2" w:rsidRDefault="002217A2" w:rsidP="00B863A6"/>
    <w:p w:rsidR="002217A2" w:rsidRDefault="002217A2" w:rsidP="00B863A6"/>
    <w:tbl>
      <w:tblPr>
        <w:tblW w:w="0" w:type="auto"/>
        <w:tblLook w:val="04A0"/>
      </w:tblPr>
      <w:tblGrid>
        <w:gridCol w:w="845"/>
        <w:gridCol w:w="951"/>
        <w:gridCol w:w="657"/>
        <w:gridCol w:w="1277"/>
        <w:gridCol w:w="1057"/>
        <w:gridCol w:w="1057"/>
        <w:gridCol w:w="1162"/>
        <w:gridCol w:w="1141"/>
        <w:gridCol w:w="1141"/>
      </w:tblGrid>
      <w:tr w:rsidR="00A620C5" w:rsidRPr="00A620C5" w:rsidTr="00A620C5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primitka / izdatka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2024.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za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 -EUR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prodaje udjela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620C5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217A2" w:rsidRDefault="002217A2" w:rsidP="00B863A6"/>
    <w:p w:rsidR="002217A2" w:rsidRDefault="002217A2" w:rsidP="00B863A6"/>
    <w:tbl>
      <w:tblPr>
        <w:tblW w:w="0" w:type="auto"/>
        <w:tblLook w:val="04A0"/>
      </w:tblPr>
      <w:tblGrid>
        <w:gridCol w:w="365"/>
        <w:gridCol w:w="346"/>
        <w:gridCol w:w="511"/>
        <w:gridCol w:w="2381"/>
        <w:gridCol w:w="1137"/>
        <w:gridCol w:w="1137"/>
        <w:gridCol w:w="1137"/>
        <w:gridCol w:w="1137"/>
        <w:gridCol w:w="1137"/>
      </w:tblGrid>
      <w:tr w:rsidR="00A620C5" w:rsidRPr="00A620C5" w:rsidTr="00A620C5">
        <w:trPr>
          <w:trHeight w:val="4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20C5" w:rsidRPr="00A620C5" w:rsidTr="00A620C5">
        <w:trPr>
          <w:trHeight w:val="9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Rashodi poslovanja i rashodi za nabavu nefinancijske imovine u Proračunu u ukupnoj svoti od 2.804.189,00 eura za 2025. godinu i izdaci za financijsku imovinu i otplate zajmova od 147.000 eura za 2025. godinu raspoređuju se po korisnicima i programima u Posebnom dijelu Proračuna,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620C5" w:rsidRPr="00A620C5" w:rsidTr="00A620C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10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proračuna  za 2023.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proračuna za 2024.-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proračuna za 2025.-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 - EUR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UKPNO RASHODI: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910.512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1.799.515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2.804.189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1.591.770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991.770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831.272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2.714.129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1.517.450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917.450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ODJELA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Nabava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nef.imovine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USTANOVE ŠKOLSTVA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</w:t>
            </w:r>
          </w:p>
        </w:tc>
      </w:tr>
      <w:tr w:rsidR="00A620C5" w:rsidRPr="00A620C5" w:rsidTr="00A620C5">
        <w:trPr>
          <w:trHeight w:val="5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predškolskog odgoja- korisnik Dječji vrtić 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rada vrtića za grupu djece Općine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iznad standarda u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za predškolsko, osnovnoškolsko i 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školskih ustanova na području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A620C5" w:rsidRPr="00A620C5" w:rsidTr="00A620C5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i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kapit.don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Jednokratne pomoći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86.100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 i udruge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Udruge građana u području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Djelatnost Narodne knjižnice i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čitaonuice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Grigor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Vitez"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G.B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 i stručno osoblje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Izvor </w:t>
            </w: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financiranja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uredske opreme i namještaja u knjižnici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knjižne građe u knjižnici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nematerijalne imovine u knjižnici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Religiozne potrebe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za izgradnju, obnovu i održavanje sakralnih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tek. i kap.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povjesnih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znamenitosti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Arheološka iskapanja na Utvrdi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Ivanovaca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"Bedem"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nab.neproizv.dugotr.imov.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nab.neproizv.dugotr.imov.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 stvaranju uvjeta za rekreaciju 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Donacije udrugama u sportu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Sportske manifestacije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 USLUGE U ZDRAVSTVU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Preventiva i pomoći zdravstvenim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</w:tr>
      <w:tr w:rsidR="00A620C5" w:rsidRPr="00A620C5" w:rsidTr="00A620C5">
        <w:trPr>
          <w:trHeight w:val="9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Deratizacija, dezinsekcija i zdravstvene usluge (analiza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vode.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</w:t>
            </w: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pomoći zdravstvenim organizacijama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103.700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socijalne skrbi i novčanih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Poticajne mjere demografske obnove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za novorođenče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u rješavanju prve stambene nekretnine mladih obitelji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skrb kroz udruge i druge organizacije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djelatnost Crvenog križa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udruge umirovljenika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ostalih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izgradnje vodnih objekata javnim trg. Društvima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227.560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227.560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227.560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I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</w:tr>
      <w:tr w:rsidR="00A620C5" w:rsidRPr="00A620C5" w:rsidTr="00A620C5">
        <w:trPr>
          <w:trHeight w:val="3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Izdaci za financijsku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imov.i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otpl.zaj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primeljenih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VATROGASTVO, ZAŠTITA I SPAŠAVANJE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i spašavanje od požara i drugih nepogoda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 i 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don.DVD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-u i PP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Okučani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10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 - Uređenje privremenog vatrogasnog spremišta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 - Gradnja novoga vatrogasnog doma s garažama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5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Subvencioniranje novih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mikropoduzetnika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OPG-a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Ulaganja u Poduzetničku zonu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Materijalni rashodi -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izmještanje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ODRŽAVANJE KOMUNALNE INFRASTRUKTURE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474.867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 vlastitog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249.500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Administrativno, tehničko i stručno osoblje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146.100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Zajednička služba komunalnog redarstva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A620C5" w:rsidRPr="00A620C5" w:rsidTr="00A620C5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Opremanje i sitni inventar vlastitog Komunalnog pogona (oprema i sitni inventar)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A620C5" w:rsidRPr="00A620C5" w:rsidTr="00A620C5">
        <w:trPr>
          <w:trHeight w:val="8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javnih radova na održavanju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Tehničko osoblje na održavanju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61.600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i uređenje groblja, mrtvačnica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Betoniranje staza po groblju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vodocrpilišta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A620C5" w:rsidRPr="00A620C5" w:rsidTr="00A620C5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sistema odvodnje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ostalih javnih površina-igrališta, parkirališta, spomenici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KOMUNALNE INFRASTRUKTURE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prometne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i izgradnja cesta i nogostupa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A620C5" w:rsidRPr="00A620C5" w:rsidTr="00A620C5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A620C5" w:rsidRPr="00A620C5" w:rsidTr="00A620C5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Pametna općina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Digitalizacija - uvođenje "pametnih" rješenja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Prihodi od prodaje ili zamjene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nef.im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Zgrade društvene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Investicije u gradnju u rekonstrukciju društvenih domova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Unaprjeđenje ostale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i rekonstrukcija ostale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kom.infrastrukture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Prihodi od prodaje ili zamjene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nef.im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KORIŠTENJE OBNOVLJIVIH IZVORA ENERGIJE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8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infrastrukture koja omogućuje korištenje obnovljive izvore energije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Postavljanje 5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fotonaponskih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elektrana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GLAVA 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IZVRŠNO TIJELO </w:t>
            </w: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7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općinom i donošenje akata i mjera iz djelokruga izvršnih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A620C5" w:rsidRPr="00A620C5" w:rsidTr="00A620C5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Donošenje akata i mjera iz djelokruga izvršnih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Materijalni rashodi -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vjećničke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Tekuća zaliha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Obilježavanje Dana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Sjećanja na Domovinski 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UDVDR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putem radija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Radio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Osnovne funkcije političkih stranaka 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 nacionalnih manjina i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A620C5" w:rsidRPr="00A620C5" w:rsidTr="00A620C5">
        <w:trPr>
          <w:trHeight w:val="5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Aktivnosti </w:t>
            </w:r>
            <w:proofErr w:type="spellStart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vjeća</w:t>
            </w:r>
            <w:proofErr w:type="spellEnd"/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dugotr.imov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- SPOMENIK U RATKOVCU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A620C5" w:rsidRPr="00A620C5" w:rsidTr="00A620C5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 i manifestacije inicijativa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 za poboljšanje uvjeta života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Prihodi od prodaje ili zamjene </w:t>
            </w:r>
            <w:proofErr w:type="spellStart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nef.im</w:t>
            </w:r>
            <w:proofErr w:type="spellEnd"/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III. ZAVRŠNE ODREDBE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20C5" w:rsidRPr="00A620C5" w:rsidTr="00A620C5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20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  <w:r w:rsidRPr="00A620C5">
              <w:rPr>
                <w:rFonts w:ascii="Ariel" w:eastAsia="Times New Roman" w:hAnsi="Ariel" w:cs="Calibri"/>
                <w:color w:val="000000"/>
                <w:lang w:eastAsia="hr-HR"/>
              </w:rPr>
              <w:t xml:space="preserve">                 Ovaj Proračun objavit će se u »Službenom glasniku općine Gornji </w:t>
            </w:r>
            <w:proofErr w:type="spellStart"/>
            <w:r w:rsidRPr="00A620C5">
              <w:rPr>
                <w:rFonts w:ascii="Ariel" w:eastAsia="Times New Roman" w:hAnsi="Ariel" w:cs="Calibri"/>
                <w:color w:val="000000"/>
                <w:lang w:eastAsia="hr-HR"/>
              </w:rPr>
              <w:t>Bogićevci</w:t>
            </w:r>
            <w:proofErr w:type="spellEnd"/>
            <w:r w:rsidRPr="00A620C5">
              <w:rPr>
                <w:rFonts w:ascii="Ariel" w:eastAsia="Times New Roman" w:hAnsi="Ariel" w:cs="Calibri"/>
                <w:color w:val="000000"/>
                <w:lang w:eastAsia="hr-HR"/>
              </w:rPr>
              <w:t>«, a stupa na snagu 1. siječnja 2025. godine.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8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Klasa: 400-05/24-01/01</w:t>
            </w: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br/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Urbroj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: 2178-22-03/1-24-1</w:t>
            </w: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Gornji </w:t>
            </w:r>
            <w:proofErr w:type="spellStart"/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Bogićevci</w:t>
            </w:r>
            <w:proofErr w:type="spellEnd"/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, 19. prosinca 2024.godine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Predsjednik OV:</w:t>
            </w: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br/>
              <w:t>Željko Klarić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20C5" w:rsidRPr="00A620C5" w:rsidTr="00A620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20C5">
              <w:rPr>
                <w:rFonts w:ascii="Arial" w:eastAsia="Times New Roman" w:hAnsi="Arial" w:cs="Arial"/>
                <w:color w:val="000000"/>
                <w:lang w:eastAsia="hr-HR"/>
              </w:rPr>
              <w:t>Željko Klarić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0C5" w:rsidRPr="00A620C5" w:rsidRDefault="00A620C5" w:rsidP="00A6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217A2" w:rsidRDefault="002217A2" w:rsidP="00B863A6"/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</w:t>
      </w: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  <w:r w:rsidRPr="00D918F4">
        <w:rPr>
          <w:rFonts w:asciiTheme="majorHAnsi" w:hAnsiTheme="maj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</w:p>
    <w:p w:rsidR="002217A2" w:rsidRPr="00C442E6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lang w:eastAsia="ar-SA"/>
        </w:rPr>
        <w:t>R E P U B L I K A    H R V A T S K A</w:t>
      </w:r>
    </w:p>
    <w:p w:rsidR="002217A2" w:rsidRPr="00C442E6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lang w:eastAsia="ar-SA"/>
        </w:rPr>
        <w:t>BRODSKO-POSAVSKA ŽUPANIJA</w:t>
      </w:r>
    </w:p>
    <w:p w:rsidR="002217A2" w:rsidRPr="00C442E6" w:rsidRDefault="002217A2" w:rsidP="002217A2">
      <w:pPr>
        <w:spacing w:after="0" w:line="240" w:lineRule="auto"/>
        <w:rPr>
          <w:rFonts w:ascii="Times New Roman" w:hAnsi="Times New Roman"/>
          <w:lang w:eastAsia="ar-SA"/>
        </w:rPr>
      </w:pPr>
      <w:r w:rsidRPr="00C442E6">
        <w:rPr>
          <w:rFonts w:ascii="Times New Roman" w:hAnsi="Times New Roman"/>
          <w:b/>
          <w:bCs/>
          <w:sz w:val="24"/>
          <w:szCs w:val="24"/>
        </w:rPr>
        <w:lastRenderedPageBreak/>
        <w:t>OPĆINA GORNJI BOGIĆEVC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2217A2" w:rsidRDefault="002217A2" w:rsidP="002217A2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lang w:eastAsia="hi-IN" w:bidi="hi-IN"/>
        </w:rPr>
      </w:pPr>
      <w:r w:rsidRPr="00C442E6">
        <w:rPr>
          <w:rFonts w:ascii="Times New Roman" w:eastAsia="SimSun" w:hAnsi="Times New Roman"/>
          <w:b/>
          <w:kern w:val="2"/>
          <w:lang w:eastAsia="hi-IN" w:bidi="hi-IN"/>
        </w:rPr>
        <w:t>OPĆINSKI NAČELNIK</w:t>
      </w:r>
    </w:p>
    <w:p w:rsidR="002217A2" w:rsidRPr="00C442E6" w:rsidRDefault="002217A2" w:rsidP="002217A2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lang w:eastAsia="hi-IN" w:bidi="hi-IN"/>
        </w:rPr>
      </w:pPr>
    </w:p>
    <w:p w:rsidR="002217A2" w:rsidRPr="00D918F4" w:rsidRDefault="002217A2" w:rsidP="002217A2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eastAsia="hi-IN" w:bidi="hi-IN"/>
        </w:rPr>
      </w:pPr>
      <w:r w:rsidRPr="00D918F4">
        <w:rPr>
          <w:rFonts w:asciiTheme="majorHAnsi" w:eastAsia="SimSun" w:hAnsiTheme="majorHAnsi" w:cs="Calibri"/>
          <w:kern w:val="2"/>
          <w:lang w:eastAsia="hi-IN" w:bidi="hi-IN"/>
        </w:rPr>
        <w:t>KLASA: 406-</w:t>
      </w:r>
      <w:r>
        <w:rPr>
          <w:rFonts w:asciiTheme="majorHAnsi" w:eastAsia="SimSun" w:hAnsiTheme="majorHAnsi" w:cs="Calibri"/>
          <w:kern w:val="2"/>
          <w:lang w:eastAsia="hi-IN" w:bidi="hi-IN"/>
        </w:rPr>
        <w:t>01/24-03/01</w:t>
      </w:r>
    </w:p>
    <w:p w:rsidR="002217A2" w:rsidRPr="00D918F4" w:rsidRDefault="002217A2" w:rsidP="002217A2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 w:rsidRPr="00D918F4">
        <w:rPr>
          <w:rFonts w:asciiTheme="majorHAnsi" w:eastAsia="SimSun" w:hAnsiTheme="majorHAnsi" w:cs="Calibri"/>
          <w:kern w:val="2"/>
          <w:lang w:val="de-DE" w:eastAsia="hi-IN" w:bidi="hi-IN"/>
        </w:rPr>
        <w:t>URBROJ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: 21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78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-2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2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-0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1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-24-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1</w:t>
      </w:r>
    </w:p>
    <w:p w:rsidR="002217A2" w:rsidRPr="00D918F4" w:rsidRDefault="002217A2" w:rsidP="002217A2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>
        <w:rPr>
          <w:rFonts w:asciiTheme="majorHAnsi" w:eastAsia="SimSun" w:hAnsiTheme="majorHAnsi" w:cs="Calibri"/>
          <w:kern w:val="2"/>
          <w:lang w:val="sv-FI" w:eastAsia="hi-IN" w:bidi="hi-IN"/>
        </w:rPr>
        <w:t>Gornji Bogićevci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 xml:space="preserve">, </w:t>
      </w:r>
      <w:r>
        <w:rPr>
          <w:rFonts w:asciiTheme="majorHAnsi" w:eastAsia="SimSun" w:hAnsiTheme="majorHAnsi" w:cs="Calibri"/>
          <w:kern w:val="2"/>
          <w:lang w:val="sv-FI" w:eastAsia="hi-IN" w:bidi="hi-IN"/>
        </w:rPr>
        <w:t>19.12.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>2024. godine</w:t>
      </w:r>
    </w:p>
    <w:p w:rsidR="002217A2" w:rsidRDefault="002217A2" w:rsidP="002217A2">
      <w:pPr>
        <w:jc w:val="both"/>
        <w:rPr>
          <w:rFonts w:asciiTheme="majorHAnsi" w:hAnsiTheme="majorHAnsi"/>
        </w:rPr>
      </w:pPr>
    </w:p>
    <w:p w:rsidR="002217A2" w:rsidRDefault="002217A2" w:rsidP="002217A2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 temelju članka 15. stavka 2. Zakona o javnoj nabavi („Narodne novine“ broj 120/16</w:t>
      </w:r>
      <w:r>
        <w:rPr>
          <w:rFonts w:asciiTheme="majorHAnsi" w:hAnsiTheme="majorHAnsi"/>
        </w:rPr>
        <w:t xml:space="preserve"> i </w:t>
      </w:r>
      <w:r w:rsidRPr="002821F2">
        <w:rPr>
          <w:rFonts w:asciiTheme="majorHAnsi" w:hAnsiTheme="majorHAnsi"/>
        </w:rPr>
        <w:t>114/22</w:t>
      </w:r>
      <w:r>
        <w:rPr>
          <w:rFonts w:asciiTheme="majorHAnsi" w:hAnsiTheme="majorHAnsi"/>
        </w:rPr>
        <w:t>-dalje u tekstu: Zakon</w:t>
      </w:r>
      <w:r w:rsidRPr="002821F2">
        <w:rPr>
          <w:rFonts w:asciiTheme="majorHAnsi" w:hAnsiTheme="majorHAnsi"/>
        </w:rPr>
        <w:t xml:space="preserve">) i članka </w:t>
      </w:r>
      <w:r>
        <w:rPr>
          <w:rFonts w:asciiTheme="majorHAnsi" w:hAnsiTheme="majorHAnsi"/>
        </w:rPr>
        <w:t>39</w:t>
      </w:r>
      <w:r w:rsidRPr="002821F2">
        <w:rPr>
          <w:rFonts w:asciiTheme="majorHAnsi" w:hAnsiTheme="majorHAnsi"/>
        </w:rPr>
        <w:t xml:space="preserve">. Statuta Općine </w:t>
      </w:r>
      <w:r>
        <w:rPr>
          <w:rFonts w:asciiTheme="majorHAnsi" w:hAnsiTheme="majorHAnsi"/>
        </w:rPr>
        <w:t xml:space="preserve">Gornji </w:t>
      </w:r>
      <w:proofErr w:type="spellStart"/>
      <w:r>
        <w:rPr>
          <w:rFonts w:asciiTheme="majorHAnsi" w:hAnsiTheme="majorHAnsi"/>
        </w:rPr>
        <w:t>Bogićevci</w:t>
      </w:r>
      <w:proofErr w:type="spellEnd"/>
      <w:r w:rsidRPr="002821F2">
        <w:rPr>
          <w:rFonts w:asciiTheme="majorHAnsi" w:hAnsiTheme="majorHAnsi"/>
        </w:rPr>
        <w:t xml:space="preserve"> </w:t>
      </w:r>
      <w:r w:rsidRPr="007B3FEF">
        <w:rPr>
          <w:rFonts w:asciiTheme="majorHAnsi" w:hAnsiTheme="majorHAnsi"/>
        </w:rPr>
        <w:t>(''</w:t>
      </w:r>
      <w:proofErr w:type="spellStart"/>
      <w:r w:rsidRPr="007B3FEF">
        <w:rPr>
          <w:rFonts w:asciiTheme="majorHAnsi" w:hAnsiTheme="majorHAnsi"/>
        </w:rPr>
        <w:t>Sl.glasnik</w:t>
      </w:r>
      <w:proofErr w:type="spellEnd"/>
      <w:r w:rsidRPr="007B3FEF">
        <w:rPr>
          <w:rFonts w:asciiTheme="majorHAnsi" w:hAnsiTheme="majorHAnsi"/>
        </w:rPr>
        <w:t xml:space="preserve"> općine Gornji </w:t>
      </w:r>
      <w:proofErr w:type="spellStart"/>
      <w:r w:rsidRPr="007B3FEF">
        <w:rPr>
          <w:rFonts w:asciiTheme="majorHAnsi" w:hAnsiTheme="majorHAnsi"/>
        </w:rPr>
        <w:t>Bogićevci</w:t>
      </w:r>
      <w:proofErr w:type="spellEnd"/>
      <w:r w:rsidRPr="007B3FEF">
        <w:rPr>
          <w:rFonts w:asciiTheme="majorHAnsi" w:hAnsiTheme="majorHAnsi"/>
        </w:rPr>
        <w:t xml:space="preserve"> '' 02/21)</w:t>
      </w:r>
      <w:r w:rsidRPr="002821F2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Općinski načelnik Općine Gornji </w:t>
      </w:r>
      <w:proofErr w:type="spellStart"/>
      <w:r>
        <w:rPr>
          <w:rFonts w:asciiTheme="majorHAnsi" w:hAnsiTheme="majorHAnsi"/>
        </w:rPr>
        <w:t>Bogićevci</w:t>
      </w:r>
      <w:proofErr w:type="spellEnd"/>
      <w:r w:rsidRPr="002821F2">
        <w:rPr>
          <w:rFonts w:asciiTheme="majorHAnsi" w:hAnsiTheme="majorHAnsi"/>
        </w:rPr>
        <w:t xml:space="preserve"> dana </w:t>
      </w:r>
      <w:r>
        <w:rPr>
          <w:rFonts w:asciiTheme="majorHAnsi" w:hAnsiTheme="majorHAnsi"/>
        </w:rPr>
        <w:t>19.12.2024.</w:t>
      </w:r>
      <w:r w:rsidRPr="002821F2">
        <w:rPr>
          <w:rFonts w:asciiTheme="majorHAnsi" w:hAnsiTheme="majorHAnsi"/>
        </w:rPr>
        <w:t xml:space="preserve"> godine, donosi</w:t>
      </w:r>
      <w:r>
        <w:rPr>
          <w:rFonts w:asciiTheme="majorHAnsi" w:hAnsiTheme="majorHAnsi"/>
        </w:rPr>
        <w:t>:</w:t>
      </w:r>
    </w:p>
    <w:p w:rsidR="002217A2" w:rsidRPr="002821F2" w:rsidRDefault="002217A2" w:rsidP="002217A2">
      <w:pPr>
        <w:jc w:val="both"/>
        <w:rPr>
          <w:rFonts w:asciiTheme="majorHAnsi" w:hAnsiTheme="majorHAnsi"/>
        </w:rPr>
      </w:pP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PRAVILNIK</w:t>
      </w: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o provedbi postupaka jednostavne nabave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Pr="002821F2" w:rsidRDefault="002217A2" w:rsidP="002217A2">
      <w:pPr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I. OPĆE ODREDBE 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</w:rPr>
        <w:t>U svrhu poštivanja osnovnih načela javne nabave, zakonitog, namjenskog, svrhovitog i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transparentnog trošenja proračunskih sredstava Pravilnikom o provedbi postupaka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 xml:space="preserve">jednostavne nabave (u daljnjem tekstu: Pravilnik) uređuje se nabava </w:t>
      </w:r>
      <w:bookmarkStart w:id="1" w:name="_Hlk127859593"/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bookmarkEnd w:id="1"/>
      <w:r w:rsidRPr="002821F2">
        <w:rPr>
          <w:rFonts w:asciiTheme="majorHAnsi" w:hAnsiTheme="majorHAnsi"/>
        </w:rPr>
        <w:t xml:space="preserve">procijenjene vrijednosti do 26.540,00 </w:t>
      </w:r>
      <w:r>
        <w:rPr>
          <w:rFonts w:asciiTheme="majorHAnsi" w:hAnsiTheme="majorHAnsi"/>
        </w:rPr>
        <w:t>eura</w:t>
      </w:r>
      <w:r w:rsidRPr="002821F2">
        <w:rPr>
          <w:rFonts w:asciiTheme="majorHAnsi" w:hAnsiTheme="majorHAnsi"/>
        </w:rPr>
        <w:t xml:space="preserve"> za nabavu roba i usluga te 66.360,00 eura za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nabavu radova.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Nabava </w:t>
      </w:r>
      <w:bookmarkStart w:id="2" w:name="_Hlk127862237"/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bookmarkEnd w:id="2"/>
      <w:r w:rsidRPr="002821F2">
        <w:rPr>
          <w:rFonts w:asciiTheme="majorHAnsi" w:hAnsiTheme="majorHAnsi"/>
        </w:rPr>
        <w:t>do ovih vrijednosti sukladno odredbama Zakona o javnoj nabavi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izuzete su iz primjene Zakona o javnoj nabavi.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U provedbi postupaka nabave roba, radova i/ili usluga uz ovaj Pravilnik, obvezno je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 xml:space="preserve">primjenjivati i druge važeće zakonske i </w:t>
      </w:r>
      <w:proofErr w:type="spellStart"/>
      <w:r w:rsidRPr="002821F2">
        <w:rPr>
          <w:rFonts w:asciiTheme="majorHAnsi" w:hAnsiTheme="majorHAnsi"/>
        </w:rPr>
        <w:t>podzakonske</w:t>
      </w:r>
      <w:proofErr w:type="spellEnd"/>
      <w:r w:rsidRPr="002821F2">
        <w:rPr>
          <w:rFonts w:asciiTheme="majorHAnsi" w:hAnsiTheme="majorHAnsi"/>
        </w:rPr>
        <w:t xml:space="preserve"> akte, kao i interne akte, a koji se odnose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pojedini predmet nabave u smislu posebnih zakona</w:t>
      </w:r>
      <w:r>
        <w:rPr>
          <w:rFonts w:asciiTheme="majorHAnsi" w:hAnsiTheme="majorHAnsi"/>
        </w:rPr>
        <w:t>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100FBF">
        <w:rPr>
          <w:rFonts w:asciiTheme="majorHAnsi" w:hAnsiTheme="majorHAnsi"/>
        </w:rPr>
        <w:t>U provedbi jednostavne nabave koristi se mogućnost primjene elektroničkih sredstava komunikacije,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kao i korištenje sredstava koja nisu elektronička ili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njihova kombinacija.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Izrazi koji se koriste u ovome Pravilniku, a imaju rodno značenje odnose se jednako na</w:t>
      </w:r>
    </w:p>
    <w:p w:rsidR="002217A2" w:rsidRPr="002821F2" w:rsidRDefault="002217A2" w:rsidP="002217A2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muški i ženski rod.</w:t>
      </w:r>
    </w:p>
    <w:p w:rsidR="002217A2" w:rsidRDefault="002217A2" w:rsidP="002217A2">
      <w:pPr>
        <w:spacing w:after="0"/>
        <w:rPr>
          <w:rFonts w:asciiTheme="majorHAnsi" w:hAnsiTheme="majorHAnsi"/>
          <w:b/>
        </w:rPr>
      </w:pPr>
    </w:p>
    <w:p w:rsidR="002217A2" w:rsidRPr="000333FC" w:rsidRDefault="002217A2" w:rsidP="002217A2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II. </w:t>
      </w:r>
      <w:r w:rsidRPr="000333FC">
        <w:rPr>
          <w:rFonts w:asciiTheme="majorHAnsi" w:hAnsiTheme="majorHAnsi"/>
          <w:b/>
        </w:rPr>
        <w:t>TEMELJNI POJMOVI</w:t>
      </w:r>
    </w:p>
    <w:p w:rsidR="002217A2" w:rsidRPr="000333FC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2.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Cs/>
        </w:rPr>
        <w:t>Pojedini pojmovi u smislu ovog Pravilnika imaju slijedeća značenja: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Plan nabave</w:t>
      </w:r>
      <w:r w:rsidRPr="000333FC">
        <w:rPr>
          <w:rFonts w:asciiTheme="majorHAnsi" w:hAnsiTheme="majorHAnsi"/>
          <w:bCs/>
        </w:rPr>
        <w:t xml:space="preserve"> je dokument koji naručitelj donosi za proračunsku/poslovnu godinu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sukladno odredbama Zakona</w:t>
      </w:r>
      <w:r>
        <w:rPr>
          <w:rFonts w:asciiTheme="majorHAnsi" w:hAnsiTheme="majorHAnsi"/>
          <w:bCs/>
        </w:rPr>
        <w:t>.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 xml:space="preserve">Naručitelj </w:t>
      </w:r>
      <w:r w:rsidRPr="000333FC">
        <w:rPr>
          <w:rFonts w:asciiTheme="majorHAnsi" w:hAnsiTheme="majorHAnsi"/>
          <w:bCs/>
        </w:rPr>
        <w:t xml:space="preserve">je Općina </w:t>
      </w:r>
      <w:r>
        <w:rPr>
          <w:rFonts w:asciiTheme="majorHAnsi" w:hAnsiTheme="majorHAnsi"/>
          <w:bCs/>
        </w:rPr>
        <w:t xml:space="preserve">Gornji </w:t>
      </w:r>
      <w:proofErr w:type="spellStart"/>
      <w:r>
        <w:rPr>
          <w:rFonts w:asciiTheme="majorHAnsi" w:hAnsiTheme="majorHAnsi"/>
          <w:bCs/>
        </w:rPr>
        <w:t>Bogićevci</w:t>
      </w:r>
      <w:proofErr w:type="spellEnd"/>
      <w:r w:rsidRPr="000333FC">
        <w:rPr>
          <w:rFonts w:asciiTheme="majorHAnsi" w:hAnsiTheme="majorHAnsi"/>
          <w:bCs/>
        </w:rPr>
        <w:t>, obveznik primjene Zakona</w:t>
      </w:r>
      <w:r>
        <w:rPr>
          <w:rFonts w:asciiTheme="majorHAnsi" w:hAnsiTheme="majorHAnsi"/>
          <w:bCs/>
        </w:rPr>
        <w:t>.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DD5F07">
        <w:rPr>
          <w:rFonts w:asciiTheme="majorHAnsi" w:hAnsiTheme="majorHAnsi"/>
          <w:b/>
        </w:rPr>
        <w:t>Odgovorna osoba</w:t>
      </w:r>
      <w:r w:rsidRPr="000333FC">
        <w:rPr>
          <w:rFonts w:asciiTheme="majorHAnsi" w:hAnsiTheme="majorHAnsi"/>
          <w:bCs/>
        </w:rPr>
        <w:t xml:space="preserve"> naručitelja je općinski načelnik</w:t>
      </w:r>
      <w:r>
        <w:rPr>
          <w:rFonts w:asciiTheme="majorHAnsi" w:hAnsiTheme="majorHAnsi"/>
          <w:bCs/>
        </w:rPr>
        <w:t>.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Ponud</w:t>
      </w:r>
      <w:r w:rsidRPr="00DD5F07">
        <w:rPr>
          <w:rFonts w:asciiTheme="majorHAnsi" w:hAnsiTheme="majorHAnsi"/>
          <w:b/>
        </w:rPr>
        <w:t>itelj</w:t>
      </w:r>
      <w:r w:rsidRPr="000333FC">
        <w:rPr>
          <w:rFonts w:asciiTheme="majorHAnsi" w:hAnsiTheme="majorHAnsi"/>
          <w:bCs/>
        </w:rPr>
        <w:t xml:space="preserve"> je gospodarski subjekt koji je dostavio ponudu</w:t>
      </w:r>
      <w:r>
        <w:rPr>
          <w:rFonts w:asciiTheme="majorHAnsi" w:hAnsiTheme="majorHAnsi"/>
          <w:bCs/>
        </w:rPr>
        <w:t>.</w:t>
      </w:r>
    </w:p>
    <w:p w:rsidR="002217A2" w:rsidRPr="000333FC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Gospodarski subjekt</w:t>
      </w:r>
      <w:r w:rsidRPr="000333FC">
        <w:rPr>
          <w:rFonts w:asciiTheme="majorHAnsi" w:hAnsiTheme="majorHAnsi"/>
          <w:bCs/>
        </w:rPr>
        <w:t xml:space="preserve"> je fizička ili pravna osoba ili zajednica tih osoba koji na tržištu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nude izvođenje radova i/ili posla, isporuku robe i pružanje usluga.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Procijenjena vrijednost</w:t>
      </w:r>
      <w:r w:rsidRPr="000333FC">
        <w:rPr>
          <w:rFonts w:asciiTheme="majorHAnsi" w:hAnsiTheme="majorHAnsi"/>
          <w:bCs/>
        </w:rPr>
        <w:t xml:space="preserve"> je ukupna vrijednost nabave koja uključuje sve opcije i moguća obnavljanja ugovora bez poreza na dodatnu vrijednost.</w:t>
      </w:r>
    </w:p>
    <w:p w:rsidR="002217A2" w:rsidRDefault="002217A2" w:rsidP="002217A2">
      <w:pPr>
        <w:spacing w:after="0"/>
        <w:rPr>
          <w:rFonts w:asciiTheme="majorHAnsi" w:hAnsiTheme="majorHAnsi"/>
          <w:b/>
        </w:rPr>
      </w:pPr>
    </w:p>
    <w:p w:rsidR="002217A2" w:rsidRPr="000333FC" w:rsidRDefault="002217A2" w:rsidP="002217A2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III. </w:t>
      </w:r>
      <w:r w:rsidRPr="000333FC">
        <w:rPr>
          <w:rFonts w:asciiTheme="majorHAnsi" w:hAnsiTheme="majorHAnsi"/>
          <w:b/>
        </w:rPr>
        <w:t>SPRJEČAVANJE SUKOBA INTERESA</w:t>
      </w:r>
    </w:p>
    <w:p w:rsidR="002217A2" w:rsidRPr="000333FC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3.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lastRenderedPageBreak/>
        <w:t xml:space="preserve">U svrhu sprječavanja sukoba interesa u postupcima jednostavne nabave na odgovarajući se način primjenjuju odredbe </w:t>
      </w:r>
      <w:r>
        <w:rPr>
          <w:rFonts w:asciiTheme="majorHAnsi" w:hAnsiTheme="majorHAnsi"/>
          <w:bCs/>
        </w:rPr>
        <w:t>Zakona</w:t>
      </w:r>
      <w:r w:rsidRPr="00100FBF">
        <w:rPr>
          <w:rFonts w:asciiTheme="majorHAnsi" w:hAnsiTheme="majorHAnsi"/>
          <w:bCs/>
        </w:rPr>
        <w:t>.</w:t>
      </w:r>
    </w:p>
    <w:p w:rsidR="002217A2" w:rsidRPr="002A3463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</w:p>
    <w:p w:rsidR="002217A2" w:rsidRPr="009D76C2" w:rsidRDefault="002217A2" w:rsidP="002217A2">
      <w:pPr>
        <w:rPr>
          <w:rFonts w:asciiTheme="majorHAnsi" w:hAnsiTheme="majorHAnsi"/>
        </w:rPr>
      </w:pPr>
      <w:r w:rsidRPr="00100FBF">
        <w:rPr>
          <w:rFonts w:ascii="Cambria" w:hAnsi="Cambria"/>
          <w:b/>
          <w:bCs/>
        </w:rPr>
        <w:t xml:space="preserve">IV. PLANIRANJE JEDNOSTAVNE NABAVE </w:t>
      </w:r>
    </w:p>
    <w:p w:rsidR="002217A2" w:rsidRPr="00100FBF" w:rsidRDefault="002217A2" w:rsidP="002217A2">
      <w:pPr>
        <w:spacing w:after="0"/>
        <w:jc w:val="center"/>
        <w:rPr>
          <w:rFonts w:ascii="Cambria" w:hAnsi="Cambria"/>
          <w:b/>
          <w:bCs/>
        </w:rPr>
      </w:pPr>
      <w:r w:rsidRPr="00100FBF">
        <w:rPr>
          <w:rFonts w:ascii="Cambria" w:hAnsi="Cambria"/>
          <w:b/>
          <w:bCs/>
        </w:rPr>
        <w:t>Članak 4.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>U Planu nabave</w:t>
      </w:r>
      <w:r>
        <w:rPr>
          <w:rFonts w:ascii="Cambria" w:hAnsi="Cambria"/>
        </w:rPr>
        <w:t xml:space="preserve"> Općine Gornji </w:t>
      </w:r>
      <w:proofErr w:type="spellStart"/>
      <w:r>
        <w:rPr>
          <w:rFonts w:ascii="Cambria" w:hAnsi="Cambria"/>
        </w:rPr>
        <w:t>Bogićevci</w:t>
      </w:r>
      <w:proofErr w:type="spellEnd"/>
      <w:r w:rsidRPr="00100FBF">
        <w:rPr>
          <w:rFonts w:ascii="Cambria" w:hAnsi="Cambria"/>
        </w:rPr>
        <w:t xml:space="preserve"> za proračunsku godinu navode se svi predmeti nabave čija je procijenjena vrijednost jednaka ili veća od 2</w:t>
      </w:r>
      <w:r>
        <w:rPr>
          <w:rFonts w:ascii="Cambria" w:hAnsi="Cambria"/>
        </w:rPr>
        <w:t>.650,00 eura</w:t>
      </w:r>
      <w:r w:rsidRPr="00100FBF">
        <w:rPr>
          <w:rFonts w:ascii="Cambria" w:hAnsi="Cambria"/>
        </w:rPr>
        <w:t xml:space="preserve"> (bez PDV-a).</w:t>
      </w:r>
      <w:r>
        <w:rPr>
          <w:rFonts w:ascii="Cambria" w:hAnsi="Cambria"/>
        </w:rPr>
        <w:t xml:space="preserve"> </w:t>
      </w:r>
    </w:p>
    <w:p w:rsidR="002217A2" w:rsidRPr="00100FBF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 xml:space="preserve">Plan nabave </w:t>
      </w:r>
      <w:r>
        <w:rPr>
          <w:rFonts w:ascii="Cambria" w:hAnsi="Cambria"/>
        </w:rPr>
        <w:t xml:space="preserve">Općine Gornji </w:t>
      </w:r>
      <w:proofErr w:type="spellStart"/>
      <w:r>
        <w:rPr>
          <w:rFonts w:ascii="Cambria" w:hAnsi="Cambria"/>
        </w:rPr>
        <w:t>Bogićevci</w:t>
      </w:r>
      <w:proofErr w:type="spellEnd"/>
      <w:r w:rsidRPr="00100FBF">
        <w:rPr>
          <w:rFonts w:ascii="Cambria" w:hAnsi="Cambria"/>
        </w:rPr>
        <w:t xml:space="preserve"> za proračunsku godinu, kao i sve njegove kasnije izmjene i dopune, donosi </w:t>
      </w:r>
      <w:r>
        <w:rPr>
          <w:rFonts w:ascii="Cambria" w:hAnsi="Cambria"/>
        </w:rPr>
        <w:t xml:space="preserve">općinski načelnik te se objavljuju </w:t>
      </w:r>
      <w:r w:rsidRPr="00100FBF">
        <w:rPr>
          <w:rFonts w:ascii="Cambria" w:hAnsi="Cambria"/>
        </w:rPr>
        <w:t>u Elektroničkom oglasniku javne nabav</w:t>
      </w:r>
      <w:r>
        <w:rPr>
          <w:rFonts w:ascii="Cambria" w:hAnsi="Cambria"/>
        </w:rPr>
        <w:t>e.</w:t>
      </w:r>
    </w:p>
    <w:p w:rsidR="002217A2" w:rsidRDefault="002217A2" w:rsidP="002217A2">
      <w:pPr>
        <w:spacing w:after="0"/>
        <w:jc w:val="both"/>
        <w:rPr>
          <w:rFonts w:asciiTheme="majorHAnsi" w:hAnsiTheme="majorHAnsi"/>
          <w:b/>
        </w:rPr>
      </w:pPr>
    </w:p>
    <w:p w:rsidR="002217A2" w:rsidRPr="00100FBF" w:rsidRDefault="002217A2" w:rsidP="002217A2">
      <w:pPr>
        <w:spacing w:after="0"/>
        <w:jc w:val="both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V. POSTUPCI JEDNOSTAVNE NABAVE</w:t>
      </w:r>
    </w:p>
    <w:p w:rsidR="002217A2" w:rsidRPr="00100FBF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Članak 5.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Postupci jednostavne nabave u smislu ovoga Pravilnika jesu: </w:t>
      </w:r>
    </w:p>
    <w:p w:rsidR="002217A2" w:rsidRPr="006C74DA" w:rsidRDefault="002217A2" w:rsidP="002217A2">
      <w:pPr>
        <w:spacing w:after="0"/>
        <w:ind w:firstLine="708"/>
        <w:jc w:val="both"/>
        <w:rPr>
          <w:rFonts w:ascii="Cambria" w:hAnsi="Cambria"/>
          <w:bCs/>
        </w:rPr>
      </w:pPr>
      <w:r w:rsidRPr="006C74DA">
        <w:rPr>
          <w:rFonts w:ascii="Cambria" w:hAnsi="Cambria"/>
          <w:bCs/>
        </w:rPr>
        <w:t xml:space="preserve">a) </w:t>
      </w:r>
      <w:bookmarkStart w:id="3" w:name="_Hlk127794342"/>
      <w:bookmarkStart w:id="4" w:name="_Hlk127794486"/>
      <w:r w:rsidRPr="006C74DA">
        <w:rPr>
          <w:rFonts w:ascii="Cambria" w:hAnsi="Cambria"/>
        </w:rPr>
        <w:t xml:space="preserve">provedba postupaka jednostavne nabave procijenjene vrijednosti manje od </w:t>
      </w:r>
      <w:r>
        <w:rPr>
          <w:rFonts w:ascii="Cambria" w:hAnsi="Cambria"/>
        </w:rPr>
        <w:t>2.650</w:t>
      </w:r>
      <w:r w:rsidRPr="006C74DA">
        <w:rPr>
          <w:rFonts w:ascii="Cambria" w:hAnsi="Cambria"/>
        </w:rPr>
        <w:t>,00 eura</w:t>
      </w:r>
      <w:bookmarkEnd w:id="3"/>
      <w:r>
        <w:rPr>
          <w:rFonts w:ascii="Cambria" w:hAnsi="Cambria"/>
        </w:rPr>
        <w:t>,</w:t>
      </w:r>
      <w:bookmarkEnd w:id="4"/>
    </w:p>
    <w:p w:rsidR="002217A2" w:rsidRPr="004D218C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Theme="majorHAnsi" w:hAnsiTheme="majorHAnsi"/>
          <w:bCs/>
        </w:rPr>
        <w:t xml:space="preserve">b) </w:t>
      </w:r>
      <w:r w:rsidRPr="006C74DA">
        <w:rPr>
          <w:rFonts w:ascii="Cambria" w:hAnsi="Cambria"/>
        </w:rPr>
        <w:t xml:space="preserve">provedba postupaka jednostavne nabave procijenjene vrijednosti </w:t>
      </w:r>
      <w:r>
        <w:rPr>
          <w:rFonts w:ascii="Cambria" w:hAnsi="Cambria"/>
        </w:rPr>
        <w:t xml:space="preserve">jednake ili veće </w:t>
      </w:r>
      <w:r w:rsidRPr="006C74DA">
        <w:rPr>
          <w:rFonts w:ascii="Cambria" w:hAnsi="Cambria"/>
        </w:rPr>
        <w:t xml:space="preserve">od </w:t>
      </w:r>
      <w:r>
        <w:rPr>
          <w:rFonts w:ascii="Cambria" w:hAnsi="Cambria"/>
        </w:rPr>
        <w:t>2.650</w:t>
      </w:r>
      <w:r w:rsidRPr="006C74DA">
        <w:rPr>
          <w:rFonts w:ascii="Cambria" w:hAnsi="Cambria"/>
        </w:rPr>
        <w:t>,00 eura</w:t>
      </w:r>
      <w:r>
        <w:rPr>
          <w:rFonts w:ascii="Cambria" w:hAnsi="Cambria"/>
        </w:rPr>
        <w:t xml:space="preserve">, </w:t>
      </w:r>
      <w:r w:rsidRPr="00DD5F07">
        <w:rPr>
          <w:rFonts w:asciiTheme="majorHAnsi" w:hAnsiTheme="majorHAnsi"/>
          <w:bCs/>
        </w:rPr>
        <w:t>a manje ili jednake od 26.540,00 eura za robu i usluge, odnosno manje ili jednake od 66.360,00 eura za radove</w:t>
      </w:r>
      <w:r>
        <w:rPr>
          <w:rFonts w:asciiTheme="majorHAnsi" w:hAnsiTheme="majorHAnsi"/>
          <w:bCs/>
        </w:rPr>
        <w:t>.</w:t>
      </w:r>
    </w:p>
    <w:p w:rsidR="002217A2" w:rsidRPr="002A3463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 </w:t>
      </w:r>
    </w:p>
    <w:p w:rsidR="002217A2" w:rsidRDefault="002217A2" w:rsidP="002217A2">
      <w:pPr>
        <w:spacing w:after="0"/>
        <w:jc w:val="both"/>
        <w:rPr>
          <w:rFonts w:ascii="Cambria" w:hAnsi="Cambria"/>
          <w:b/>
          <w:bCs/>
        </w:rPr>
      </w:pPr>
      <w:r w:rsidRPr="00C25C13">
        <w:rPr>
          <w:rFonts w:ascii="Cambria" w:hAnsi="Cambria"/>
          <w:b/>
          <w:bCs/>
        </w:rPr>
        <w:t xml:space="preserve">VI. PROVEDBA POSTUPAKA JEDNOSTAVNE NABAVE PROCIJENJENE VRIJEDNOSTI </w:t>
      </w:r>
    </w:p>
    <w:p w:rsidR="002217A2" w:rsidRPr="00C25C13" w:rsidRDefault="002217A2" w:rsidP="002217A2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Pr="00C25C13">
        <w:rPr>
          <w:rFonts w:ascii="Cambria" w:hAnsi="Cambria"/>
          <w:b/>
          <w:bCs/>
        </w:rPr>
        <w:t>MANJE OD 2.</w:t>
      </w:r>
      <w:r>
        <w:rPr>
          <w:rFonts w:ascii="Cambria" w:hAnsi="Cambria"/>
          <w:b/>
          <w:bCs/>
        </w:rPr>
        <w:t>650</w:t>
      </w:r>
      <w:r w:rsidRPr="00C25C13">
        <w:rPr>
          <w:rFonts w:ascii="Cambria" w:hAnsi="Cambria"/>
          <w:b/>
          <w:bCs/>
        </w:rPr>
        <w:t>,00 EURA</w:t>
      </w:r>
    </w:p>
    <w:p w:rsidR="002217A2" w:rsidRPr="002821F2" w:rsidRDefault="002217A2" w:rsidP="002217A2">
      <w:pPr>
        <w:spacing w:after="0"/>
        <w:rPr>
          <w:rFonts w:asciiTheme="majorHAnsi" w:hAnsiTheme="majorHAnsi"/>
          <w:b/>
        </w:rPr>
      </w:pP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6</w:t>
      </w:r>
      <w:r w:rsidRPr="002821F2">
        <w:rPr>
          <w:rFonts w:asciiTheme="majorHAnsi" w:hAnsiTheme="majorHAnsi"/>
          <w:b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>Nabav</w:t>
      </w:r>
      <w:r>
        <w:rPr>
          <w:rFonts w:asciiTheme="majorHAnsi" w:hAnsiTheme="majorHAnsi"/>
        </w:rPr>
        <w:t>a</w:t>
      </w:r>
      <w:r w:rsidRPr="006C74DA"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procijenjene vrijednosti manje</w:t>
      </w:r>
      <w:r>
        <w:rPr>
          <w:rFonts w:asciiTheme="majorHAnsi" w:hAnsiTheme="majorHAnsi"/>
        </w:rPr>
        <w:t xml:space="preserve"> od 2.650,00 eura</w:t>
      </w:r>
      <w:r w:rsidRPr="006C74DA">
        <w:rPr>
          <w:rFonts w:asciiTheme="majorHAnsi" w:hAnsiTheme="majorHAnsi"/>
        </w:rPr>
        <w:t xml:space="preserve"> provodi se </w:t>
      </w:r>
      <w:bookmarkStart w:id="5" w:name="_Hlk127800308"/>
      <w:r w:rsidRPr="006C74DA">
        <w:rPr>
          <w:rFonts w:asciiTheme="majorHAnsi" w:hAnsiTheme="majorHAnsi"/>
        </w:rPr>
        <w:t>izdavanjem narudžbenice odnosno sklapanjem ugovora</w:t>
      </w:r>
      <w:bookmarkEnd w:id="5"/>
      <w:r w:rsidRPr="006C74DA">
        <w:rPr>
          <w:rFonts w:asciiTheme="majorHAnsi" w:hAnsiTheme="majorHAnsi"/>
        </w:rPr>
        <w:t xml:space="preserve"> s jednim gospodarskim subjektom po vlastitom izboru</w:t>
      </w:r>
      <w:r>
        <w:rPr>
          <w:rFonts w:asciiTheme="majorHAnsi" w:hAnsiTheme="majorHAnsi"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Narudžbenica ili poziv za sklapanje ugovora upućuje se gospodarskom subjektu u pravilu elektroničkom poštom na temelju podnesene ponude gospodarskog subjekta.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Narudžbenicu iz stavka 2. ovoga članka potpisuje </w:t>
      </w:r>
      <w:r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 xml:space="preserve"> ili osoba koju on ovlasti.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Ugovor o nabavi iz stavka </w:t>
      </w:r>
      <w:r>
        <w:rPr>
          <w:rFonts w:asciiTheme="majorHAnsi" w:hAnsiTheme="majorHAnsi"/>
        </w:rPr>
        <w:t>1</w:t>
      </w:r>
      <w:r w:rsidRPr="006C74DA">
        <w:rPr>
          <w:rFonts w:asciiTheme="majorHAnsi" w:hAnsiTheme="majorHAnsi"/>
        </w:rPr>
        <w:t xml:space="preserve">. ovoga članka potpisuje </w:t>
      </w:r>
      <w:r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Za izdavanje narudžbenice ili sklapanje ugovora za nabavu </w:t>
      </w:r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iz stavka 2. ovoga članka dovoljna je jed</w:t>
      </w:r>
      <w:r>
        <w:rPr>
          <w:rFonts w:asciiTheme="majorHAnsi" w:hAnsiTheme="majorHAnsi"/>
        </w:rPr>
        <w:t xml:space="preserve">na </w:t>
      </w:r>
      <w:r w:rsidRPr="006C74DA">
        <w:rPr>
          <w:rFonts w:asciiTheme="majorHAnsi" w:hAnsiTheme="majorHAnsi"/>
        </w:rPr>
        <w:t>ponuda.</w:t>
      </w:r>
    </w:p>
    <w:p w:rsidR="002217A2" w:rsidRPr="002B4B2C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2B4B2C">
        <w:rPr>
          <w:rFonts w:ascii="Cambria" w:hAnsi="Cambria"/>
        </w:rPr>
        <w:t>U ovom postupku može se izraditi odluka o odabiru ponude koja se dostavlja ponuditelju putem elektroničke pošte bez zapisnika o otvaranju, pregledu i ocjeni ponuda.</w:t>
      </w:r>
    </w:p>
    <w:p w:rsidR="002217A2" w:rsidRDefault="002217A2" w:rsidP="002217A2">
      <w:pPr>
        <w:jc w:val="both"/>
        <w:rPr>
          <w:rFonts w:asciiTheme="majorHAnsi" w:hAnsiTheme="majorHAnsi"/>
          <w:b/>
        </w:rPr>
      </w:pPr>
    </w:p>
    <w:p w:rsidR="002217A2" w:rsidRDefault="002217A2" w:rsidP="002217A2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II</w:t>
      </w:r>
      <w:r w:rsidRPr="002821F2">
        <w:rPr>
          <w:rFonts w:asciiTheme="majorHAnsi" w:hAnsiTheme="majorHAnsi"/>
          <w:b/>
        </w:rPr>
        <w:t xml:space="preserve">. PROVOĐENJE POSTUPKA NABAVE PROCIJENJENE VRIJEDNOSTI JEDNAKE ILI VEĆE OD </w:t>
      </w:r>
    </w:p>
    <w:p w:rsidR="002217A2" w:rsidRDefault="002217A2" w:rsidP="002217A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2.650</w:t>
      </w:r>
      <w:r w:rsidRPr="002821F2">
        <w:rPr>
          <w:rFonts w:asciiTheme="majorHAnsi" w:hAnsiTheme="majorHAnsi"/>
          <w:b/>
        </w:rPr>
        <w:t xml:space="preserve">,00 </w:t>
      </w:r>
      <w:r>
        <w:rPr>
          <w:rFonts w:asciiTheme="majorHAnsi" w:hAnsiTheme="majorHAnsi"/>
          <w:b/>
        </w:rPr>
        <w:t>EURA</w:t>
      </w:r>
      <w:r w:rsidRPr="002821F2">
        <w:rPr>
          <w:rFonts w:asciiTheme="majorHAnsi" w:hAnsiTheme="majorHAnsi"/>
          <w:b/>
        </w:rPr>
        <w:t xml:space="preserve">, </w:t>
      </w:r>
      <w:bookmarkStart w:id="6" w:name="_Hlk127861098"/>
      <w:r w:rsidRPr="002821F2">
        <w:rPr>
          <w:rFonts w:asciiTheme="majorHAnsi" w:hAnsiTheme="majorHAnsi"/>
          <w:b/>
        </w:rPr>
        <w:t xml:space="preserve">A MANJE ILI JEDNAKE OD </w:t>
      </w:r>
      <w:r>
        <w:rPr>
          <w:rFonts w:asciiTheme="majorHAnsi" w:hAnsiTheme="majorHAnsi"/>
          <w:b/>
        </w:rPr>
        <w:t>26.540,00 EURA</w:t>
      </w:r>
      <w:r w:rsidRPr="002821F2">
        <w:rPr>
          <w:rFonts w:asciiTheme="majorHAnsi" w:hAnsiTheme="majorHAnsi"/>
          <w:b/>
        </w:rPr>
        <w:t xml:space="preserve"> ZA ROB</w:t>
      </w:r>
      <w:r>
        <w:rPr>
          <w:rFonts w:asciiTheme="majorHAnsi" w:hAnsiTheme="majorHAnsi"/>
          <w:b/>
        </w:rPr>
        <w:t>U</w:t>
      </w:r>
      <w:r w:rsidRPr="002821F2">
        <w:rPr>
          <w:rFonts w:asciiTheme="majorHAnsi" w:hAnsiTheme="majorHAnsi"/>
          <w:b/>
        </w:rPr>
        <w:t xml:space="preserve"> I USLUGE</w:t>
      </w:r>
      <w:r>
        <w:rPr>
          <w:rFonts w:asciiTheme="majorHAnsi" w:hAnsiTheme="majorHAnsi"/>
          <w:b/>
        </w:rPr>
        <w:t xml:space="preserve">,   </w:t>
      </w:r>
    </w:p>
    <w:p w:rsidR="002217A2" w:rsidRPr="00F15CAE" w:rsidRDefault="002217A2" w:rsidP="002217A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2821F2">
        <w:rPr>
          <w:rFonts w:asciiTheme="majorHAnsi" w:hAnsiTheme="majorHAnsi"/>
          <w:b/>
        </w:rPr>
        <w:t xml:space="preserve">ODNOSNO MANJE ILI JEDNAKE </w:t>
      </w:r>
      <w:r>
        <w:rPr>
          <w:rFonts w:asciiTheme="majorHAnsi" w:hAnsiTheme="majorHAnsi"/>
          <w:b/>
        </w:rPr>
        <w:t>OD</w:t>
      </w:r>
      <w:r w:rsidRPr="002821F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66.360,00 EURA</w:t>
      </w:r>
      <w:r w:rsidRPr="002821F2">
        <w:rPr>
          <w:rFonts w:asciiTheme="majorHAnsi" w:hAnsiTheme="majorHAnsi"/>
          <w:b/>
        </w:rPr>
        <w:t xml:space="preserve"> ZA RADOVE </w:t>
      </w:r>
      <w:bookmarkEnd w:id="6"/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7</w:t>
      </w:r>
      <w:r w:rsidRPr="002821F2">
        <w:rPr>
          <w:rFonts w:asciiTheme="majorHAnsi" w:hAnsiTheme="majorHAnsi"/>
          <w:b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Nabava roba i usluga procijenjene vrijednosti </w:t>
      </w:r>
      <w:r>
        <w:rPr>
          <w:rFonts w:ascii="Cambria" w:hAnsi="Cambria"/>
        </w:rPr>
        <w:t xml:space="preserve">jednake ili </w:t>
      </w:r>
      <w:r w:rsidRPr="008B4A9D">
        <w:rPr>
          <w:rFonts w:ascii="Cambria" w:hAnsi="Cambria"/>
        </w:rPr>
        <w:t xml:space="preserve">veće od </w:t>
      </w:r>
      <w:r>
        <w:rPr>
          <w:rFonts w:ascii="Cambria" w:hAnsi="Cambria"/>
        </w:rPr>
        <w:t>2.650</w:t>
      </w:r>
      <w:r w:rsidRPr="008B4A9D">
        <w:rPr>
          <w:rFonts w:ascii="Cambria" w:hAnsi="Cambria"/>
        </w:rPr>
        <w:t>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26.540,00 eura, odnosno radova jednake ili veće vrijednosti od </w:t>
      </w:r>
      <w:r>
        <w:rPr>
          <w:rFonts w:ascii="Cambria" w:hAnsi="Cambria"/>
        </w:rPr>
        <w:t>2.650</w:t>
      </w:r>
      <w:r w:rsidRPr="008B4A9D">
        <w:rPr>
          <w:rFonts w:ascii="Cambria" w:hAnsi="Cambria"/>
        </w:rPr>
        <w:t>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66.360,00 eura, Naručitelj provodi upućivanjem poziva za dostavu ponuda određenom broju gospodarskih subjekata po vlastitom izboru, a najmanji broj </w:t>
      </w:r>
      <w:r>
        <w:rPr>
          <w:rFonts w:ascii="Cambria" w:hAnsi="Cambria"/>
        </w:rPr>
        <w:t xml:space="preserve">gospodarskih </w:t>
      </w:r>
      <w:r w:rsidRPr="008B4A9D">
        <w:rPr>
          <w:rFonts w:ascii="Cambria" w:hAnsi="Cambria"/>
        </w:rPr>
        <w:t xml:space="preserve">subjekata kojima se šalje poziv za dostavu ponuda je </w:t>
      </w:r>
      <w:r>
        <w:rPr>
          <w:rFonts w:ascii="Cambria" w:hAnsi="Cambria"/>
        </w:rPr>
        <w:t>tri</w:t>
      </w:r>
      <w:r w:rsidRPr="008B4A9D">
        <w:rPr>
          <w:rFonts w:ascii="Cambria" w:hAnsi="Cambria"/>
        </w:rPr>
        <w:t xml:space="preserve">. 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Postupak jednostavne nabave započinje danom donošenja Odluke o početku postupka jednostavne nabave koju donosi općinski načelnik. 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lastRenderedPageBreak/>
        <w:t xml:space="preserve">Odluka sadrži </w:t>
      </w:r>
      <w:r>
        <w:rPr>
          <w:rFonts w:asciiTheme="majorHAnsi" w:hAnsiTheme="majorHAnsi"/>
        </w:rPr>
        <w:t xml:space="preserve">najmanje </w:t>
      </w:r>
      <w:r w:rsidRPr="002821F2">
        <w:rPr>
          <w:rFonts w:asciiTheme="majorHAnsi" w:hAnsiTheme="majorHAnsi"/>
        </w:rPr>
        <w:t>podatke o: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-naručitelju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-nazivu predmetu nabave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-procijenjenoj vrijednosti nabave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gospodarskim subjektima kojima će se uputiti poziv za dostavu ponude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kriteriju za odabir ponude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</w:t>
      </w:r>
      <w:r>
        <w:rPr>
          <w:rFonts w:asciiTheme="majorHAnsi" w:hAnsiTheme="majorHAnsi"/>
        </w:rPr>
        <w:t>sastavu</w:t>
      </w:r>
      <w:r w:rsidRPr="002821F2">
        <w:rPr>
          <w:rFonts w:asciiTheme="majorHAnsi" w:hAnsiTheme="majorHAnsi"/>
        </w:rPr>
        <w:t xml:space="preserve"> povjerenstv</w:t>
      </w:r>
      <w:r>
        <w:rPr>
          <w:rFonts w:asciiTheme="majorHAnsi" w:hAnsiTheme="majorHAnsi"/>
        </w:rPr>
        <w:t>a</w:t>
      </w:r>
      <w:r w:rsidRPr="002821F2">
        <w:rPr>
          <w:rFonts w:asciiTheme="majorHAnsi" w:hAnsiTheme="majorHAnsi"/>
        </w:rPr>
        <w:t xml:space="preserve"> za provedbu postupka jednostavne nabave</w:t>
      </w:r>
      <w:r>
        <w:rPr>
          <w:rFonts w:asciiTheme="majorHAnsi" w:hAnsiTheme="majorHAnsi"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</w:p>
    <w:p w:rsidR="002217A2" w:rsidRPr="00F15CAE" w:rsidRDefault="002217A2" w:rsidP="002217A2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III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POZIV NA DOSTAVU PONUDA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</w:p>
    <w:p w:rsidR="002217A2" w:rsidRPr="00B26C9F" w:rsidRDefault="002217A2" w:rsidP="002217A2">
      <w:pPr>
        <w:spacing w:after="0"/>
        <w:jc w:val="center"/>
        <w:rPr>
          <w:rFonts w:ascii="Cambria" w:hAnsi="Cambria"/>
          <w:b/>
          <w:bCs/>
        </w:rPr>
      </w:pPr>
      <w:r w:rsidRPr="00B26C9F">
        <w:rPr>
          <w:rFonts w:ascii="Cambria" w:hAnsi="Cambria"/>
          <w:b/>
          <w:bCs/>
        </w:rPr>
        <w:t>Članak 8.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262827">
        <w:rPr>
          <w:rFonts w:ascii="Cambria" w:hAnsi="Cambria"/>
        </w:rPr>
        <w:t>Poziv za dostavu ponuda</w:t>
      </w:r>
      <w:r w:rsidRPr="008B4A9D">
        <w:rPr>
          <w:rFonts w:ascii="Cambria" w:hAnsi="Cambria"/>
        </w:rPr>
        <w:t xml:space="preserve"> se upućuje na način koji omogućuje dokazivanje da je isti zaprimljen od strane gospodarskog subjekta (dostavnica, povratnica, elektronička isprava</w:t>
      </w:r>
      <w:r>
        <w:rPr>
          <w:rFonts w:ascii="Cambria" w:hAnsi="Cambria"/>
        </w:rPr>
        <w:t>, potvrda primitka e-</w:t>
      </w:r>
      <w:proofErr w:type="spellStart"/>
      <w:r>
        <w:rPr>
          <w:rFonts w:ascii="Cambria" w:hAnsi="Cambria"/>
        </w:rPr>
        <w:t>maila</w:t>
      </w:r>
      <w:proofErr w:type="spellEnd"/>
      <w:r w:rsidRPr="008B4A9D">
        <w:rPr>
          <w:rFonts w:ascii="Cambria" w:hAnsi="Cambria"/>
        </w:rPr>
        <w:t xml:space="preserve"> i </w:t>
      </w:r>
      <w:proofErr w:type="spellStart"/>
      <w:r w:rsidRPr="008B4A9D">
        <w:rPr>
          <w:rFonts w:ascii="Cambria" w:hAnsi="Cambria"/>
        </w:rPr>
        <w:t>sl</w:t>
      </w:r>
      <w:proofErr w:type="spellEnd"/>
      <w:r w:rsidRPr="008B4A9D">
        <w:rPr>
          <w:rFonts w:ascii="Cambria" w:hAnsi="Cambria"/>
        </w:rPr>
        <w:t xml:space="preserve">...)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Poziv za dostavu ponuda mora sadržavati: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a) </w:t>
      </w:r>
      <w:r>
        <w:rPr>
          <w:rFonts w:ascii="Cambria" w:hAnsi="Cambria"/>
        </w:rPr>
        <w:t>n</w:t>
      </w:r>
      <w:r w:rsidRPr="008B4A9D">
        <w:rPr>
          <w:rFonts w:ascii="Cambria" w:hAnsi="Cambria"/>
        </w:rPr>
        <w:t xml:space="preserve">aziv javnog naručitelja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b) </w:t>
      </w:r>
      <w:r>
        <w:rPr>
          <w:rFonts w:ascii="Cambria" w:hAnsi="Cambria"/>
        </w:rPr>
        <w:t>o</w:t>
      </w:r>
      <w:r w:rsidRPr="008B4A9D">
        <w:rPr>
          <w:rFonts w:ascii="Cambria" w:hAnsi="Cambria"/>
        </w:rPr>
        <w:t xml:space="preserve">pis predmeta nabave i tehničke specifikacije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c) </w:t>
      </w:r>
      <w:r>
        <w:rPr>
          <w:rFonts w:ascii="Cambria" w:hAnsi="Cambria"/>
        </w:rPr>
        <w:t>p</w:t>
      </w:r>
      <w:r w:rsidRPr="008B4A9D">
        <w:rPr>
          <w:rFonts w:ascii="Cambria" w:hAnsi="Cambria"/>
        </w:rPr>
        <w:t xml:space="preserve">rocijenjenu vrijednost nabave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u</w:t>
      </w:r>
      <w:r w:rsidRPr="008B4A9D">
        <w:rPr>
          <w:rFonts w:ascii="Cambria" w:hAnsi="Cambria"/>
        </w:rPr>
        <w:t xml:space="preserve">vjete i zahtjeve koje ponuditelji trebaju ispuniti, ako se traži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n</w:t>
      </w:r>
      <w:r w:rsidRPr="008B4A9D">
        <w:rPr>
          <w:rFonts w:ascii="Cambria" w:hAnsi="Cambria"/>
        </w:rPr>
        <w:t xml:space="preserve">ačin dostavljanja ponude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a</w:t>
      </w:r>
      <w:r w:rsidRPr="008B4A9D">
        <w:rPr>
          <w:rFonts w:ascii="Cambria" w:hAnsi="Cambria"/>
        </w:rPr>
        <w:t xml:space="preserve">dresu na koju se ponude dostavljaju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i</w:t>
      </w:r>
      <w:r w:rsidRPr="008B4A9D">
        <w:rPr>
          <w:rFonts w:ascii="Cambria" w:hAnsi="Cambria"/>
        </w:rPr>
        <w:t xml:space="preserve">nternetska adresa ili adresa na kojoj se može preuzeti dodatna dokumentacija ako je potrebno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h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k</w:t>
      </w:r>
      <w:r w:rsidRPr="008B4A9D">
        <w:rPr>
          <w:rFonts w:ascii="Cambria" w:hAnsi="Cambria"/>
        </w:rPr>
        <w:t xml:space="preserve">ontakt osobu, broj telefona i adresu elektroničke pošte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d</w:t>
      </w:r>
      <w:r w:rsidRPr="008B4A9D">
        <w:rPr>
          <w:rFonts w:ascii="Cambria" w:hAnsi="Cambria"/>
        </w:rPr>
        <w:t xml:space="preserve">atum objave poziva na internetskim stranicama, ako je objavljen poziv </w:t>
      </w:r>
    </w:p>
    <w:p w:rsidR="002217A2" w:rsidRPr="002A3463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Naručitel</w:t>
      </w:r>
      <w:r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>u</w:t>
      </w:r>
      <w:r>
        <w:rPr>
          <w:rFonts w:ascii="Cambria" w:hAnsi="Cambria"/>
        </w:rPr>
        <w:t xml:space="preserve"> </w:t>
      </w:r>
      <w:r w:rsidRPr="00B26C9F">
        <w:rPr>
          <w:rFonts w:ascii="Cambria" w:hAnsi="Cambria"/>
        </w:rPr>
        <w:t>poziv</w:t>
      </w:r>
      <w:r>
        <w:rPr>
          <w:rFonts w:ascii="Cambria" w:hAnsi="Cambria"/>
        </w:rPr>
        <w:t>u</w:t>
      </w:r>
      <w:r w:rsidRPr="00B26C9F">
        <w:rPr>
          <w:rFonts w:ascii="Cambria" w:hAnsi="Cambria"/>
        </w:rPr>
        <w:t xml:space="preserve"> za dostavu ponuda</w:t>
      </w:r>
      <w:r>
        <w:rPr>
          <w:rFonts w:ascii="Cambria" w:hAnsi="Cambria"/>
        </w:rPr>
        <w:t xml:space="preserve"> određuje kriterij</w:t>
      </w:r>
      <w:r w:rsidRPr="00B26C9F">
        <w:rPr>
          <w:rFonts w:ascii="Cambria" w:hAnsi="Cambria"/>
        </w:rPr>
        <w:t xml:space="preserve"> za odabir ponude </w:t>
      </w:r>
      <w:r>
        <w:rPr>
          <w:rFonts w:ascii="Cambria" w:hAnsi="Cambria"/>
        </w:rPr>
        <w:t>(</w:t>
      </w:r>
      <w:bookmarkStart w:id="7" w:name="_Hlk127863254"/>
      <w:r w:rsidRPr="00B26C9F">
        <w:rPr>
          <w:rFonts w:ascii="Cambria" w:hAnsi="Cambria"/>
        </w:rPr>
        <w:t>ekonomski najpovoljnija ponuda</w:t>
      </w:r>
      <w:r>
        <w:rPr>
          <w:rFonts w:ascii="Cambria" w:hAnsi="Cambria"/>
        </w:rPr>
        <w:t xml:space="preserve"> ili ponuda sa </w:t>
      </w:r>
      <w:r w:rsidRPr="00B26C9F">
        <w:rPr>
          <w:rFonts w:ascii="Cambria" w:hAnsi="Cambria"/>
        </w:rPr>
        <w:t>najniž</w:t>
      </w:r>
      <w:r>
        <w:rPr>
          <w:rFonts w:ascii="Cambria" w:hAnsi="Cambria"/>
        </w:rPr>
        <w:t>om</w:t>
      </w:r>
      <w:r w:rsidRPr="00B26C9F">
        <w:rPr>
          <w:rFonts w:ascii="Cambria" w:hAnsi="Cambria"/>
        </w:rPr>
        <w:t xml:space="preserve"> cijen</w:t>
      </w:r>
      <w:r>
        <w:rPr>
          <w:rFonts w:ascii="Cambria" w:hAnsi="Cambria"/>
        </w:rPr>
        <w:t>om</w:t>
      </w:r>
      <w:r w:rsidRPr="00B26C9F">
        <w:rPr>
          <w:rFonts w:ascii="Cambria" w:hAnsi="Cambria"/>
        </w:rPr>
        <w:t>)</w:t>
      </w:r>
      <w:r>
        <w:rPr>
          <w:rFonts w:ascii="Cambria" w:hAnsi="Cambria"/>
        </w:rPr>
        <w:t xml:space="preserve">, </w:t>
      </w:r>
      <w:bookmarkEnd w:id="7"/>
      <w:r>
        <w:rPr>
          <w:rFonts w:ascii="Cambria" w:hAnsi="Cambria"/>
        </w:rPr>
        <w:t xml:space="preserve">a može </w:t>
      </w:r>
      <w:r w:rsidRPr="00B26C9F">
        <w:rPr>
          <w:rFonts w:ascii="Cambria" w:hAnsi="Cambria"/>
        </w:rPr>
        <w:t>odrediti razloge isključenja i uvjete sposobnosti ponuditelja</w:t>
      </w:r>
      <w:r>
        <w:rPr>
          <w:rFonts w:ascii="Cambria" w:hAnsi="Cambria"/>
        </w:rPr>
        <w:t>.</w:t>
      </w:r>
    </w:p>
    <w:p w:rsidR="002217A2" w:rsidRDefault="002217A2" w:rsidP="002217A2">
      <w:pPr>
        <w:spacing w:after="0"/>
        <w:ind w:firstLine="708"/>
        <w:jc w:val="center"/>
        <w:rPr>
          <w:rFonts w:ascii="Cambria" w:hAnsi="Cambria"/>
          <w:b/>
        </w:rPr>
      </w:pPr>
    </w:p>
    <w:p w:rsidR="002217A2" w:rsidRPr="008B4A9D" w:rsidRDefault="002217A2" w:rsidP="002217A2">
      <w:pPr>
        <w:spacing w:after="0"/>
        <w:ind w:firstLine="70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9.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Umjesto slanja poziva za dostavu ponuda gospodarskim subjektima po svom izboru Naručitelj može objaviti poziv za dostavu ponuda na svojim internetskim stranicama i u tom slučaju ne šalje poziv za dostavu ponuda odabranim gospodarskim subjektima.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Poziv za dostavu uz dokumentaciju za nadmetanje u cijelosti se objavljuje na službenim internetskim stranicama Naručitelja</w:t>
      </w:r>
      <w:r>
        <w:rPr>
          <w:rFonts w:ascii="Cambria" w:hAnsi="Cambria"/>
        </w:rPr>
        <w:t xml:space="preserve"> i </w:t>
      </w:r>
      <w:r w:rsidRPr="00B26C9F">
        <w:rPr>
          <w:rFonts w:ascii="Cambria" w:hAnsi="Cambria"/>
        </w:rPr>
        <w:t xml:space="preserve">mora biti dostupan gospodarskim subjektima bez ograničavanja.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Poziv za dostavu objavljen na internetskim stranicama mora sadržavati elemente propisane člankom </w:t>
      </w:r>
      <w:r>
        <w:rPr>
          <w:rFonts w:ascii="Cambria" w:hAnsi="Cambria"/>
        </w:rPr>
        <w:t>8</w:t>
      </w:r>
      <w:r w:rsidRPr="00B26C9F">
        <w:rPr>
          <w:rFonts w:ascii="Cambria" w:hAnsi="Cambria"/>
        </w:rPr>
        <w:t xml:space="preserve">. stavkom </w:t>
      </w:r>
      <w:r>
        <w:rPr>
          <w:rFonts w:ascii="Cambria" w:hAnsi="Cambria"/>
        </w:rPr>
        <w:t>2</w:t>
      </w:r>
      <w:r w:rsidRPr="00B26C9F">
        <w:rPr>
          <w:rFonts w:ascii="Cambria" w:hAnsi="Cambria"/>
        </w:rPr>
        <w:t>. ovog Pravilnika</w:t>
      </w:r>
      <w:r>
        <w:rPr>
          <w:rFonts w:ascii="Cambria" w:hAnsi="Cambria"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bookmarkStart w:id="8" w:name="_Hlk127798839"/>
      <w:r w:rsidRPr="00B26C9F">
        <w:rPr>
          <w:rFonts w:ascii="Cambria" w:hAnsi="Cambria"/>
        </w:rPr>
        <w:t>Naručitel</w:t>
      </w:r>
      <w:r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 xml:space="preserve">u objavi </w:t>
      </w:r>
      <w:r>
        <w:rPr>
          <w:rFonts w:ascii="Cambria" w:hAnsi="Cambria"/>
        </w:rPr>
        <w:t>P</w:t>
      </w:r>
      <w:r w:rsidRPr="00B26C9F">
        <w:rPr>
          <w:rFonts w:ascii="Cambria" w:hAnsi="Cambria"/>
        </w:rPr>
        <w:t>oziva za dostavu ponuda, odnosno u objavljenoj dokumentaciji</w:t>
      </w:r>
      <w:r>
        <w:rPr>
          <w:rFonts w:ascii="Cambria" w:hAnsi="Cambria"/>
        </w:rPr>
        <w:t xml:space="preserve"> određuje </w:t>
      </w:r>
      <w:r w:rsidRPr="00B26C9F">
        <w:rPr>
          <w:rFonts w:ascii="Cambria" w:hAnsi="Cambria"/>
        </w:rPr>
        <w:t>uvjete za odabir ponude (ekonomski najpovoljnija ponuda</w:t>
      </w:r>
      <w:r>
        <w:rPr>
          <w:rFonts w:ascii="Cambria" w:hAnsi="Cambria"/>
        </w:rPr>
        <w:t xml:space="preserve"> ili ponuda sa </w:t>
      </w:r>
      <w:r w:rsidRPr="00B26C9F">
        <w:rPr>
          <w:rFonts w:ascii="Cambria" w:hAnsi="Cambria"/>
        </w:rPr>
        <w:t>najniž</w:t>
      </w:r>
      <w:r>
        <w:rPr>
          <w:rFonts w:ascii="Cambria" w:hAnsi="Cambria"/>
        </w:rPr>
        <w:t>om</w:t>
      </w:r>
      <w:r w:rsidRPr="00B26C9F">
        <w:rPr>
          <w:rFonts w:ascii="Cambria" w:hAnsi="Cambria"/>
        </w:rPr>
        <w:t xml:space="preserve"> cijen</w:t>
      </w:r>
      <w:r>
        <w:rPr>
          <w:rFonts w:ascii="Cambria" w:hAnsi="Cambria"/>
        </w:rPr>
        <w:t>om</w:t>
      </w:r>
      <w:r w:rsidRPr="00B26C9F">
        <w:rPr>
          <w:rFonts w:ascii="Cambria" w:hAnsi="Cambria"/>
        </w:rPr>
        <w:t>)</w:t>
      </w:r>
      <w:r>
        <w:rPr>
          <w:rFonts w:ascii="Cambria" w:hAnsi="Cambria"/>
        </w:rPr>
        <w:t xml:space="preserve">, a može </w:t>
      </w:r>
      <w:r w:rsidRPr="00B26C9F">
        <w:rPr>
          <w:rFonts w:ascii="Cambria" w:hAnsi="Cambria"/>
        </w:rPr>
        <w:t>odrediti razloge isključenja i uvjete sposobnosti ponuditelja</w:t>
      </w:r>
      <w:r>
        <w:rPr>
          <w:rFonts w:ascii="Cambria" w:hAnsi="Cambria"/>
        </w:rPr>
        <w:t>.</w:t>
      </w:r>
    </w:p>
    <w:bookmarkEnd w:id="8"/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</w:p>
    <w:p w:rsidR="002217A2" w:rsidRPr="0062786F" w:rsidRDefault="002217A2" w:rsidP="002217A2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>Članak 10.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Sve dokumente koj</w:t>
      </w:r>
      <w:r>
        <w:rPr>
          <w:rFonts w:ascii="Cambria" w:hAnsi="Cambria"/>
        </w:rPr>
        <w:t>e</w:t>
      </w:r>
      <w:r w:rsidRPr="00B26C9F">
        <w:rPr>
          <w:rFonts w:ascii="Cambria" w:hAnsi="Cambria"/>
        </w:rPr>
        <w:t xml:space="preserve"> Naručitelj zahtjeva sukladno ovom Pravilniku ponuditelji mogu dostaviti u neovjerenoj preslici.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Neovjerenom preslikom smatra se i neovjereni ispis elektroničke isprave.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 slučaju postojanja sumnje u istinitost podataka navedenih u dokumentima koje su ponuditelji dostavili, Naručitelj može radi provjere istinitosti podataka od ponuditelja zatražiti </w:t>
      </w:r>
      <w:r w:rsidRPr="00B26C9F">
        <w:rPr>
          <w:rFonts w:ascii="Cambria" w:hAnsi="Cambria"/>
        </w:rPr>
        <w:lastRenderedPageBreak/>
        <w:t xml:space="preserve">da u primjerenom roku dostave izvornike ili ovjerene preslike tih dokumenata i/ili se obratiti izdavatelju dokumenata, odnosno nadležnim tijelima. 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</w:p>
    <w:p w:rsidR="002217A2" w:rsidRPr="0062786F" w:rsidRDefault="002217A2" w:rsidP="002217A2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>Članak 11.</w:t>
      </w:r>
    </w:p>
    <w:p w:rsidR="002217A2" w:rsidRDefault="002217A2" w:rsidP="002217A2">
      <w:pPr>
        <w:spacing w:after="0"/>
        <w:ind w:firstLine="708"/>
        <w:jc w:val="both"/>
        <w:rPr>
          <w:rFonts w:ascii="Cambria" w:hAnsi="Cambria"/>
        </w:rPr>
      </w:pPr>
      <w:r w:rsidRPr="00D91219">
        <w:rPr>
          <w:rFonts w:ascii="Cambria" w:hAnsi="Cambria"/>
        </w:rPr>
        <w:t>Ponude</w:t>
      </w:r>
      <w:r>
        <w:rPr>
          <w:rFonts w:ascii="Cambria" w:hAnsi="Cambria"/>
        </w:rPr>
        <w:t xml:space="preserve"> ponuditelji </w:t>
      </w:r>
      <w:r w:rsidRPr="00D91219">
        <w:rPr>
          <w:rFonts w:ascii="Cambria" w:hAnsi="Cambria"/>
        </w:rPr>
        <w:t xml:space="preserve">dostavljaju u pisarnicu </w:t>
      </w:r>
      <w:r>
        <w:rPr>
          <w:rFonts w:ascii="Cambria" w:hAnsi="Cambria"/>
        </w:rPr>
        <w:t xml:space="preserve">Općine Gornji </w:t>
      </w:r>
      <w:proofErr w:type="spellStart"/>
      <w:r>
        <w:rPr>
          <w:rFonts w:ascii="Cambria" w:hAnsi="Cambria"/>
        </w:rPr>
        <w:t>Bogićevci</w:t>
      </w:r>
      <w:proofErr w:type="spellEnd"/>
      <w:r w:rsidRPr="00D91219">
        <w:rPr>
          <w:rFonts w:ascii="Cambria" w:hAnsi="Cambria"/>
        </w:rPr>
        <w:t xml:space="preserve"> neposrednom predajom</w:t>
      </w:r>
      <w:r>
        <w:rPr>
          <w:rFonts w:ascii="Cambria" w:hAnsi="Cambria"/>
        </w:rPr>
        <w:t xml:space="preserve">, </w:t>
      </w:r>
      <w:r w:rsidRPr="00D91219">
        <w:rPr>
          <w:rFonts w:ascii="Cambria" w:hAnsi="Cambria"/>
        </w:rPr>
        <w:t>putem ovlaštenog pružatelja poštanskih usluga ili druge odgovarajuće kurirske službe</w:t>
      </w:r>
      <w:r>
        <w:rPr>
          <w:rFonts w:ascii="Cambria" w:hAnsi="Cambria"/>
        </w:rPr>
        <w:t>,</w:t>
      </w:r>
      <w:r w:rsidRPr="00D91219">
        <w:rPr>
          <w:rFonts w:ascii="Cambria" w:hAnsi="Cambria"/>
        </w:rPr>
        <w:t xml:space="preserve"> odnosno na drugi dokaziv način</w:t>
      </w:r>
      <w:r>
        <w:rPr>
          <w:rFonts w:ascii="Cambria" w:hAnsi="Cambria"/>
        </w:rPr>
        <w:t>.</w:t>
      </w:r>
    </w:p>
    <w:p w:rsidR="002217A2" w:rsidRPr="009F0E5F" w:rsidRDefault="002217A2" w:rsidP="002217A2">
      <w:pPr>
        <w:spacing w:after="0"/>
        <w:ind w:firstLine="708"/>
        <w:jc w:val="both"/>
        <w:rPr>
          <w:rFonts w:ascii="Cambria" w:hAnsi="Cambria"/>
          <w:b/>
        </w:rPr>
      </w:pPr>
      <w:r w:rsidRPr="00D91219">
        <w:rPr>
          <w:rFonts w:ascii="Cambria" w:hAnsi="Cambria"/>
        </w:rPr>
        <w:t xml:space="preserve">U postupcima jednostavne nabave rok za dostavu ponuda mora biti primjeren predmetu nabave, određen je u </w:t>
      </w:r>
      <w:r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ozivu </w:t>
      </w:r>
      <w:r>
        <w:rPr>
          <w:rFonts w:ascii="Cambria" w:hAnsi="Cambria"/>
        </w:rPr>
        <w:t>z</w:t>
      </w:r>
      <w:r w:rsidRPr="00D91219">
        <w:rPr>
          <w:rFonts w:ascii="Cambria" w:hAnsi="Cambria"/>
        </w:rPr>
        <w:t xml:space="preserve">a dostavu ponuda i ne smije biti kraći od pet dana od dana slanja </w:t>
      </w:r>
      <w:r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oziva </w:t>
      </w:r>
      <w:r>
        <w:rPr>
          <w:rFonts w:ascii="Cambria" w:hAnsi="Cambria"/>
        </w:rPr>
        <w:t>z</w:t>
      </w:r>
      <w:r w:rsidRPr="00D91219">
        <w:rPr>
          <w:rFonts w:ascii="Cambria" w:hAnsi="Cambria"/>
        </w:rPr>
        <w:t>a dostavu ponuda</w:t>
      </w:r>
      <w:r>
        <w:rPr>
          <w:rFonts w:ascii="Cambria" w:hAnsi="Cambria"/>
        </w:rPr>
        <w:t xml:space="preserve">, odnosno objave na internetskoj stranici Naručitelja, </w:t>
      </w:r>
      <w:r w:rsidRPr="00D91219">
        <w:rPr>
          <w:rFonts w:ascii="Cambria" w:hAnsi="Cambria"/>
        </w:rPr>
        <w:t>osim u slučaju žurne nabave.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Za odabir ponude dovoljna je jedna pristigla ponuda koja udovoljava traženim uvjetima </w:t>
      </w:r>
      <w:r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aručitelja.</w:t>
      </w:r>
    </w:p>
    <w:p w:rsidR="002217A2" w:rsidRDefault="002217A2" w:rsidP="002217A2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2217A2" w:rsidRPr="00F15CAE" w:rsidRDefault="002217A2" w:rsidP="002217A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IX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OTVARANJE PONUDA</w:t>
      </w:r>
    </w:p>
    <w:p w:rsidR="002217A2" w:rsidRDefault="002217A2" w:rsidP="002217A2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2217A2" w:rsidRPr="002B4B2C" w:rsidRDefault="002217A2" w:rsidP="002217A2">
      <w:pPr>
        <w:spacing w:after="0"/>
        <w:ind w:firstLine="708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12.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 isteku roka za dostavu ponuda, </w:t>
      </w:r>
      <w:r>
        <w:rPr>
          <w:rFonts w:asciiTheme="majorHAnsi" w:hAnsiTheme="majorHAnsi"/>
        </w:rPr>
        <w:t>povjerenstvo za provedbu postupka javne nabave</w:t>
      </w:r>
      <w:r w:rsidRPr="002821F2">
        <w:rPr>
          <w:rFonts w:asciiTheme="majorHAnsi" w:hAnsiTheme="majorHAnsi"/>
        </w:rPr>
        <w:t xml:space="preserve"> otvara sve pravodobno dostavljene ponude. Otvaranje ponuda nije javno, a o otvaranju ponuda sastavlja se zapisnik.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Povjerenstvo pregledava i ocjenjuju ponude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temelju uvjeta i zahtjeva iz Poziva</w:t>
      </w:r>
      <w:r>
        <w:rPr>
          <w:rFonts w:asciiTheme="majorHAnsi" w:hAnsiTheme="majorHAnsi"/>
        </w:rPr>
        <w:t xml:space="preserve"> za dostavu ponuda</w:t>
      </w:r>
      <w:r w:rsidRPr="002821F2">
        <w:rPr>
          <w:rFonts w:asciiTheme="majorHAnsi" w:hAnsiTheme="majorHAnsi"/>
        </w:rPr>
        <w:t>, o čemu se sastavlja zapisnik o pregledu i ocjeni ponuda.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1C6E2C">
        <w:rPr>
          <w:rFonts w:asciiTheme="majorHAnsi" w:hAnsiTheme="majorHAnsi"/>
        </w:rPr>
        <w:t>Naručitelj zadržava pravo poništiti postupak jednostavne nabave</w:t>
      </w:r>
      <w:r>
        <w:rPr>
          <w:rFonts w:asciiTheme="majorHAnsi" w:hAnsiTheme="majorHAnsi"/>
        </w:rPr>
        <w:t xml:space="preserve"> </w:t>
      </w:r>
      <w:r w:rsidRPr="001C6E2C">
        <w:rPr>
          <w:rFonts w:asciiTheme="majorHAnsi" w:hAnsiTheme="majorHAnsi"/>
        </w:rPr>
        <w:t>prije ili nakon roka za dostavu ponuda bez posebnog pisanog obrazloženja</w:t>
      </w:r>
      <w:r>
        <w:rPr>
          <w:rFonts w:asciiTheme="majorHAnsi" w:hAnsiTheme="majorHAnsi"/>
        </w:rPr>
        <w:t>.</w:t>
      </w:r>
    </w:p>
    <w:p w:rsidR="002217A2" w:rsidRPr="00216DCC" w:rsidRDefault="002217A2" w:rsidP="002217A2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 osnovu rezultata </w:t>
      </w:r>
      <w:r>
        <w:rPr>
          <w:rFonts w:asciiTheme="majorHAnsi" w:hAnsiTheme="majorHAnsi"/>
        </w:rPr>
        <w:t>pregleda i ocjena</w:t>
      </w:r>
      <w:r w:rsidRPr="002821F2">
        <w:rPr>
          <w:rFonts w:asciiTheme="majorHAnsi" w:hAnsiTheme="majorHAnsi"/>
        </w:rPr>
        <w:t xml:space="preserve"> ponuda općinski načelnik donosi Odluku o odabiru </w:t>
      </w:r>
      <w:r w:rsidRPr="00216DCC">
        <w:rPr>
          <w:rFonts w:asciiTheme="majorHAnsi" w:hAnsiTheme="majorHAnsi"/>
        </w:rPr>
        <w:t>ponude prema kriteriju za odabir ponude ili Odluku o poništenju u postupku jednostavne nabave, koja se na doka</w:t>
      </w:r>
      <w:r>
        <w:rPr>
          <w:rFonts w:asciiTheme="majorHAnsi" w:hAnsiTheme="majorHAnsi"/>
        </w:rPr>
        <w:t>zi</w:t>
      </w:r>
      <w:r w:rsidRPr="00216DCC">
        <w:rPr>
          <w:rFonts w:asciiTheme="majorHAnsi" w:hAnsiTheme="majorHAnsi"/>
        </w:rPr>
        <w:t>v način dostavlja ponuditeljima.</w:t>
      </w:r>
    </w:p>
    <w:p w:rsidR="002217A2" w:rsidRPr="002A0855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>Kriteriji za odabir ponude je najniža cijena ili ekonomski najpovoljnija ponuda.</w:t>
      </w:r>
    </w:p>
    <w:p w:rsidR="002217A2" w:rsidRPr="002A0855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>U pozivu za dost</w:t>
      </w:r>
      <w:r>
        <w:rPr>
          <w:rFonts w:asciiTheme="majorHAnsi" w:hAnsiTheme="majorHAnsi"/>
        </w:rPr>
        <w:t>a</w:t>
      </w:r>
      <w:r w:rsidRPr="002A0855">
        <w:rPr>
          <w:rFonts w:asciiTheme="majorHAnsi" w:hAnsiTheme="majorHAnsi"/>
        </w:rPr>
        <w:t>vu ponude mora biti navedeni kriterij odabira, a u slučaju primjene kriterija ekonomski najpovoljnije ponude moraju biti navedeni dodatni kriteriji  temeljem kojega će se ponuda bodovati (</w:t>
      </w:r>
      <w:proofErr w:type="spellStart"/>
      <w:r w:rsidRPr="002A0855">
        <w:rPr>
          <w:rFonts w:asciiTheme="majorHAnsi" w:hAnsiTheme="majorHAnsi"/>
        </w:rPr>
        <w:t>npr</w:t>
      </w:r>
      <w:proofErr w:type="spellEnd"/>
      <w:r w:rsidRPr="002A0855">
        <w:rPr>
          <w:rFonts w:asciiTheme="majorHAnsi" w:hAnsiTheme="majorHAnsi"/>
        </w:rPr>
        <w:t xml:space="preserve">. kvaliteta, tehnička ili estetska vrijednost, organizacija i kvalifikacija osoblja, datum  i rok isporuke ili rok izvršenja, jamstveni rok i </w:t>
      </w:r>
      <w:proofErr w:type="spellStart"/>
      <w:r w:rsidRPr="002A0855">
        <w:rPr>
          <w:rFonts w:asciiTheme="majorHAnsi" w:hAnsiTheme="majorHAnsi"/>
        </w:rPr>
        <w:t>sl</w:t>
      </w:r>
      <w:proofErr w:type="spellEnd"/>
      <w:r w:rsidRPr="002A0855">
        <w:rPr>
          <w:rFonts w:asciiTheme="majorHAnsi" w:hAnsiTheme="majorHAnsi"/>
        </w:rPr>
        <w:t>.)</w:t>
      </w:r>
    </w:p>
    <w:p w:rsidR="002217A2" w:rsidRPr="00216DCC" w:rsidRDefault="002217A2" w:rsidP="002217A2">
      <w:pPr>
        <w:spacing w:after="0"/>
        <w:ind w:firstLine="708"/>
        <w:jc w:val="both"/>
        <w:rPr>
          <w:rFonts w:asciiTheme="majorHAnsi" w:hAnsiTheme="majorHAnsi" w:cs="Calibri"/>
        </w:rPr>
      </w:pPr>
      <w:r w:rsidRPr="002A0855">
        <w:rPr>
          <w:rFonts w:asciiTheme="majorHAnsi" w:hAnsiTheme="majorHAnsi" w:cs="Calibri"/>
        </w:rPr>
        <w:t xml:space="preserve">Ako su dvije ili više valjanih ponuda jednako rangirane prema kriteriju za odabir ponude, </w:t>
      </w:r>
      <w:r w:rsidRPr="00216DCC">
        <w:rPr>
          <w:rFonts w:asciiTheme="majorHAnsi" w:hAnsiTheme="majorHAnsi" w:cs="Calibri"/>
        </w:rPr>
        <w:t>Općina će odabrati ponudu koja je zaprimljena ranije.</w:t>
      </w:r>
    </w:p>
    <w:p w:rsidR="002217A2" w:rsidRDefault="002217A2" w:rsidP="002217A2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:rsidR="002217A2" w:rsidRPr="007C56BE" w:rsidRDefault="002217A2" w:rsidP="002217A2">
      <w:pPr>
        <w:spacing w:after="0"/>
        <w:jc w:val="both"/>
        <w:rPr>
          <w:rFonts w:asciiTheme="majorHAnsi" w:hAnsiTheme="majorHAnsi"/>
          <w:b/>
        </w:rPr>
      </w:pPr>
      <w:r w:rsidRPr="007C56BE">
        <w:rPr>
          <w:rFonts w:asciiTheme="majorHAnsi" w:hAnsiTheme="majorHAnsi"/>
          <w:b/>
        </w:rPr>
        <w:t>X. ODLUKA O ODABIRU PONUDE ILI PONIŠTENJU POSTUPKA JEDNOSTAVNE NABAVE</w:t>
      </w:r>
    </w:p>
    <w:p w:rsidR="002217A2" w:rsidRDefault="002217A2" w:rsidP="002217A2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:rsidR="002217A2" w:rsidRPr="00D5036F" w:rsidRDefault="002217A2" w:rsidP="002217A2">
      <w:pPr>
        <w:spacing w:after="0"/>
        <w:jc w:val="center"/>
        <w:rPr>
          <w:rFonts w:asciiTheme="majorHAnsi" w:hAnsiTheme="majorHAnsi"/>
          <w:b/>
          <w:bCs/>
        </w:rPr>
      </w:pPr>
      <w:r w:rsidRPr="00D5036F">
        <w:rPr>
          <w:rFonts w:asciiTheme="majorHAnsi" w:hAnsiTheme="majorHAnsi"/>
          <w:b/>
          <w:bCs/>
        </w:rPr>
        <w:t>Članak 13.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2B4B2C">
        <w:rPr>
          <w:rFonts w:asciiTheme="majorHAnsi" w:hAnsiTheme="majorHAnsi"/>
        </w:rPr>
        <w:t>dluka o odabiru najpovoljnije ponude u postupku jednostavne nabave u pravilu sadrži najmanje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sljedeće podatke: podatke o naručitelju, predmet</w:t>
      </w:r>
      <w:r>
        <w:rPr>
          <w:rFonts w:asciiTheme="majorHAnsi" w:hAnsiTheme="majorHAnsi"/>
        </w:rPr>
        <w:t xml:space="preserve">u </w:t>
      </w:r>
      <w:r w:rsidRPr="002B4B2C">
        <w:rPr>
          <w:rFonts w:asciiTheme="majorHAnsi" w:hAnsiTheme="majorHAnsi"/>
        </w:rPr>
        <w:t>nabave, evidencijski broj nabave (ako je primjenjivo),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naziv i adresu sjedišta ponuditelja čija 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ponuda odabrana, OIB odabranog ponuditelja, cijenu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ponude bez PDV-a, iznos PDV-a i ukupnu cijenu ponude s PDV-om, razloge odabira, razloge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odbijanja ponuda, datum donošenja odluke i potpis</w:t>
      </w:r>
      <w:r>
        <w:rPr>
          <w:rFonts w:asciiTheme="majorHAnsi" w:hAnsiTheme="majorHAnsi"/>
        </w:rPr>
        <w:t xml:space="preserve"> odgovorne osobe.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Odluka o odabiru ponude ili poništenju postupka jednostavne nabave </w:t>
      </w:r>
      <w:r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 xml:space="preserve">aručitelj je obvezan bez odgode dostaviti svakom ponuditelju na dokaziv način (dostavnica, povratnica, izvješće o uspješnom slanju telefaksom, potvrda </w:t>
      </w:r>
      <w:r>
        <w:rPr>
          <w:rFonts w:asciiTheme="majorHAnsi" w:hAnsiTheme="majorHAnsi"/>
        </w:rPr>
        <w:t xml:space="preserve">slanja </w:t>
      </w:r>
      <w:r w:rsidRPr="002821F2">
        <w:rPr>
          <w:rFonts w:asciiTheme="majorHAnsi" w:hAnsiTheme="majorHAnsi"/>
        </w:rPr>
        <w:t>e-</w:t>
      </w:r>
      <w:proofErr w:type="spellStart"/>
      <w:r w:rsidRPr="002821F2">
        <w:rPr>
          <w:rFonts w:asciiTheme="majorHAnsi" w:hAnsiTheme="majorHAnsi"/>
        </w:rPr>
        <w:t>mailom</w:t>
      </w:r>
      <w:proofErr w:type="spellEnd"/>
      <w:r w:rsidRPr="002821F2">
        <w:rPr>
          <w:rFonts w:asciiTheme="majorHAnsi" w:hAnsiTheme="majorHAnsi"/>
        </w:rPr>
        <w:t>).  Rok za donošenje Odluke iznosi 30 dana od isteka roka za dostavu ponuda.</w:t>
      </w:r>
    </w:p>
    <w:p w:rsidR="002217A2" w:rsidRDefault="002217A2" w:rsidP="002217A2">
      <w:pPr>
        <w:spacing w:after="0"/>
        <w:ind w:left="3540" w:firstLine="708"/>
        <w:rPr>
          <w:rFonts w:asciiTheme="majorHAnsi" w:hAnsiTheme="majorHAnsi"/>
          <w:b/>
          <w:bCs/>
        </w:rPr>
      </w:pPr>
    </w:p>
    <w:p w:rsidR="002217A2" w:rsidRPr="002B4B2C" w:rsidRDefault="002217A2" w:rsidP="002217A2">
      <w:pPr>
        <w:spacing w:after="0"/>
        <w:jc w:val="center"/>
        <w:rPr>
          <w:rFonts w:asciiTheme="majorHAnsi" w:hAnsiTheme="majorHAnsi"/>
          <w:b/>
          <w:bCs/>
        </w:rPr>
      </w:pPr>
      <w:r w:rsidRPr="002B4B2C">
        <w:rPr>
          <w:rFonts w:asciiTheme="majorHAnsi" w:hAnsiTheme="majorHAnsi"/>
          <w:b/>
          <w:bCs/>
        </w:rPr>
        <w:lastRenderedPageBreak/>
        <w:t>Članak 14.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Protiv Odluke o odabiru ponude ili poništenju postupka jednostavne nabave, ne može se izjaviti žalba jer se na istu ne primjenjuje Zakon o javnoj nabavi.</w:t>
      </w:r>
    </w:p>
    <w:p w:rsidR="002217A2" w:rsidRPr="00A72EF9" w:rsidRDefault="002217A2" w:rsidP="002217A2">
      <w:pPr>
        <w:spacing w:after="0"/>
        <w:jc w:val="both"/>
        <w:rPr>
          <w:rFonts w:asciiTheme="majorHAnsi" w:hAnsiTheme="majorHAnsi"/>
          <w:b/>
          <w:bCs/>
        </w:rPr>
      </w:pPr>
    </w:p>
    <w:p w:rsidR="002217A2" w:rsidRPr="00A72EF9" w:rsidRDefault="002217A2" w:rsidP="002217A2">
      <w:pPr>
        <w:spacing w:after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XI</w:t>
      </w:r>
      <w:r w:rsidRPr="00A72EF9">
        <w:rPr>
          <w:rFonts w:asciiTheme="majorHAnsi" w:hAnsiTheme="majorHAnsi"/>
          <w:b/>
          <w:bCs/>
        </w:rPr>
        <w:t>. SKLAPANJE I IZVRŠENJE UGOVORA</w:t>
      </w:r>
    </w:p>
    <w:p w:rsidR="002217A2" w:rsidRPr="00A72EF9" w:rsidRDefault="002217A2" w:rsidP="002217A2">
      <w:pPr>
        <w:spacing w:after="0"/>
        <w:jc w:val="center"/>
        <w:rPr>
          <w:rFonts w:asciiTheme="majorHAnsi" w:hAnsiTheme="majorHAnsi"/>
          <w:b/>
          <w:bCs/>
        </w:rPr>
      </w:pPr>
    </w:p>
    <w:p w:rsidR="002217A2" w:rsidRPr="00A72EF9" w:rsidRDefault="002217A2" w:rsidP="002217A2">
      <w:pPr>
        <w:spacing w:after="0"/>
        <w:jc w:val="center"/>
        <w:rPr>
          <w:rFonts w:asciiTheme="majorHAnsi" w:hAnsiTheme="majorHAnsi"/>
          <w:b/>
          <w:bCs/>
        </w:rPr>
      </w:pPr>
      <w:r w:rsidRPr="00A72EF9">
        <w:rPr>
          <w:rFonts w:asciiTheme="majorHAnsi" w:hAnsiTheme="majorHAnsi"/>
          <w:b/>
          <w:bCs/>
        </w:rPr>
        <w:t>Članak 15.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Nakon što svi ponuditelji prime Odluku</w:t>
      </w:r>
      <w:r>
        <w:rPr>
          <w:rFonts w:asciiTheme="majorHAnsi" w:hAnsiTheme="majorHAnsi"/>
        </w:rPr>
        <w:t xml:space="preserve"> o odabiru</w:t>
      </w:r>
      <w:r w:rsidRPr="002821F2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 izrađuje prijedlog ugovora te organizira potpisivanje istog.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o jednostavnoj nabavi sklopit će se s odabranim ponuditeljem najkasnije u roku od 30 (trideset) dana od dana dostave odluke o odabiru ponude svim ponuditeljima, osim ako nije drugačije određeno </w:t>
      </w:r>
      <w:r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ozivom </w:t>
      </w:r>
      <w:r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 xml:space="preserve">a dostavu ponude.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</w:p>
    <w:p w:rsidR="002217A2" w:rsidRPr="007455B5" w:rsidRDefault="002217A2" w:rsidP="002217A2">
      <w:pPr>
        <w:spacing w:after="0"/>
        <w:jc w:val="center"/>
        <w:rPr>
          <w:rFonts w:asciiTheme="majorHAnsi" w:hAnsiTheme="majorHAnsi"/>
        </w:rPr>
      </w:pPr>
      <w:r w:rsidRPr="00A72EF9">
        <w:rPr>
          <w:rFonts w:asciiTheme="majorHAnsi" w:hAnsiTheme="majorHAnsi"/>
          <w:b/>
          <w:bCs/>
        </w:rPr>
        <w:t>Članak 16.</w:t>
      </w:r>
    </w:p>
    <w:p w:rsidR="002217A2" w:rsidRPr="00A72EF9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sklopljen na temelju provedenog postupka jednostavne nabave mora se izvršavati u skladu s uvjetima i zahtjevima iz </w:t>
      </w:r>
      <w:r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oziva </w:t>
      </w:r>
      <w:r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>a dostavu ponuda te odabranom ponudom.</w:t>
      </w:r>
    </w:p>
    <w:p w:rsidR="002217A2" w:rsidRPr="002A3463" w:rsidRDefault="002217A2" w:rsidP="002217A2">
      <w:pPr>
        <w:spacing w:after="0"/>
        <w:jc w:val="both"/>
        <w:rPr>
          <w:rFonts w:asciiTheme="majorHAnsi" w:hAnsiTheme="majorHAnsi"/>
        </w:rPr>
      </w:pPr>
    </w:p>
    <w:p w:rsidR="002217A2" w:rsidRPr="00F15CAE" w:rsidRDefault="002217A2" w:rsidP="002217A2">
      <w:pPr>
        <w:rPr>
          <w:rFonts w:asciiTheme="majorHAnsi" w:hAnsiTheme="majorHAnsi"/>
          <w:b/>
          <w:color w:val="92CDDC"/>
          <w:highlight w:val="yellow"/>
        </w:rPr>
      </w:pPr>
      <w:r>
        <w:rPr>
          <w:rFonts w:asciiTheme="majorHAnsi" w:hAnsiTheme="majorHAnsi"/>
          <w:b/>
          <w:bCs/>
        </w:rPr>
        <w:t>XII</w:t>
      </w:r>
      <w:r w:rsidRPr="002821F2">
        <w:rPr>
          <w:rFonts w:asciiTheme="majorHAnsi" w:hAnsiTheme="majorHAnsi"/>
          <w:b/>
          <w:bCs/>
        </w:rPr>
        <w:t>. POHRANA DOKUMENTACIJE I EVIDENTIRANJE NABAVE</w:t>
      </w:r>
    </w:p>
    <w:p w:rsidR="002217A2" w:rsidRPr="00F15CAE" w:rsidRDefault="002217A2" w:rsidP="002217A2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2821F2">
        <w:rPr>
          <w:rFonts w:asciiTheme="majorHAnsi" w:hAnsiTheme="majorHAnsi"/>
          <w:b/>
          <w:bCs/>
          <w:sz w:val="22"/>
          <w:szCs w:val="22"/>
        </w:rPr>
        <w:t>Članak 1</w:t>
      </w:r>
      <w:r>
        <w:rPr>
          <w:rFonts w:asciiTheme="majorHAnsi" w:hAnsiTheme="majorHAnsi"/>
          <w:b/>
          <w:bCs/>
          <w:sz w:val="22"/>
          <w:szCs w:val="22"/>
        </w:rPr>
        <w:t>7</w:t>
      </w:r>
      <w:r w:rsidRPr="002821F2">
        <w:rPr>
          <w:rFonts w:asciiTheme="majorHAnsi" w:hAnsiTheme="majorHAnsi"/>
          <w:b/>
          <w:bCs/>
          <w:sz w:val="22"/>
          <w:szCs w:val="22"/>
        </w:rPr>
        <w:t>.</w:t>
      </w:r>
    </w:p>
    <w:p w:rsidR="002217A2" w:rsidRDefault="002217A2" w:rsidP="002217A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F96EB6">
        <w:rPr>
          <w:rFonts w:asciiTheme="majorHAnsi" w:hAnsiTheme="majorHAnsi"/>
          <w:sz w:val="22"/>
          <w:szCs w:val="22"/>
        </w:rPr>
        <w:t>Dokumentacija jednostavne nabave u pravilu se čuva četiri godine od dana sklapanja ugovora o jednostavnoj nabavi odnosno izdavanja narudžbenice, ukoliko nije osnovnim ugovorom o financiranju drugačije propisano (</w:t>
      </w:r>
      <w:proofErr w:type="spellStart"/>
      <w:r w:rsidRPr="00F96EB6">
        <w:rPr>
          <w:rFonts w:asciiTheme="majorHAnsi" w:hAnsiTheme="majorHAnsi"/>
          <w:sz w:val="22"/>
          <w:szCs w:val="22"/>
        </w:rPr>
        <w:t>npr</w:t>
      </w:r>
      <w:proofErr w:type="spellEnd"/>
      <w:r w:rsidRPr="00F96EB6">
        <w:rPr>
          <w:rFonts w:asciiTheme="majorHAnsi" w:hAnsiTheme="majorHAnsi"/>
          <w:sz w:val="22"/>
          <w:szCs w:val="22"/>
        </w:rPr>
        <w:t xml:space="preserve">. ugovor o sufinanciranju iz EU fondova i </w:t>
      </w:r>
      <w:proofErr w:type="spellStart"/>
      <w:r w:rsidRPr="00F96EB6">
        <w:rPr>
          <w:rFonts w:asciiTheme="majorHAnsi" w:hAnsiTheme="majorHAnsi"/>
          <w:sz w:val="22"/>
          <w:szCs w:val="22"/>
        </w:rPr>
        <w:t>sl</w:t>
      </w:r>
      <w:proofErr w:type="spellEnd"/>
      <w:r w:rsidRPr="00F96EB6">
        <w:rPr>
          <w:rFonts w:asciiTheme="majorHAnsi" w:hAnsiTheme="majorHAnsi"/>
          <w:sz w:val="22"/>
          <w:szCs w:val="22"/>
        </w:rPr>
        <w:t>.) ili nekim drugim provedbenim propisima.</w:t>
      </w:r>
      <w:r w:rsidRPr="002821F2">
        <w:rPr>
          <w:rFonts w:asciiTheme="majorHAnsi" w:hAnsiTheme="majorHAnsi"/>
          <w:sz w:val="22"/>
          <w:szCs w:val="22"/>
        </w:rPr>
        <w:t xml:space="preserve"> </w:t>
      </w:r>
    </w:p>
    <w:p w:rsidR="002217A2" w:rsidRPr="002A3463" w:rsidRDefault="002217A2" w:rsidP="002217A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217A2" w:rsidRPr="00955131" w:rsidRDefault="002217A2" w:rsidP="002217A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XIII</w:t>
      </w:r>
      <w:r w:rsidRPr="002821F2">
        <w:rPr>
          <w:rFonts w:asciiTheme="majorHAnsi" w:hAnsiTheme="majorHAnsi"/>
          <w:b/>
        </w:rPr>
        <w:t>. IZUZEĆE OD PRIMJENE PRAVILNIKA</w:t>
      </w: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8</w:t>
      </w:r>
      <w:r w:rsidRPr="002821F2">
        <w:rPr>
          <w:rFonts w:asciiTheme="majorHAnsi" w:hAnsiTheme="majorHAnsi"/>
          <w:b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Ovaj Pravilnik ne primjenjuje se na: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- nabavu usluga od ponuditelja čiji se odabir predlaže zbog specijalističkih stručnih znanja i posebnih okolnosti (konzultantske usluge, specijalističke usluge, tehnički razlozi i </w:t>
      </w:r>
      <w:proofErr w:type="spellStart"/>
      <w:r w:rsidRPr="007455B5">
        <w:rPr>
          <w:rFonts w:asciiTheme="majorHAnsi" w:hAnsiTheme="majorHAnsi"/>
        </w:rPr>
        <w:t>sl</w:t>
      </w:r>
      <w:proofErr w:type="spellEnd"/>
      <w:r w:rsidRPr="007455B5">
        <w:rPr>
          <w:rFonts w:asciiTheme="majorHAnsi" w:hAnsiTheme="majorHAnsi"/>
        </w:rPr>
        <w:t>.)</w:t>
      </w:r>
      <w:r>
        <w:rPr>
          <w:rFonts w:asciiTheme="majorHAnsi" w:hAnsiTheme="majorHAnsi"/>
        </w:rPr>
        <w:t>,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nabavu robe zbog posebnih okolnosti ili po posebnim uvjetima</w:t>
      </w:r>
      <w:r>
        <w:rPr>
          <w:rFonts w:asciiTheme="majorHAnsi" w:hAnsiTheme="majorHAnsi"/>
        </w:rPr>
        <w:t>,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kada zbog umjetničkih razloga i/ili razloga povezanih sa zaštitom isključivih prava ugovor može izvršiti samo određeni ponuditelj</w:t>
      </w:r>
      <w:r>
        <w:rPr>
          <w:rFonts w:asciiTheme="majorHAnsi" w:hAnsiTheme="majorHAnsi"/>
        </w:rPr>
        <w:t>,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7455B5">
        <w:rPr>
          <w:rFonts w:asciiTheme="majorHAnsi" w:hAnsiTheme="majorHAnsi"/>
        </w:rPr>
        <w:t xml:space="preserve">nabave zdravstvenih usluga, </w:t>
      </w:r>
      <w:r>
        <w:rPr>
          <w:rFonts w:asciiTheme="majorHAnsi" w:hAnsiTheme="majorHAnsi"/>
        </w:rPr>
        <w:t xml:space="preserve">veterinarskih usluga, </w:t>
      </w:r>
      <w:r w:rsidRPr="007455B5">
        <w:rPr>
          <w:rFonts w:asciiTheme="majorHAnsi" w:hAnsiTheme="majorHAnsi"/>
        </w:rPr>
        <w:t xml:space="preserve">socijalnih usluga, usluga obrazovanja, konzervatorskih usluga, </w:t>
      </w:r>
      <w:r>
        <w:rPr>
          <w:rFonts w:asciiTheme="majorHAnsi" w:hAnsiTheme="majorHAnsi"/>
        </w:rPr>
        <w:t xml:space="preserve">usluga oglašavanja, medijskih usluga, usluga promidžbe, </w:t>
      </w:r>
      <w:r w:rsidRPr="007455B5">
        <w:rPr>
          <w:rFonts w:asciiTheme="majorHAnsi" w:hAnsiTheme="majorHAnsi"/>
        </w:rPr>
        <w:t xml:space="preserve">usluga hotelskog smještaja, restoranskih usluga i usluga </w:t>
      </w:r>
      <w:proofErr w:type="spellStart"/>
      <w:r w:rsidRPr="007455B5">
        <w:rPr>
          <w:rFonts w:asciiTheme="majorHAnsi" w:hAnsiTheme="majorHAnsi"/>
        </w:rPr>
        <w:t>cateringa</w:t>
      </w:r>
      <w:proofErr w:type="spellEnd"/>
      <w:r w:rsidRPr="007455B5">
        <w:rPr>
          <w:rFonts w:asciiTheme="majorHAnsi" w:hAnsiTheme="majorHAnsi"/>
        </w:rPr>
        <w:t xml:space="preserve">,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kada je to potrebno zbog održavanja i/ili nadogradnje postojećih programskih rješenja i postojećih sustava, obavljanja usluga ili radova na dovršenju započetih, a povezanih funkcionalnih ili prostornih cjelina,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kada u postupku prikupljanja ponuda nije dostavljena nijedna ponuda, a postupak jednostavne nabave se ponavlja</w:t>
      </w:r>
      <w:r>
        <w:rPr>
          <w:rFonts w:asciiTheme="majorHAnsi" w:hAnsiTheme="majorHAnsi"/>
        </w:rPr>
        <w:t>,</w:t>
      </w:r>
      <w:r w:rsidRPr="007455B5">
        <w:rPr>
          <w:rFonts w:asciiTheme="majorHAnsi" w:hAnsiTheme="majorHAnsi"/>
        </w:rPr>
        <w:t xml:space="preserve">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- žurne nabave uzrokovane događajima koji se nisu mogli unaprijed predvidjeti odnosno kada zbog nepredviđenih okolnosti, na koje </w:t>
      </w:r>
      <w:r>
        <w:rPr>
          <w:rFonts w:asciiTheme="majorHAnsi" w:hAnsiTheme="majorHAnsi"/>
        </w:rPr>
        <w:t xml:space="preserve">Općina Gornji </w:t>
      </w:r>
      <w:proofErr w:type="spellStart"/>
      <w:r>
        <w:rPr>
          <w:rFonts w:asciiTheme="majorHAnsi" w:hAnsiTheme="majorHAnsi"/>
        </w:rPr>
        <w:t>Bogićevci</w:t>
      </w:r>
      <w:proofErr w:type="spellEnd"/>
      <w:r>
        <w:rPr>
          <w:rFonts w:asciiTheme="majorHAnsi" w:hAnsiTheme="majorHAnsi"/>
        </w:rPr>
        <w:t xml:space="preserve"> </w:t>
      </w:r>
      <w:r w:rsidRPr="007455B5">
        <w:rPr>
          <w:rFonts w:asciiTheme="majorHAnsi" w:hAnsiTheme="majorHAnsi"/>
        </w:rPr>
        <w:t>nije mog</w:t>
      </w:r>
      <w:r>
        <w:rPr>
          <w:rFonts w:asciiTheme="majorHAnsi" w:hAnsiTheme="majorHAnsi"/>
        </w:rPr>
        <w:t>la</w:t>
      </w:r>
      <w:r w:rsidRPr="007455B5">
        <w:rPr>
          <w:rFonts w:asciiTheme="majorHAnsi" w:hAnsiTheme="majorHAnsi"/>
        </w:rPr>
        <w:t xml:space="preserve"> utjecati, nije moguće provesti postupak jednostavne nabave koji je propisan ovim Pravilnikom (</w:t>
      </w:r>
      <w:proofErr w:type="spellStart"/>
      <w:r w:rsidRPr="007455B5">
        <w:rPr>
          <w:rFonts w:asciiTheme="majorHAnsi" w:hAnsiTheme="majorHAnsi"/>
        </w:rPr>
        <w:t>npr</w:t>
      </w:r>
      <w:proofErr w:type="spellEnd"/>
      <w:r w:rsidRPr="007455B5">
        <w:rPr>
          <w:rFonts w:asciiTheme="majorHAnsi" w:hAnsiTheme="majorHAnsi"/>
        </w:rPr>
        <w:t xml:space="preserve">. zbog zaštite zdravlja i sigurnosti zaposlenika, nastanka štete na materijalnoj imovini, više sile i </w:t>
      </w:r>
      <w:proofErr w:type="spellStart"/>
      <w:r w:rsidRPr="007455B5">
        <w:rPr>
          <w:rFonts w:asciiTheme="majorHAnsi" w:hAnsiTheme="majorHAnsi"/>
        </w:rPr>
        <w:t>sl</w:t>
      </w:r>
      <w:proofErr w:type="spellEnd"/>
      <w:r w:rsidRPr="007455B5">
        <w:rPr>
          <w:rFonts w:asciiTheme="majorHAnsi" w:hAnsiTheme="majorHAnsi"/>
        </w:rPr>
        <w:t xml:space="preserve">.).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 slučajevima navedenim u stavku 1. ovoga članka </w:t>
      </w:r>
      <w:r>
        <w:rPr>
          <w:rFonts w:asciiTheme="majorHAnsi" w:hAnsiTheme="majorHAnsi"/>
        </w:rPr>
        <w:t xml:space="preserve">Općina Gornji </w:t>
      </w:r>
      <w:proofErr w:type="spellStart"/>
      <w:r>
        <w:rPr>
          <w:rFonts w:asciiTheme="majorHAnsi" w:hAnsiTheme="majorHAnsi"/>
        </w:rPr>
        <w:t>Bogićevci</w:t>
      </w:r>
      <w:proofErr w:type="spellEnd"/>
      <w:r w:rsidRPr="007455B5">
        <w:rPr>
          <w:rFonts w:asciiTheme="majorHAnsi" w:hAnsiTheme="majorHAnsi"/>
        </w:rPr>
        <w:t xml:space="preserve"> može zatražiti jednu ponudu odnosno ugovor o nabavi može se sklopiti izravnim ugovaranjem s jednim gospodarskim subjektom ili se može izdati narudžbenica.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lastRenderedPageBreak/>
        <w:t xml:space="preserve">Poziv za izdavanje narudžbenice ili sklapanje ugovora upućuje se u pravilu elektroničkom poštom jednom gospodarskom subjektu. </w:t>
      </w:r>
    </w:p>
    <w:p w:rsidR="002217A2" w:rsidRPr="00975156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Ukoliko se radi o nabavi koja nije izuzeće sukladno provedbenim propisima iz područja javne nabave, svi predmeti nabave jednake ili veće procijenjene vrijednosti u iznosu od </w:t>
      </w:r>
      <w:r>
        <w:rPr>
          <w:rFonts w:asciiTheme="majorHAnsi" w:hAnsiTheme="majorHAnsi"/>
        </w:rPr>
        <w:t>2.650,00</w:t>
      </w:r>
      <w:r w:rsidRPr="007455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eura</w:t>
      </w:r>
      <w:r w:rsidRPr="007455B5">
        <w:rPr>
          <w:rFonts w:asciiTheme="majorHAnsi" w:hAnsiTheme="majorHAnsi"/>
        </w:rPr>
        <w:t xml:space="preserve"> bez PDV-a unose se u plan </w:t>
      </w:r>
      <w:r w:rsidRPr="00975156">
        <w:rPr>
          <w:rFonts w:asciiTheme="majorHAnsi" w:hAnsiTheme="majorHAnsi"/>
        </w:rPr>
        <w:t>nabave.</w:t>
      </w:r>
    </w:p>
    <w:p w:rsidR="002217A2" w:rsidRDefault="002217A2" w:rsidP="002217A2">
      <w:pPr>
        <w:spacing w:after="0"/>
        <w:jc w:val="both"/>
        <w:rPr>
          <w:rFonts w:asciiTheme="majorHAnsi" w:hAnsiTheme="majorHAnsi"/>
          <w:b/>
        </w:rPr>
      </w:pPr>
    </w:p>
    <w:p w:rsidR="002217A2" w:rsidRPr="002821F2" w:rsidRDefault="002217A2" w:rsidP="002217A2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X</w:t>
      </w:r>
      <w:r>
        <w:rPr>
          <w:rFonts w:asciiTheme="majorHAnsi" w:hAnsiTheme="majorHAnsi"/>
          <w:b/>
        </w:rPr>
        <w:t>IV</w:t>
      </w:r>
      <w:r w:rsidRPr="002821F2">
        <w:rPr>
          <w:rFonts w:asciiTheme="majorHAnsi" w:hAnsiTheme="majorHAnsi"/>
          <w:b/>
        </w:rPr>
        <w:t>. PRIJELAZNE I ZAVRŠNE ODREDBE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9</w:t>
      </w:r>
      <w:r w:rsidRPr="002821F2">
        <w:rPr>
          <w:rFonts w:asciiTheme="majorHAnsi" w:hAnsiTheme="majorHAnsi"/>
          <w:b/>
        </w:rPr>
        <w:t xml:space="preserve">. 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Cs/>
        </w:rPr>
        <w:t>Postupci jednostavne nabave pokrenuti do stupanja na snagu ovoga Pravilnika dovršit će se prema odredbama pravilnika koji je bio na snazi u vrijeme započinjanja postupka nabave.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Cs/>
        </w:rPr>
      </w:pPr>
    </w:p>
    <w:p w:rsidR="002217A2" w:rsidRPr="00C7094C" w:rsidRDefault="002217A2" w:rsidP="002217A2">
      <w:pPr>
        <w:spacing w:after="0"/>
        <w:jc w:val="center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20</w:t>
      </w:r>
      <w:r>
        <w:rPr>
          <w:rFonts w:asciiTheme="majorHAnsi" w:hAnsiTheme="majorHAnsi"/>
          <w:bCs/>
        </w:rPr>
        <w:t>.</w:t>
      </w:r>
    </w:p>
    <w:p w:rsidR="002217A2" w:rsidRDefault="002217A2" w:rsidP="002217A2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  <w:b/>
        </w:rPr>
        <w:tab/>
      </w:r>
      <w:r w:rsidRPr="002821F2">
        <w:rPr>
          <w:rFonts w:asciiTheme="majorHAnsi" w:hAnsiTheme="majorHAnsi"/>
        </w:rPr>
        <w:t>Stupanjem na snagu ovog Pravilnika, prestaje važiti  Pravilnik o prov</w:t>
      </w:r>
      <w:r>
        <w:rPr>
          <w:rFonts w:asciiTheme="majorHAnsi" w:hAnsiTheme="majorHAnsi"/>
        </w:rPr>
        <w:t>ođenju</w:t>
      </w:r>
      <w:r w:rsidRPr="002821F2">
        <w:rPr>
          <w:rFonts w:asciiTheme="majorHAnsi" w:hAnsiTheme="majorHAnsi"/>
        </w:rPr>
        <w:t xml:space="preserve"> postupaka jednostavne </w:t>
      </w:r>
      <w:r w:rsidRPr="00D85AB6">
        <w:rPr>
          <w:rFonts w:asciiTheme="majorHAnsi" w:hAnsiTheme="majorHAnsi"/>
        </w:rPr>
        <w:t xml:space="preserve">nabave </w:t>
      </w:r>
      <w:r w:rsidRPr="00805D14">
        <w:rPr>
          <w:rFonts w:asciiTheme="majorHAnsi" w:hAnsiTheme="majorHAnsi"/>
        </w:rPr>
        <w:t>KLASA: 023-01/17-02/1</w:t>
      </w:r>
      <w:r>
        <w:rPr>
          <w:rFonts w:asciiTheme="majorHAnsi" w:hAnsiTheme="majorHAnsi"/>
        </w:rPr>
        <w:t xml:space="preserve">, </w:t>
      </w:r>
      <w:proofErr w:type="spellStart"/>
      <w:r w:rsidRPr="00805D14">
        <w:rPr>
          <w:rFonts w:asciiTheme="majorHAnsi" w:hAnsiTheme="majorHAnsi"/>
        </w:rPr>
        <w:t>UR.BROJ</w:t>
      </w:r>
      <w:proofErr w:type="spellEnd"/>
      <w:r w:rsidRPr="00805D14">
        <w:rPr>
          <w:rFonts w:asciiTheme="majorHAnsi" w:hAnsiTheme="majorHAnsi"/>
        </w:rPr>
        <w:t>: 2178/18-01-17-1</w:t>
      </w:r>
      <w:r>
        <w:rPr>
          <w:rFonts w:asciiTheme="majorHAnsi" w:hAnsiTheme="majorHAnsi"/>
        </w:rPr>
        <w:t xml:space="preserve"> od </w:t>
      </w:r>
      <w:r w:rsidRPr="00805D14">
        <w:rPr>
          <w:rFonts w:asciiTheme="majorHAnsi" w:hAnsiTheme="majorHAnsi"/>
        </w:rPr>
        <w:t>10. studenog 2017.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Pr="002821F2" w:rsidRDefault="002217A2" w:rsidP="002217A2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21</w:t>
      </w:r>
      <w:r w:rsidRPr="002821F2">
        <w:rPr>
          <w:rFonts w:asciiTheme="majorHAnsi" w:hAnsiTheme="majorHAnsi"/>
          <w:b/>
        </w:rPr>
        <w:t>.</w:t>
      </w: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Ovaj Pravilnik stupa na snagu osmog dana od dana objave u „Službenom </w:t>
      </w:r>
      <w:r>
        <w:rPr>
          <w:rFonts w:asciiTheme="majorHAnsi" w:hAnsiTheme="majorHAnsi"/>
        </w:rPr>
        <w:t>glasniku</w:t>
      </w:r>
      <w:r w:rsidRPr="002821F2">
        <w:rPr>
          <w:rFonts w:asciiTheme="majorHAnsi" w:hAnsiTheme="majorHAnsi"/>
        </w:rPr>
        <w:t>“</w:t>
      </w:r>
      <w:r>
        <w:rPr>
          <w:rFonts w:asciiTheme="majorHAnsi" w:hAnsiTheme="majorHAnsi"/>
        </w:rPr>
        <w:t xml:space="preserve"> Općine Gornji </w:t>
      </w:r>
      <w:proofErr w:type="spellStart"/>
      <w:r>
        <w:rPr>
          <w:rFonts w:asciiTheme="majorHAnsi" w:hAnsiTheme="majorHAnsi"/>
        </w:rPr>
        <w:t>Bogićevci</w:t>
      </w:r>
      <w:proofErr w:type="spellEnd"/>
      <w:r w:rsidRPr="002821F2">
        <w:rPr>
          <w:rFonts w:asciiTheme="majorHAnsi" w:hAnsiTheme="majorHAnsi"/>
        </w:rPr>
        <w:t>.</w:t>
      </w:r>
    </w:p>
    <w:p w:rsidR="002217A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</w:p>
    <w:p w:rsidR="002217A2" w:rsidRPr="002821F2" w:rsidRDefault="002217A2" w:rsidP="002217A2">
      <w:pPr>
        <w:spacing w:after="0"/>
        <w:ind w:firstLine="708"/>
        <w:jc w:val="both"/>
        <w:rPr>
          <w:rFonts w:asciiTheme="majorHAnsi" w:hAnsiTheme="majorHAnsi"/>
        </w:rPr>
      </w:pPr>
    </w:p>
    <w:p w:rsidR="002217A2" w:rsidRPr="002821F2" w:rsidRDefault="002217A2" w:rsidP="002217A2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OPĆINSKI NAČELNIK</w:t>
      </w:r>
    </w:p>
    <w:p w:rsidR="002217A2" w:rsidRPr="007A62D6" w:rsidRDefault="002217A2" w:rsidP="002217A2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     </w:t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  <w:t xml:space="preserve">    </w:t>
      </w:r>
      <w:r>
        <w:rPr>
          <w:rFonts w:asciiTheme="majorHAnsi" w:hAnsiTheme="majorHAnsi"/>
        </w:rPr>
        <w:t xml:space="preserve">                                                            Pavo Klarić</w:t>
      </w:r>
    </w:p>
    <w:p w:rsidR="002217A2" w:rsidRDefault="002217A2" w:rsidP="002217A2">
      <w:pPr>
        <w:spacing w:after="0"/>
        <w:jc w:val="center"/>
        <w:rPr>
          <w:rFonts w:asciiTheme="majorHAnsi" w:hAnsiTheme="majorHAnsi"/>
          <w:b/>
        </w:rPr>
      </w:pPr>
    </w:p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/>
    <w:p w:rsidR="002217A2" w:rsidRDefault="002217A2" w:rsidP="00B863A6">
      <w:r>
        <w:t xml:space="preserve">4. </w:t>
      </w:r>
    </w:p>
    <w:p w:rsidR="002217A2" w:rsidRPr="002217A2" w:rsidRDefault="002217A2" w:rsidP="002217A2">
      <w:pPr>
        <w:rPr>
          <w:rFonts w:ascii="Calibri" w:hAnsi="Calibri" w:cs="Calibri"/>
          <w:b/>
        </w:rPr>
      </w:pPr>
      <w:r w:rsidRPr="002217A2">
        <w:rPr>
          <w:rFonts w:ascii="Calibri" w:hAnsi="Calibri" w:cs="Calibri"/>
          <w:b/>
        </w:rPr>
        <w:t xml:space="preserve">       </w:t>
      </w:r>
      <w:r w:rsidRPr="002217A2">
        <w:rPr>
          <w:rFonts w:ascii="Calibri" w:hAnsi="Calibri" w:cs="Calibri"/>
          <w:noProof/>
          <w:lang w:eastAsia="hr-HR"/>
        </w:rPr>
        <w:drawing>
          <wp:inline distT="0" distB="0" distL="0" distR="0">
            <wp:extent cx="685800" cy="828675"/>
            <wp:effectExtent l="0" t="0" r="0" b="9525"/>
            <wp:docPr id="15092310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A2" w:rsidRPr="002217A2" w:rsidRDefault="002217A2" w:rsidP="002217A2">
      <w:pPr>
        <w:rPr>
          <w:rFonts w:ascii="Arial" w:hAnsi="Arial" w:cs="Arial"/>
          <w:b/>
        </w:rPr>
      </w:pPr>
      <w:r w:rsidRPr="002217A2">
        <w:rPr>
          <w:rFonts w:ascii="Arial" w:hAnsi="Arial" w:cs="Arial"/>
          <w:b/>
        </w:rPr>
        <w:t>REPUBLIKA HRVATSKA</w:t>
      </w:r>
    </w:p>
    <w:p w:rsidR="002217A2" w:rsidRPr="002217A2" w:rsidRDefault="002217A2" w:rsidP="002217A2">
      <w:pPr>
        <w:rPr>
          <w:rFonts w:ascii="Arial" w:hAnsi="Arial" w:cs="Arial"/>
          <w:b/>
        </w:rPr>
      </w:pPr>
      <w:r w:rsidRPr="002217A2">
        <w:rPr>
          <w:rFonts w:ascii="Arial" w:hAnsi="Arial" w:cs="Arial"/>
          <w:b/>
        </w:rPr>
        <w:t>BRODSKO-POSAVSKA ŽUPANIJA</w:t>
      </w:r>
    </w:p>
    <w:p w:rsidR="002217A2" w:rsidRPr="002217A2" w:rsidRDefault="002217A2" w:rsidP="002217A2">
      <w:pPr>
        <w:rPr>
          <w:rFonts w:ascii="Arial" w:hAnsi="Arial" w:cs="Arial"/>
          <w:b/>
        </w:rPr>
      </w:pPr>
      <w:r w:rsidRPr="002217A2">
        <w:rPr>
          <w:rFonts w:ascii="Arial" w:hAnsi="Arial" w:cs="Arial"/>
          <w:b/>
        </w:rPr>
        <w:t>OPĆINA GORNJI BOGIĆEVCI</w:t>
      </w:r>
    </w:p>
    <w:p w:rsidR="002217A2" w:rsidRPr="002217A2" w:rsidRDefault="002217A2" w:rsidP="002217A2">
      <w:pPr>
        <w:rPr>
          <w:rFonts w:ascii="Arial" w:hAnsi="Arial" w:cs="Arial"/>
          <w:b/>
        </w:rPr>
      </w:pPr>
      <w:r w:rsidRPr="002217A2">
        <w:rPr>
          <w:rFonts w:ascii="Arial" w:hAnsi="Arial" w:cs="Arial"/>
          <w:b/>
        </w:rPr>
        <w:t>OPĆINSKO VIJEĆE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lastRenderedPageBreak/>
        <w:t xml:space="preserve">Na temelju članka 19.a Zakona o porezu na dohodak („Narodne novine“ br. 115/16, 106/18, 121/19, 32/20, 138/20, 151/22 i 114/23) i članka 39. Statuta Općine Gornji </w:t>
      </w:r>
      <w:proofErr w:type="spellStart"/>
      <w:r w:rsidRPr="002217A2">
        <w:rPr>
          <w:rFonts w:ascii="Arial" w:hAnsi="Arial" w:cs="Arial"/>
        </w:rPr>
        <w:t>Bogićevci</w:t>
      </w:r>
      <w:proofErr w:type="spellEnd"/>
      <w:r w:rsidRPr="002217A2">
        <w:rPr>
          <w:rFonts w:ascii="Arial" w:hAnsi="Arial" w:cs="Arial"/>
        </w:rPr>
        <w:t xml:space="preserve"> („Službeni glasnik Općine Gornji </w:t>
      </w:r>
      <w:proofErr w:type="spellStart"/>
      <w:r w:rsidRPr="002217A2">
        <w:rPr>
          <w:rFonts w:ascii="Arial" w:hAnsi="Arial" w:cs="Arial"/>
        </w:rPr>
        <w:t>Bogićevci</w:t>
      </w:r>
      <w:proofErr w:type="spellEnd"/>
      <w:r w:rsidRPr="002217A2">
        <w:rPr>
          <w:rFonts w:ascii="Arial" w:hAnsi="Arial" w:cs="Arial"/>
        </w:rPr>
        <w:t xml:space="preserve"> br. 2/21) Općinsko vijeće Općine Gornji </w:t>
      </w:r>
      <w:proofErr w:type="spellStart"/>
      <w:r w:rsidRPr="002217A2">
        <w:rPr>
          <w:rFonts w:ascii="Arial" w:hAnsi="Arial" w:cs="Arial"/>
        </w:rPr>
        <w:t>Bogićevci</w:t>
      </w:r>
      <w:proofErr w:type="spellEnd"/>
      <w:r w:rsidRPr="002217A2">
        <w:rPr>
          <w:rFonts w:ascii="Arial" w:hAnsi="Arial" w:cs="Arial"/>
        </w:rPr>
        <w:t xml:space="preserve"> na 19. sjednici održanoj 19.12.2024. godine, donijelo je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ODLUKU </w:t>
      </w: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o visini poreznih stopa godišnjeg poreza na dohodak </w:t>
      </w: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na području Općine Gornji </w:t>
      </w:r>
      <w:proofErr w:type="spellStart"/>
      <w:r w:rsidRPr="002217A2">
        <w:rPr>
          <w:rFonts w:ascii="Arial" w:hAnsi="Arial" w:cs="Arial"/>
          <w:b/>
          <w:bCs/>
        </w:rPr>
        <w:t>Bogićevci</w:t>
      </w:r>
      <w:proofErr w:type="spellEnd"/>
      <w:r w:rsidRPr="002217A2">
        <w:rPr>
          <w:rFonts w:ascii="Arial" w:hAnsi="Arial" w:cs="Arial"/>
          <w:b/>
          <w:bCs/>
        </w:rPr>
        <w:t xml:space="preserve"> </w:t>
      </w: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Članak 1. 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t xml:space="preserve">Ovom Odlukom utvrđuje se visina poreznih stopa godišnjeg poreza na dohodak za porezne obveznike na području Općine Gornji </w:t>
      </w:r>
      <w:proofErr w:type="spellStart"/>
      <w:r w:rsidRPr="002217A2">
        <w:rPr>
          <w:rFonts w:ascii="Arial" w:hAnsi="Arial" w:cs="Arial"/>
        </w:rPr>
        <w:t>Bogićevci</w:t>
      </w:r>
      <w:proofErr w:type="spellEnd"/>
      <w:r w:rsidRPr="002217A2">
        <w:rPr>
          <w:rFonts w:ascii="Arial" w:hAnsi="Arial" w:cs="Arial"/>
        </w:rPr>
        <w:t xml:space="preserve">. </w:t>
      </w: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Članak 2. 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t xml:space="preserve">Porezne stope iz članka 1. ove Odluke utvrđuju se kako slijedi: 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t xml:space="preserve">− niža porezna stopa 20%, 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t xml:space="preserve">− viša porezna stopa 30%. </w:t>
      </w:r>
    </w:p>
    <w:p w:rsidR="002217A2" w:rsidRPr="002217A2" w:rsidRDefault="002217A2" w:rsidP="002217A2">
      <w:pPr>
        <w:jc w:val="center"/>
        <w:rPr>
          <w:rFonts w:ascii="Arial" w:hAnsi="Arial" w:cs="Arial"/>
          <w:b/>
          <w:bCs/>
        </w:rPr>
      </w:pPr>
      <w:r w:rsidRPr="002217A2">
        <w:rPr>
          <w:rFonts w:ascii="Arial" w:hAnsi="Arial" w:cs="Arial"/>
          <w:b/>
          <w:bCs/>
        </w:rPr>
        <w:t xml:space="preserve">Članak 3. 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  <w:r w:rsidRPr="002217A2">
        <w:rPr>
          <w:rFonts w:ascii="Arial" w:hAnsi="Arial" w:cs="Arial"/>
        </w:rPr>
        <w:t xml:space="preserve">Ova Odluka objavit će se u „Narodnim novinama“ i „Službenom glasniku Općine Gornji </w:t>
      </w:r>
      <w:proofErr w:type="spellStart"/>
      <w:r w:rsidRPr="002217A2">
        <w:rPr>
          <w:rFonts w:ascii="Arial" w:hAnsi="Arial" w:cs="Arial"/>
        </w:rPr>
        <w:t>Bogićevci</w:t>
      </w:r>
      <w:proofErr w:type="spellEnd"/>
      <w:r w:rsidRPr="002217A2">
        <w:rPr>
          <w:rFonts w:ascii="Arial" w:hAnsi="Arial" w:cs="Arial"/>
        </w:rPr>
        <w:t>“, a stupa na snagu 1. ožujka 2025. godine.</w:t>
      </w:r>
    </w:p>
    <w:p w:rsidR="002217A2" w:rsidRPr="002217A2" w:rsidRDefault="002217A2" w:rsidP="002217A2">
      <w:pPr>
        <w:ind w:firstLine="708"/>
        <w:jc w:val="both"/>
        <w:rPr>
          <w:rFonts w:ascii="Arial" w:hAnsi="Arial" w:cs="Arial"/>
        </w:rPr>
      </w:pPr>
    </w:p>
    <w:p w:rsidR="002217A2" w:rsidRPr="002217A2" w:rsidRDefault="002217A2" w:rsidP="002217A2">
      <w:pPr>
        <w:rPr>
          <w:rFonts w:ascii="Arial" w:eastAsia="Calibri" w:hAnsi="Arial" w:cs="Arial"/>
        </w:rPr>
      </w:pPr>
      <w:r w:rsidRPr="002217A2">
        <w:rPr>
          <w:rFonts w:ascii="Arial" w:eastAsia="Calibri" w:hAnsi="Arial" w:cs="Arial"/>
        </w:rPr>
        <w:t>KLASA: 410-01/24-02/01</w:t>
      </w:r>
    </w:p>
    <w:p w:rsidR="002217A2" w:rsidRPr="002217A2" w:rsidRDefault="002217A2" w:rsidP="002217A2">
      <w:pPr>
        <w:rPr>
          <w:rFonts w:ascii="Arial" w:eastAsia="Calibri" w:hAnsi="Arial" w:cs="Arial"/>
        </w:rPr>
      </w:pPr>
      <w:r w:rsidRPr="002217A2">
        <w:rPr>
          <w:rFonts w:ascii="Arial" w:eastAsia="Calibri" w:hAnsi="Arial" w:cs="Arial"/>
        </w:rPr>
        <w:t>URBROJ: 2178-22-03/1-24-1</w:t>
      </w:r>
    </w:p>
    <w:p w:rsidR="002217A2" w:rsidRPr="002217A2" w:rsidRDefault="002217A2" w:rsidP="002217A2">
      <w:pPr>
        <w:rPr>
          <w:rFonts w:ascii="Arial" w:hAnsi="Arial" w:cs="Arial"/>
        </w:rPr>
      </w:pPr>
      <w:r w:rsidRPr="002217A2">
        <w:rPr>
          <w:rFonts w:ascii="Arial" w:eastAsia="Calibri" w:hAnsi="Arial" w:cs="Arial"/>
        </w:rPr>
        <w:t xml:space="preserve">Gornji </w:t>
      </w:r>
      <w:proofErr w:type="spellStart"/>
      <w:r w:rsidRPr="002217A2">
        <w:rPr>
          <w:rFonts w:ascii="Arial" w:eastAsia="Calibri" w:hAnsi="Arial" w:cs="Arial"/>
        </w:rPr>
        <w:t>Bogićevci</w:t>
      </w:r>
      <w:proofErr w:type="spellEnd"/>
      <w:r w:rsidRPr="002217A2">
        <w:rPr>
          <w:rFonts w:ascii="Arial" w:eastAsia="Calibri" w:hAnsi="Arial" w:cs="Arial"/>
        </w:rPr>
        <w:t>, 19.12.2024.god.</w:t>
      </w:r>
    </w:p>
    <w:p w:rsidR="002217A2" w:rsidRPr="002217A2" w:rsidRDefault="002217A2" w:rsidP="002217A2">
      <w:pPr>
        <w:ind w:left="5664" w:firstLine="708"/>
        <w:rPr>
          <w:rFonts w:ascii="Arial" w:hAnsi="Arial" w:cs="Arial"/>
        </w:rPr>
      </w:pPr>
      <w:r w:rsidRPr="002217A2">
        <w:rPr>
          <w:rFonts w:ascii="Arial" w:hAnsi="Arial" w:cs="Arial"/>
        </w:rPr>
        <w:t>PREDSJEDNIK</w:t>
      </w:r>
    </w:p>
    <w:p w:rsidR="002217A2" w:rsidRPr="002217A2" w:rsidRDefault="002217A2" w:rsidP="002217A2">
      <w:pPr>
        <w:rPr>
          <w:rFonts w:ascii="Arial" w:hAnsi="Arial" w:cs="Arial"/>
        </w:rPr>
      </w:pP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  <w:t xml:space="preserve">     OPĆINSKOG VIJEĆA:</w:t>
      </w:r>
    </w:p>
    <w:p w:rsidR="002217A2" w:rsidRPr="002217A2" w:rsidRDefault="002217A2" w:rsidP="002217A2">
      <w:pPr>
        <w:rPr>
          <w:rFonts w:ascii="Arial" w:hAnsi="Arial" w:cs="Arial"/>
        </w:rPr>
      </w:pP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</w:r>
      <w:r w:rsidRPr="002217A2">
        <w:rPr>
          <w:rFonts w:ascii="Arial" w:hAnsi="Arial" w:cs="Arial"/>
        </w:rPr>
        <w:tab/>
        <w:t xml:space="preserve">           Željko Klarić</w:t>
      </w:r>
    </w:p>
    <w:p w:rsid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 xml:space="preserve">Na temelju članka 7. i članka 10. Zakona o financiranju političkih aktivnosti, izborne promidžbe i referenduma („Narodne novine“ broj 29/19 i 98/19) i članka 39. Statuta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“ br. 02/21) Općinsko vijeće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na 21. sjednici održanoj 19.12. 2024. godine, donijelo je</w:t>
      </w: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o raspoređivanju sredstava za financiranje političkih stranaka zastupljenih u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 xml:space="preserve">Općinskom vijeću Općine Gornji </w:t>
      </w:r>
      <w:proofErr w:type="spellStart"/>
      <w:r w:rsidRPr="002217A2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b/>
          <w:sz w:val="24"/>
          <w:szCs w:val="24"/>
        </w:rPr>
        <w:t xml:space="preserve"> u 2025. godini 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Ovom odlukom raspoređuju se sredstva za financiranje političkih stranaka zastupljenih u Općinskom vijeću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(u daljnjem tekstu: Općinsko vijeće) koja su osigurana u Proračunu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 xml:space="preserve">Za svakog člana Općinskog vijeća utvrđuje se jednaki godišnji iznos sredstava tako da pojedinoj političkoj stranci pripadaju sredstva razmjerno broju njenih članova Općinskog vijeća u trenutku konstituiranja Općinskog vijeća. 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 xml:space="preserve">Za svakog izabranog člana Općinskog vijeća od zastupljenog spola, pojedinoj političkoj stranci pripada i pravo na naknadu razmjerno broju izabranih članova Općinskog vijeća podzastupljenog spola. 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>Za svakog člana Općinskog vijeća utvrđuju se godišnji iznos sredstava u visini od 44,32 eura, što na mjesečnoj razini iznosi 11,08 eura.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 xml:space="preserve">Političkim strankama zastupljenim u Općinskom vijeću raspoređuju se sredstva osigurana u Proračunu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za 2025. godinu na način utvrđen u članku 2. i 3. ove Odluke u jednokratnim iznosima kako slijedi:</w:t>
      </w:r>
    </w:p>
    <w:p w:rsidR="002217A2" w:rsidRPr="002217A2" w:rsidRDefault="002217A2" w:rsidP="002217A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>Hrvatskoj demokratskoj zajednici – HDZ u iznosu od 177,28 eura,</w:t>
      </w:r>
    </w:p>
    <w:p w:rsidR="002217A2" w:rsidRPr="002217A2" w:rsidRDefault="002217A2" w:rsidP="002217A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17A2">
        <w:rPr>
          <w:rFonts w:ascii="Times New Roman" w:hAnsi="Times New Roman" w:cs="Times New Roman"/>
          <w:sz w:val="24"/>
          <w:szCs w:val="24"/>
        </w:rPr>
        <w:t>Duspara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 Mirko – NL u iznosu od 132,96 eura,</w:t>
      </w:r>
    </w:p>
    <w:p w:rsidR="002217A2" w:rsidRPr="002217A2" w:rsidRDefault="002217A2" w:rsidP="002217A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>Hrvatska seljačka stranka – HSS u iznosu od 132,96 eura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>Sredstva iz članka 4. ove Odluke, doznačuju se na žiroračun političke stranke najkasnije do 30.prosinca 2025. godine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 xml:space="preserve">Sredstva iz članka 4. ove Odluke doznačiti će se političkim strankama pod uvjetom da su njihovi članovi Općinskog vijeća bili nazočni na najmanje 75% sjednica održanih u razdoblju koje prethodi isplati. 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A2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2217A2" w:rsidRPr="002217A2" w:rsidRDefault="002217A2" w:rsidP="00221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ab/>
        <w:t xml:space="preserve">Ova odluka stupa na snagu osmoga dana od dana objave u „Službenom glasniku Općine 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>Klasa: 006-01/24-01/01</w:t>
      </w: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17A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>: 2178-22-03/1-24-1</w:t>
      </w:r>
    </w:p>
    <w:p w:rsidR="002217A2" w:rsidRPr="002217A2" w:rsidRDefault="002217A2" w:rsidP="0022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2217A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2217A2">
        <w:rPr>
          <w:rFonts w:ascii="Times New Roman" w:hAnsi="Times New Roman" w:cs="Times New Roman"/>
          <w:sz w:val="24"/>
          <w:szCs w:val="24"/>
        </w:rPr>
        <w:t>, 19.12.2024. godine</w:t>
      </w:r>
    </w:p>
    <w:p w:rsidR="002217A2" w:rsidRPr="002217A2" w:rsidRDefault="002217A2" w:rsidP="002217A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>PREDSJEDNIK OV:</w:t>
      </w:r>
    </w:p>
    <w:p w:rsidR="002217A2" w:rsidRPr="002217A2" w:rsidRDefault="002217A2" w:rsidP="002217A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217A2">
        <w:rPr>
          <w:rFonts w:ascii="Times New Roman" w:hAnsi="Times New Roman" w:cs="Times New Roman"/>
          <w:sz w:val="24"/>
          <w:szCs w:val="24"/>
        </w:rPr>
        <w:t xml:space="preserve">       Željko Klarić</w:t>
      </w:r>
    </w:p>
    <w:p w:rsidR="002217A2" w:rsidRPr="002217A2" w:rsidRDefault="002217A2" w:rsidP="002217A2"/>
    <w:p w:rsidR="002217A2" w:rsidRPr="002217A2" w:rsidRDefault="002217A2" w:rsidP="002217A2"/>
    <w:p w:rsidR="002217A2" w:rsidRDefault="002217A2" w:rsidP="00B863A6"/>
    <w:p w:rsidR="002217A2" w:rsidRDefault="002217A2" w:rsidP="00B863A6">
      <w:r>
        <w:t xml:space="preserve">6. </w:t>
      </w:r>
    </w:p>
    <w:p w:rsidR="002217A2" w:rsidRDefault="002217A2" w:rsidP="00B863A6"/>
    <w:p w:rsidR="002217A2" w:rsidRPr="002217A2" w:rsidRDefault="002217A2" w:rsidP="002217A2">
      <w:pPr>
        <w:ind w:firstLine="708"/>
        <w:jc w:val="both"/>
        <w:rPr>
          <w:rFonts w:ascii="Garamond" w:hAnsi="Garamond"/>
          <w:sz w:val="24"/>
          <w:szCs w:val="24"/>
        </w:rPr>
      </w:pPr>
      <w:r w:rsidRPr="002217A2">
        <w:rPr>
          <w:rFonts w:ascii="Garamond" w:hAnsi="Garamond"/>
          <w:sz w:val="24"/>
          <w:szCs w:val="24"/>
        </w:rPr>
        <w:t xml:space="preserve">Temeljem članka 17. Stavak 1.  Zakona o sustavu civilne zaštite (Narodne novine 82/15, 118/18, 31/20), članka 58. Pravilnika o nositeljima, sadržaju i postupcima izrade planskih dokumenata u civilnoj zaštiti te načinu informiranja javnosti u postupku njihovog donošenja (NN </w:t>
      </w:r>
      <w:r w:rsidRPr="002217A2">
        <w:rPr>
          <w:rFonts w:ascii="Garamond" w:hAnsi="Garamond"/>
          <w:sz w:val="24"/>
          <w:szCs w:val="24"/>
        </w:rPr>
        <w:lastRenderedPageBreak/>
        <w:t xml:space="preserve">49/17 i članka 39. Statuta općine Gornji </w:t>
      </w:r>
      <w:proofErr w:type="spellStart"/>
      <w:r w:rsidRPr="002217A2">
        <w:rPr>
          <w:rFonts w:ascii="Garamond" w:hAnsi="Garamond"/>
          <w:sz w:val="24"/>
          <w:szCs w:val="24"/>
        </w:rPr>
        <w:t>Bogićevci</w:t>
      </w:r>
      <w:proofErr w:type="spellEnd"/>
      <w:r w:rsidRPr="002217A2">
        <w:rPr>
          <w:rFonts w:ascii="Garamond" w:hAnsi="Garamond"/>
          <w:sz w:val="24"/>
          <w:szCs w:val="24"/>
        </w:rPr>
        <w:t xml:space="preserve"> (Službeni glasnik Općine Gornji </w:t>
      </w:r>
      <w:proofErr w:type="spellStart"/>
      <w:r w:rsidRPr="002217A2">
        <w:rPr>
          <w:rFonts w:ascii="Garamond" w:hAnsi="Garamond"/>
          <w:sz w:val="24"/>
          <w:szCs w:val="24"/>
        </w:rPr>
        <w:t>Bogićevci</w:t>
      </w:r>
      <w:proofErr w:type="spellEnd"/>
      <w:r w:rsidRPr="002217A2">
        <w:rPr>
          <w:rFonts w:ascii="Garamond" w:hAnsi="Garamond"/>
          <w:sz w:val="24"/>
          <w:szCs w:val="24"/>
        </w:rPr>
        <w:t xml:space="preserve"> br. 02/21), a na prijedlog Općinskog načelnika Općine Gornji </w:t>
      </w:r>
      <w:proofErr w:type="spellStart"/>
      <w:r w:rsidRPr="002217A2">
        <w:rPr>
          <w:rFonts w:ascii="Garamond" w:hAnsi="Garamond"/>
          <w:sz w:val="24"/>
          <w:szCs w:val="24"/>
        </w:rPr>
        <w:t>Bogićevci</w:t>
      </w:r>
      <w:proofErr w:type="spellEnd"/>
      <w:r w:rsidRPr="002217A2">
        <w:rPr>
          <w:rFonts w:ascii="Garamond" w:hAnsi="Garamond"/>
          <w:sz w:val="24"/>
          <w:szCs w:val="24"/>
        </w:rPr>
        <w:t xml:space="preserve">, Općinsko vijeće općine Gornji </w:t>
      </w:r>
      <w:proofErr w:type="spellStart"/>
      <w:r w:rsidRPr="002217A2">
        <w:rPr>
          <w:rFonts w:ascii="Garamond" w:hAnsi="Garamond"/>
          <w:sz w:val="24"/>
          <w:szCs w:val="24"/>
        </w:rPr>
        <w:t>Bogićevci</w:t>
      </w:r>
      <w:proofErr w:type="spellEnd"/>
      <w:r w:rsidRPr="002217A2">
        <w:rPr>
          <w:rFonts w:ascii="Garamond" w:hAnsi="Garamond"/>
          <w:sz w:val="24"/>
          <w:szCs w:val="24"/>
        </w:rPr>
        <w:t xml:space="preserve"> na 21. sjednici općinskog vijeća održanoj dana 19.12.2024.  donijelo je:</w:t>
      </w:r>
    </w:p>
    <w:p w:rsidR="002217A2" w:rsidRPr="002217A2" w:rsidRDefault="002217A2" w:rsidP="002217A2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2217A2">
        <w:rPr>
          <w:rFonts w:ascii="Garamond" w:hAnsi="Garamond"/>
          <w:b/>
          <w:i/>
          <w:sz w:val="28"/>
          <w:szCs w:val="28"/>
        </w:rPr>
        <w:t xml:space="preserve">Analiza stanja sustava civilne zaštite za općinu Gornji </w:t>
      </w:r>
      <w:proofErr w:type="spellStart"/>
      <w:r w:rsidRPr="002217A2">
        <w:rPr>
          <w:rFonts w:ascii="Garamond" w:hAnsi="Garamond"/>
          <w:b/>
          <w:i/>
          <w:sz w:val="28"/>
          <w:szCs w:val="28"/>
        </w:rPr>
        <w:t>Bogićevci</w:t>
      </w:r>
      <w:proofErr w:type="spellEnd"/>
      <w:r w:rsidRPr="002217A2">
        <w:rPr>
          <w:rFonts w:ascii="Garamond" w:hAnsi="Garamond"/>
          <w:b/>
          <w:i/>
          <w:sz w:val="28"/>
          <w:szCs w:val="28"/>
        </w:rPr>
        <w:t xml:space="preserve"> u 2024.g.</w:t>
      </w:r>
    </w:p>
    <w:p w:rsidR="002217A2" w:rsidRPr="002217A2" w:rsidRDefault="002217A2" w:rsidP="002217A2">
      <w:pPr>
        <w:spacing w:line="240" w:lineRule="auto"/>
        <w:ind w:left="3540" w:firstLine="708"/>
        <w:jc w:val="both"/>
        <w:rPr>
          <w:rFonts w:ascii="Garamond" w:hAnsi="Garamond"/>
          <w:b/>
          <w:i/>
          <w:sz w:val="28"/>
          <w:szCs w:val="28"/>
        </w:rPr>
      </w:pPr>
      <w:r w:rsidRPr="002217A2">
        <w:rPr>
          <w:rFonts w:ascii="Garamond" w:hAnsi="Garamond"/>
          <w:b/>
          <w:i/>
          <w:sz w:val="28"/>
          <w:szCs w:val="28"/>
        </w:rPr>
        <w:t>UVOD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2217A2">
        <w:rPr>
          <w:rFonts w:ascii="Garamond" w:hAnsi="Garamond" w:cs="Arial"/>
          <w:color w:val="414145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2217A2">
        <w:rPr>
          <w:rFonts w:ascii="Garamond" w:hAnsi="Garamond" w:cs="Arial"/>
          <w:color w:val="414145"/>
          <w:sz w:val="24"/>
          <w:szCs w:val="24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2217A2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 xml:space="preserve">Općina Gornji </w:t>
      </w:r>
      <w:proofErr w:type="spellStart"/>
      <w:r w:rsidRPr="002217A2">
        <w:rPr>
          <w:rFonts w:ascii="Garamond" w:eastAsia="Times New Roman" w:hAnsi="Garamond" w:cs="Arial"/>
          <w:color w:val="414145"/>
          <w:sz w:val="24"/>
          <w:szCs w:val="24"/>
        </w:rPr>
        <w:t>Bogićevci</w:t>
      </w:r>
      <w:proofErr w:type="spellEnd"/>
      <w:r w:rsidRPr="002217A2">
        <w:rPr>
          <w:rFonts w:ascii="Garamond" w:eastAsia="Times New Roman" w:hAnsi="Garamond" w:cs="Arial"/>
          <w:color w:val="414145"/>
          <w:sz w:val="24"/>
          <w:szCs w:val="24"/>
        </w:rPr>
        <w:t xml:space="preserve"> dužna je organizirati poslove iz svog samoupravnog djelokruga koji se odnose na planiranje, razvoj, učinkovito funkcioniranje i financiranje sustava civilne zaštite.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 xml:space="preserve">Općina Gornji </w:t>
      </w:r>
      <w:proofErr w:type="spellStart"/>
      <w:r w:rsidRPr="002217A2">
        <w:rPr>
          <w:rFonts w:ascii="Garamond" w:eastAsia="Times New Roman" w:hAnsi="Garamond" w:cs="Arial"/>
          <w:color w:val="414145"/>
          <w:sz w:val="24"/>
          <w:szCs w:val="24"/>
        </w:rPr>
        <w:t>Bogićevci</w:t>
      </w:r>
      <w:proofErr w:type="spellEnd"/>
      <w:r w:rsidRPr="002217A2">
        <w:rPr>
          <w:rFonts w:ascii="Garamond" w:eastAsia="Times New Roman" w:hAnsi="Garamond" w:cs="Arial"/>
          <w:color w:val="414145"/>
          <w:sz w:val="24"/>
          <w:szCs w:val="24"/>
        </w:rPr>
        <w:t xml:space="preserve"> 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a) stožeri civilne zaštite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b) operativne snage vatrogastva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c) operativne snage Hrvatskog Crvenog križa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d) operativne snage Hrvatske gorske službe spašavanja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e) udruge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f) postrojbe i povjerenici civilne zaštite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g) koordinatori na lokaciji</w:t>
      </w:r>
    </w:p>
    <w:p w:rsidR="002217A2" w:rsidRPr="002217A2" w:rsidRDefault="002217A2" w:rsidP="002217A2">
      <w:pPr>
        <w:spacing w:after="0" w:line="240" w:lineRule="auto"/>
        <w:ind w:firstLine="708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h) pravne osobe u sustavu civilne zaštite.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b/>
          <w:color w:val="414145"/>
          <w:sz w:val="24"/>
          <w:szCs w:val="24"/>
        </w:rPr>
        <w:t>Općinsko vijeće, na prijedlog općinskog načelnika izvršava sljedeće zadaće: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procjenu rizika od velikih nesreća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odluku o određivanju pravnih osoba od interesa za sustav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odluku o osnivanju postrojbi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b/>
          <w:color w:val="414145"/>
          <w:sz w:val="24"/>
          <w:szCs w:val="24"/>
        </w:rPr>
        <w:t>Općinski načelnik</w:t>
      </w:r>
      <w:r w:rsidRPr="002217A2">
        <w:rPr>
          <w:rFonts w:ascii="Garamond" w:eastAsia="Times New Roman" w:hAnsi="Garamond" w:cs="Arial"/>
          <w:color w:val="414145"/>
          <w:sz w:val="24"/>
          <w:szCs w:val="24"/>
        </w:rPr>
        <w:t xml:space="preserve"> </w:t>
      </w:r>
      <w:r w:rsidRPr="002217A2">
        <w:rPr>
          <w:rFonts w:ascii="Garamond" w:eastAsia="Times New Roman" w:hAnsi="Garamond" w:cs="Arial"/>
          <w:b/>
          <w:color w:val="414145"/>
          <w:sz w:val="24"/>
          <w:szCs w:val="24"/>
        </w:rPr>
        <w:t>izvršava sljedeće zadaće: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plan djelovanja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plan vježbi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priprema i dostavlja predstavničkom tijelu prijedlog odluke o određivanju pravnih osoba od interesa za sustav civilne zaštite i prijedlog odluke o osnivanju postrojbi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kod donošenja godišnjeg plana nabave u plan uključuje materijalna sredstva i opremu snaga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Arial"/>
          <w:color w:val="414145"/>
          <w:sz w:val="24"/>
          <w:szCs w:val="24"/>
        </w:rPr>
      </w:pPr>
      <w:r w:rsidRPr="002217A2">
        <w:rPr>
          <w:rFonts w:ascii="Garamond" w:eastAsia="Times New Roman" w:hAnsi="Garamond" w:cs="Arial"/>
          <w:color w:val="414145"/>
          <w:sz w:val="24"/>
          <w:szCs w:val="24"/>
        </w:rPr>
        <w:t>– uspostavlja vođenje evidencije stradalih osoba u velikim nesrećama i katastrofama.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2217A2">
        <w:rPr>
          <w:rFonts w:ascii="Garamond" w:hAnsi="Garamond" w:cs="Arial"/>
          <w:color w:val="414145"/>
          <w:sz w:val="24"/>
          <w:szCs w:val="24"/>
        </w:rPr>
        <w:t>Općinski načelnik koordinira djelovanje operativnih snaga sustava civilne zaštite osnovanih za područje te jedinice u velikim nesrećama i katastrofama uz stručnu potporu nadležnog stožera civilne zaštite.</w:t>
      </w: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217A2">
        <w:rPr>
          <w:rFonts w:ascii="Garamond" w:hAnsi="Garamond" w:cs="Arial"/>
          <w:color w:val="414145"/>
          <w:sz w:val="24"/>
          <w:szCs w:val="24"/>
        </w:rPr>
        <w:t>Općinski načelnik, dužan je osposobiti se za obavljanje poslova civilne zaštite u roku od šest mjeseci od stupanja na dužnost, prema programu osposobljavanja koji provodi Područni ured civilne zaštite Osijek, Služba civilne zaštite Slavonski Brod</w:t>
      </w:r>
    </w:p>
    <w:p w:rsidR="002217A2" w:rsidRPr="002217A2" w:rsidRDefault="002217A2" w:rsidP="002217A2">
      <w:pPr>
        <w:jc w:val="both"/>
        <w:rPr>
          <w:rFonts w:ascii="Garamond" w:hAnsi="Garamond" w:cs="Arial"/>
          <w:color w:val="414145"/>
          <w:sz w:val="24"/>
          <w:szCs w:val="24"/>
        </w:rPr>
      </w:pPr>
    </w:p>
    <w:p w:rsidR="002217A2" w:rsidRPr="002217A2" w:rsidRDefault="002217A2" w:rsidP="002217A2">
      <w:pPr>
        <w:jc w:val="both"/>
        <w:rPr>
          <w:rFonts w:ascii="Garamond" w:hAnsi="Garamond"/>
          <w:b/>
          <w:i/>
          <w:sz w:val="28"/>
          <w:szCs w:val="28"/>
        </w:rPr>
      </w:pPr>
      <w:r w:rsidRPr="002217A2">
        <w:rPr>
          <w:rFonts w:ascii="Garamond" w:hAnsi="Garamond"/>
          <w:b/>
          <w:i/>
          <w:sz w:val="28"/>
          <w:szCs w:val="28"/>
        </w:rPr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935"/>
        <w:gridCol w:w="995"/>
      </w:tblGrid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2217A2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2217A2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2217A2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82/15</w:t>
            </w:r>
          </w:p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118/18</w:t>
            </w:r>
          </w:p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31/20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3.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 </w:t>
            </w:r>
            <w:r w:rsidRPr="002217A2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126/19</w:t>
            </w:r>
          </w:p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5.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7.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9.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Uredba o jedinstvenim znakovima za uzbunjivanje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lastRenderedPageBreak/>
              <w:t>11.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14.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2217A2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17.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2217A2">
              <w:rPr>
                <w:rFonts w:ascii="Garamond" w:hAnsi="Garamond"/>
                <w:b/>
                <w:bCs/>
              </w:rPr>
              <w:t xml:space="preserve"> </w:t>
            </w:r>
          </w:p>
          <w:p w:rsidR="002217A2" w:rsidRPr="002217A2" w:rsidRDefault="002217A2" w:rsidP="002217A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98/16</w:t>
            </w:r>
          </w:p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19.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21.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49/17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2217A2" w:rsidRPr="002217A2" w:rsidTr="004F3B18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25.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2217A2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217A2" w:rsidRPr="002217A2" w:rsidRDefault="002217A2" w:rsidP="002217A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2217A2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:rsidR="002217A2" w:rsidRPr="002217A2" w:rsidRDefault="002217A2" w:rsidP="002217A2">
      <w:pPr>
        <w:spacing w:after="0"/>
        <w:jc w:val="both"/>
        <w:rPr>
          <w:rFonts w:ascii="Garamond" w:hAnsi="Garamond"/>
        </w:rPr>
      </w:pPr>
    </w:p>
    <w:p w:rsidR="002217A2" w:rsidRPr="002217A2" w:rsidRDefault="002217A2" w:rsidP="002217A2">
      <w:pPr>
        <w:spacing w:after="0"/>
        <w:jc w:val="both"/>
        <w:rPr>
          <w:rFonts w:ascii="Garamond" w:hAnsi="Garamond"/>
        </w:rPr>
      </w:pPr>
    </w:p>
    <w:p w:rsidR="002217A2" w:rsidRPr="002217A2" w:rsidRDefault="002217A2" w:rsidP="002217A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Garamond" w:hAnsi="Garamond" w:cs="Arial"/>
          <w:b/>
          <w:bCs/>
          <w:sz w:val="28"/>
          <w:szCs w:val="28"/>
        </w:rPr>
      </w:pPr>
      <w:r w:rsidRPr="002217A2">
        <w:rPr>
          <w:rFonts w:ascii="Garamond" w:hAnsi="Garamond" w:cs="Arial"/>
          <w:b/>
          <w:bCs/>
          <w:sz w:val="28"/>
          <w:szCs w:val="28"/>
        </w:rPr>
        <w:t>STANJE SUSTAVA CIVILNE ZAŠTITE</w:t>
      </w:r>
    </w:p>
    <w:p w:rsidR="002217A2" w:rsidRPr="002217A2" w:rsidRDefault="002217A2" w:rsidP="002217A2">
      <w:pPr>
        <w:tabs>
          <w:tab w:val="left" w:pos="2580"/>
          <w:tab w:val="left" w:pos="2985"/>
          <w:tab w:val="center" w:pos="4536"/>
          <w:tab w:val="right" w:pos="9072"/>
        </w:tabs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hr-HR"/>
        </w:rPr>
      </w:pPr>
      <w:r w:rsidRPr="002217A2">
        <w:rPr>
          <w:rFonts w:ascii="Garamond" w:eastAsia="Calibri" w:hAnsi="Garamond" w:cs="Arial"/>
          <w:sz w:val="24"/>
          <w:szCs w:val="24"/>
          <w:lang w:eastAsia="hr-HR"/>
        </w:rPr>
        <w:t>U 2024.g. poduzeto je slijedeće: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:rsidR="002217A2" w:rsidRPr="002217A2" w:rsidRDefault="002217A2" w:rsidP="002217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2217A2">
        <w:rPr>
          <w:rFonts w:ascii="Garamond" w:hAnsi="Garamond" w:cs="TimesNewRoman,Bold"/>
          <w:bCs/>
          <w:sz w:val="24"/>
          <w:szCs w:val="24"/>
        </w:rPr>
        <w:t>Donesen Plan vježbi za 2024.</w:t>
      </w:r>
    </w:p>
    <w:p w:rsidR="002217A2" w:rsidRPr="002217A2" w:rsidRDefault="002217A2" w:rsidP="002217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2217A2">
        <w:rPr>
          <w:rFonts w:ascii="Garamond" w:hAnsi="Garamond" w:cs="TimesNewRoman,Bold"/>
          <w:bCs/>
          <w:sz w:val="24"/>
          <w:szCs w:val="24"/>
        </w:rPr>
        <w:t>Donesen je Plan operativne provedbe programa aktivnosti u provedbi posebnih mjera zaštite od požara u 2024.g.,</w:t>
      </w:r>
    </w:p>
    <w:p w:rsidR="002217A2" w:rsidRPr="002217A2" w:rsidRDefault="002217A2" w:rsidP="002217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2217A2">
        <w:rPr>
          <w:rFonts w:ascii="Garamond" w:hAnsi="Garamond" w:cs="TimesNewRoman,Bold"/>
          <w:bCs/>
          <w:sz w:val="24"/>
          <w:szCs w:val="24"/>
        </w:rPr>
        <w:t>Donesena je analiza stanja sustava civilne zaštite za 2024.g.,</w:t>
      </w:r>
    </w:p>
    <w:p w:rsidR="002217A2" w:rsidRPr="002217A2" w:rsidRDefault="002217A2" w:rsidP="002217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  <w:r w:rsidRPr="002217A2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:rsidR="002217A2" w:rsidRPr="002217A2" w:rsidRDefault="002217A2" w:rsidP="002217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imesNewRoman,Bold"/>
          <w:bCs/>
          <w:color w:val="000000" w:themeColor="text1"/>
          <w:sz w:val="24"/>
          <w:szCs w:val="24"/>
        </w:rPr>
      </w:pPr>
      <w:r w:rsidRPr="002217A2">
        <w:rPr>
          <w:rFonts w:ascii="Garamond" w:hAnsi="Garamond" w:cs="TimesNewRoman,Bold"/>
          <w:bCs/>
          <w:color w:val="000000" w:themeColor="text1"/>
          <w:sz w:val="24"/>
          <w:szCs w:val="24"/>
        </w:rPr>
        <w:t>Izvješće o angažiranim Operativnim snagama sustava civilne zaštite na aktivnostima u provođenju mjera za vrijeme trajanja COVID-19 (ubaciti tablicu ili dodati kao prilog podatke koje ste slali Županijskom područnom uredu).</w:t>
      </w:r>
    </w:p>
    <w:p w:rsidR="002217A2" w:rsidRPr="002217A2" w:rsidRDefault="002217A2" w:rsidP="002217A2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hAnsi="Garamond" w:cs="TimesNewRoman,Bold"/>
          <w:bCs/>
          <w:sz w:val="24"/>
          <w:szCs w:val="24"/>
        </w:rPr>
      </w:pPr>
    </w:p>
    <w:p w:rsidR="002217A2" w:rsidRPr="002217A2" w:rsidRDefault="002217A2" w:rsidP="002217A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Garamond" w:hAnsi="Garamond" w:cs="Arial"/>
          <w:b/>
          <w:bCs/>
          <w:sz w:val="28"/>
          <w:szCs w:val="28"/>
        </w:rPr>
      </w:pPr>
      <w:r w:rsidRPr="002217A2">
        <w:rPr>
          <w:rFonts w:ascii="Garamond" w:hAnsi="Garamond" w:cs="Arial"/>
          <w:b/>
          <w:bCs/>
          <w:sz w:val="28"/>
          <w:szCs w:val="28"/>
        </w:rPr>
        <w:t>CIVILNA ZAŠTITA: (stožer civilne zaštite,  postrojba CZ opće namjene)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color w:val="FF0000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2217A2">
        <w:rPr>
          <w:rFonts w:ascii="Garamond" w:hAnsi="Garamond" w:cs="TimesNewRoman,Bold"/>
          <w:bCs/>
          <w:sz w:val="24"/>
          <w:szCs w:val="24"/>
        </w:rPr>
        <w:t xml:space="preserve">- </w:t>
      </w:r>
      <w:r w:rsidRPr="002217A2">
        <w:rPr>
          <w:rFonts w:ascii="Garamond" w:hAnsi="Garamond" w:cstheme="minorHAnsi"/>
          <w:bCs/>
          <w:sz w:val="24"/>
          <w:szCs w:val="24"/>
        </w:rPr>
        <w:t>Održana je</w:t>
      </w:r>
      <w:r w:rsidRPr="002217A2">
        <w:rPr>
          <w:rFonts w:ascii="Garamond" w:eastAsia="Calibri" w:hAnsi="Garamond" w:cstheme="minorHAnsi"/>
          <w:bCs/>
          <w:color w:val="FF0000"/>
          <w:sz w:val="24"/>
        </w:rPr>
        <w:t xml:space="preserve"> </w:t>
      </w:r>
      <w:r w:rsidRPr="002217A2">
        <w:rPr>
          <w:rFonts w:ascii="Garamond" w:eastAsia="Calibri" w:hAnsi="Garamond" w:cstheme="minorHAnsi"/>
          <w:bCs/>
          <w:sz w:val="24"/>
        </w:rPr>
        <w:t>jedna (1) sjednica stožera civilne zaštite na kojima se raspravljalo o stanju sustava civilne zaštite na području općine.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2217A2">
        <w:rPr>
          <w:rFonts w:ascii="Garamond" w:eastAsia="Calibri" w:hAnsi="Garamond" w:cstheme="minorHAnsi"/>
          <w:b/>
          <w:bCs/>
          <w:sz w:val="28"/>
          <w:szCs w:val="28"/>
        </w:rPr>
        <w:lastRenderedPageBreak/>
        <w:t>Postrojba civilne zaštite opće namjene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2217A2">
        <w:rPr>
          <w:rFonts w:ascii="Garamond" w:eastAsia="Calibri" w:hAnsi="Garamond" w:cstheme="minorHAnsi"/>
          <w:bCs/>
          <w:sz w:val="24"/>
        </w:rPr>
        <w:t>Sukladno Procjeni rizika od velikih nesreća i Odluci o sastavu i strukturi postrojbe civilne zaštite ustrojena je postrojba civilne zaštite opće namjene koji broji 32 (trideset dva) obveznika.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theme="minorHAnsi"/>
          <w:bCs/>
          <w:sz w:val="24"/>
        </w:rPr>
      </w:pPr>
      <w:r w:rsidRPr="002217A2">
        <w:rPr>
          <w:rFonts w:ascii="Garamond" w:hAnsi="Garamond"/>
          <w:noProof/>
          <w:lang w:eastAsia="hr-HR"/>
        </w:rPr>
        <w:drawing>
          <wp:inline distT="0" distB="0" distL="0" distR="0">
            <wp:extent cx="5686425" cy="2857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3228" t="15874" r="23777" b="13873"/>
                    <a:stretch/>
                  </pic:blipFill>
                  <pic:spPr bwMode="auto">
                    <a:xfrm>
                      <a:off x="0" y="0"/>
                      <a:ext cx="568642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2217A2">
        <w:rPr>
          <w:rFonts w:ascii="Garamond" w:eastAsia="Calibri" w:hAnsi="Garamond" w:cstheme="minorHAnsi"/>
          <w:bCs/>
          <w:sz w:val="24"/>
        </w:rPr>
        <w:t>Određeno 2 (dva) teklića za poslove mobilizacije snaga civilne zaštite.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</w:rPr>
      </w:pPr>
      <w:r w:rsidRPr="002217A2">
        <w:rPr>
          <w:rFonts w:ascii="Garamond" w:eastAsia="Calibri" w:hAnsi="Garamond" w:cs="Calibri"/>
          <w:b/>
          <w:sz w:val="28"/>
          <w:szCs w:val="28"/>
        </w:rPr>
        <w:t>Povjerenici civilne zaštite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2217A2">
        <w:rPr>
          <w:rFonts w:ascii="Garamond" w:eastAsia="Calibri" w:hAnsi="Garamond" w:cs="Calibri"/>
          <w:sz w:val="24"/>
          <w:szCs w:val="24"/>
        </w:rPr>
        <w:t>Za šest (6) mjesnih odbora određeni su povjerenici civilne zaštite sukladno planu civilne zaštite.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59"/>
        <w:gridCol w:w="2127"/>
        <w:gridCol w:w="2126"/>
        <w:gridCol w:w="1984"/>
        <w:gridCol w:w="1701"/>
      </w:tblGrid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D9D9D9" w:themeFill="background1" w:themeFillShade="D9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Naselje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Broj  stanovnika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Povjerenici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Zamjenici povjerenika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Ukupno</w:t>
            </w:r>
          </w:p>
        </w:tc>
      </w:tr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proofErr w:type="spellStart"/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Dubovac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2</w:t>
            </w:r>
          </w:p>
        </w:tc>
      </w:tr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 xml:space="preserve">Gornji </w:t>
            </w:r>
            <w:proofErr w:type="spellStart"/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Bogićevci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699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4</w:t>
            </w:r>
          </w:p>
        </w:tc>
      </w:tr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Kosovac</w:t>
            </w:r>
          </w:p>
        </w:tc>
        <w:tc>
          <w:tcPr>
            <w:tcW w:w="2127" w:type="dxa"/>
            <w:shd w:val="clear" w:color="auto" w:fill="auto"/>
          </w:tcPr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proofErr w:type="spellStart"/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Ratkovac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2217A2" w:rsidRPr="002217A2" w:rsidTr="004F3B18">
        <w:trPr>
          <w:trHeight w:val="537"/>
          <w:jc w:val="center"/>
        </w:trPr>
        <w:tc>
          <w:tcPr>
            <w:tcW w:w="1559" w:type="dxa"/>
            <w:shd w:val="clear" w:color="auto" w:fill="auto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proofErr w:type="spellStart"/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Smrtić</w:t>
            </w:r>
            <w:proofErr w:type="spellEnd"/>
          </w:p>
          <w:p w:rsidR="002217A2" w:rsidRPr="002217A2" w:rsidRDefault="002217A2" w:rsidP="002217A2">
            <w:pPr>
              <w:spacing w:after="0"/>
              <w:rPr>
                <w:rFonts w:ascii="Garamond" w:hAnsi="Garamond"/>
                <w:sz w:val="20"/>
              </w:rPr>
            </w:pPr>
            <w:proofErr w:type="spellStart"/>
            <w:r w:rsidRPr="002217A2">
              <w:rPr>
                <w:rFonts w:ascii="Garamond" w:eastAsia="Times New Roman" w:hAnsi="Garamond" w:cs="Times New Roman"/>
                <w:sz w:val="20"/>
                <w:szCs w:val="20"/>
              </w:rPr>
              <w:t>Trnava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292</w:t>
            </w:r>
          </w:p>
          <w:p w:rsidR="002217A2" w:rsidRPr="002217A2" w:rsidRDefault="002217A2" w:rsidP="002217A2">
            <w:pPr>
              <w:spacing w:after="0"/>
              <w:jc w:val="right"/>
              <w:rPr>
                <w:rFonts w:ascii="Garamond" w:hAnsi="Garamond"/>
                <w:sz w:val="20"/>
              </w:rPr>
            </w:pPr>
            <w:r w:rsidRPr="002217A2">
              <w:rPr>
                <w:rFonts w:ascii="Garamond" w:eastAsia="Times New Roman" w:hAnsi="Garamond" w:cs="Arial"/>
                <w:sz w:val="20"/>
                <w:szCs w:val="20"/>
              </w:rPr>
              <w:t>178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1</w:t>
            </w:r>
          </w:p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217A2">
              <w:rPr>
                <w:rFonts w:ascii="Garamond" w:hAnsi="Garamond"/>
                <w:sz w:val="20"/>
                <w:szCs w:val="20"/>
              </w:rPr>
              <w:t>2</w:t>
            </w:r>
          </w:p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217A2" w:rsidRPr="002217A2" w:rsidTr="004F3B18">
        <w:trPr>
          <w:trHeight w:val="242"/>
          <w:jc w:val="center"/>
        </w:trPr>
        <w:tc>
          <w:tcPr>
            <w:tcW w:w="1559" w:type="dxa"/>
            <w:shd w:val="clear" w:color="auto" w:fill="F2F2F2" w:themeFill="background1" w:themeFillShade="F2"/>
          </w:tcPr>
          <w:p w:rsidR="002217A2" w:rsidRPr="002217A2" w:rsidRDefault="002217A2" w:rsidP="002217A2">
            <w:pPr>
              <w:spacing w:after="0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t>UKUPNO: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17A2" w:rsidRPr="002217A2" w:rsidRDefault="009106BA" w:rsidP="002217A2">
            <w:pPr>
              <w:spacing w:after="0"/>
              <w:jc w:val="right"/>
              <w:rPr>
                <w:rFonts w:ascii="Garamond" w:hAnsi="Garamond"/>
                <w:i/>
                <w:iCs/>
              </w:rPr>
            </w:pPr>
            <w:r w:rsidRPr="002217A2">
              <w:rPr>
                <w:rFonts w:ascii="Garamond" w:hAnsi="Garamond"/>
                <w:i/>
                <w:iCs/>
              </w:rPr>
              <w:fldChar w:fldCharType="begin"/>
            </w:r>
            <w:r w:rsidR="002217A2" w:rsidRPr="002217A2">
              <w:rPr>
                <w:rFonts w:ascii="Garamond" w:hAnsi="Garamond"/>
                <w:i/>
                <w:iCs/>
              </w:rPr>
              <w:instrText xml:space="preserve"> =SUM(ABOVE) </w:instrText>
            </w:r>
            <w:r w:rsidRPr="002217A2">
              <w:rPr>
                <w:rFonts w:ascii="Garamond" w:hAnsi="Garamond"/>
                <w:i/>
                <w:iCs/>
              </w:rPr>
              <w:fldChar w:fldCharType="separate"/>
            </w:r>
            <w:r w:rsidR="002217A2" w:rsidRPr="002217A2">
              <w:rPr>
                <w:rFonts w:ascii="Garamond" w:hAnsi="Garamond"/>
                <w:i/>
                <w:iCs/>
                <w:noProof/>
              </w:rPr>
              <w:t>1975</w:t>
            </w:r>
            <w:r w:rsidRPr="002217A2">
              <w:rPr>
                <w:rFonts w:ascii="Garamond" w:hAnsi="Garamond"/>
                <w:i/>
                <w:iCs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217A2" w:rsidRPr="002217A2" w:rsidRDefault="002217A2" w:rsidP="002217A2">
            <w:pPr>
              <w:spacing w:after="0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2217A2">
              <w:rPr>
                <w:rFonts w:ascii="Garamond" w:hAnsi="Garamond"/>
                <w:i/>
                <w:iCs/>
                <w:sz w:val="20"/>
                <w:szCs w:val="20"/>
              </w:rPr>
              <w:t>12</w:t>
            </w:r>
          </w:p>
        </w:tc>
      </w:tr>
    </w:tbl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:rsidR="002217A2" w:rsidRPr="002217A2" w:rsidRDefault="002217A2" w:rsidP="002217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2217A2">
        <w:rPr>
          <w:rFonts w:ascii="Garamond" w:eastAsia="Calibri" w:hAnsi="Garamond" w:cstheme="minorHAnsi"/>
          <w:b/>
          <w:bCs/>
          <w:sz w:val="28"/>
          <w:szCs w:val="28"/>
        </w:rPr>
        <w:t>PREVENTIVA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bookmarkStart w:id="9" w:name="_Hlk24533128"/>
    </w:p>
    <w:bookmarkEnd w:id="9"/>
    <w:p w:rsidR="002217A2" w:rsidRPr="002217A2" w:rsidRDefault="002217A2" w:rsidP="002217A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theme="minorHAnsi"/>
          <w:bCs/>
          <w:sz w:val="24"/>
        </w:rPr>
      </w:pPr>
      <w:r w:rsidRPr="002217A2">
        <w:rPr>
          <w:rFonts w:ascii="Garamond" w:eastAsia="Calibri" w:hAnsi="Garamond" w:cstheme="minorHAnsi"/>
          <w:bCs/>
          <w:sz w:val="24"/>
        </w:rPr>
        <w:t>Donesen je Plan djelovanja civilne zaštite.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:rsidR="002217A2" w:rsidRPr="002217A2" w:rsidRDefault="002217A2" w:rsidP="002217A2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2217A2">
        <w:rPr>
          <w:rFonts w:ascii="Garamond" w:eastAsia="Calibri" w:hAnsi="Garamond" w:cstheme="minorHAnsi"/>
          <w:b/>
          <w:bCs/>
          <w:sz w:val="28"/>
          <w:szCs w:val="28"/>
        </w:rPr>
        <w:t>Plan djelovanja civilne zaštite</w:t>
      </w:r>
    </w:p>
    <w:p w:rsidR="002217A2" w:rsidRPr="002217A2" w:rsidRDefault="002217A2" w:rsidP="002217A2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theme="minorHAnsi"/>
          <w:b/>
          <w:sz w:val="28"/>
          <w:szCs w:val="28"/>
          <w:lang w:eastAsia="hr-HR"/>
        </w:rPr>
      </w:pPr>
      <w:r w:rsidRPr="002217A2">
        <w:rPr>
          <w:rFonts w:ascii="Garamond" w:eastAsia="Times New Roman" w:hAnsi="Garamond" w:cstheme="minorHAnsi"/>
          <w:sz w:val="24"/>
          <w:szCs w:val="24"/>
          <w:lang w:eastAsia="hr-HR"/>
        </w:rPr>
        <w:t>Plan djelovanja civilne zaštite sastoji se od općeg i posebnih dijelova.</w:t>
      </w:r>
    </w:p>
    <w:p w:rsidR="002217A2" w:rsidRPr="002217A2" w:rsidRDefault="002217A2" w:rsidP="002217A2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sz w:val="24"/>
          <w:szCs w:val="24"/>
          <w:lang w:eastAsia="hr-HR"/>
        </w:rPr>
        <w:t>Opći dio sadrži: 1./ Upozoravanje 2./ Pripravnost 3./ Mobilizaciju (aktiviranje) i narastanje operativnih snaga sustava civilne zaštite. 4./ Opis područja odgovornosti nositelja izrade plana 5./ Grafički dio.</w:t>
      </w:r>
    </w:p>
    <w:p w:rsidR="002217A2" w:rsidRPr="002217A2" w:rsidRDefault="002217A2" w:rsidP="002217A2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sz w:val="24"/>
          <w:szCs w:val="24"/>
          <w:lang w:eastAsia="hr-HR"/>
        </w:rPr>
        <w:t xml:space="preserve">Posebni dijelovi plana djelovanja civilne zaštite sadrže razradu operativnog djelovanja sustava civilne zaštite tijekom reagiranja u velikim nesrećama i katastrofama. </w:t>
      </w:r>
    </w:p>
    <w:p w:rsidR="002217A2" w:rsidRPr="002217A2" w:rsidRDefault="002217A2" w:rsidP="002217A2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sz w:val="24"/>
          <w:szCs w:val="24"/>
          <w:lang w:eastAsia="hr-HR"/>
        </w:rPr>
        <w:lastRenderedPageBreak/>
        <w:t>Uvijek kada je moguće (raspoloživo) i prikladno u planu djelovanja civilne zaštite trebaju se koristiti grafički prikazi, tablice i slike, uključujući grafikone, karte i fotografije.</w:t>
      </w:r>
    </w:p>
    <w:p w:rsidR="002217A2" w:rsidRPr="002217A2" w:rsidRDefault="002217A2" w:rsidP="002217A2">
      <w:pPr>
        <w:spacing w:before="100" w:beforeAutospacing="1" w:after="100" w:afterAutospacing="1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  <w:lang w:eastAsia="hr-HR"/>
        </w:rPr>
      </w:pPr>
    </w:p>
    <w:p w:rsidR="002217A2" w:rsidRPr="002217A2" w:rsidRDefault="002217A2" w:rsidP="002217A2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eastAsia="hr-HR"/>
        </w:rPr>
      </w:pPr>
      <w:r w:rsidRPr="002217A2">
        <w:rPr>
          <w:rFonts w:ascii="Garamond" w:eastAsia="Times New Roman" w:hAnsi="Garamond" w:cs="Times New Roman"/>
          <w:b/>
          <w:sz w:val="28"/>
          <w:szCs w:val="28"/>
          <w:lang w:eastAsia="hr-HR"/>
        </w:rPr>
        <w:t xml:space="preserve">Operativni </w:t>
      </w:r>
      <w:proofErr w:type="spellStart"/>
      <w:r w:rsidRPr="002217A2">
        <w:rPr>
          <w:rFonts w:ascii="Garamond" w:eastAsia="Times New Roman" w:hAnsi="Garamond" w:cs="Times New Roman"/>
          <w:b/>
          <w:sz w:val="28"/>
          <w:szCs w:val="28"/>
          <w:lang w:eastAsia="hr-HR"/>
        </w:rPr>
        <w:t>postupovnik</w:t>
      </w:r>
      <w:proofErr w:type="spellEnd"/>
    </w:p>
    <w:p w:rsidR="002217A2" w:rsidRPr="002217A2" w:rsidRDefault="002217A2" w:rsidP="002217A2">
      <w:pPr>
        <w:jc w:val="both"/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</w:pPr>
      <w:r w:rsidRPr="002217A2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Operativnim </w:t>
      </w:r>
      <w:proofErr w:type="spellStart"/>
      <w:r w:rsidRPr="002217A2">
        <w:rPr>
          <w:rFonts w:ascii="Garamond" w:hAnsi="Garamond"/>
          <w:color w:val="231F20"/>
          <w:sz w:val="24"/>
          <w:szCs w:val="24"/>
          <w:shd w:val="clear" w:color="auto" w:fill="FFFFFF"/>
        </w:rPr>
        <w:t>postupovnikom</w:t>
      </w:r>
      <w:proofErr w:type="spellEnd"/>
      <w:r w:rsidRPr="002217A2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2217A2"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  <w:t>zaštite.</w:t>
      </w:r>
    </w:p>
    <w:p w:rsidR="002217A2" w:rsidRPr="002217A2" w:rsidRDefault="002217A2" w:rsidP="002217A2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  <w:t>Načela djelovanja postrojbi civilne zaštite su:</w:t>
      </w:r>
    </w:p>
    <w:p w:rsidR="002217A2" w:rsidRPr="002217A2" w:rsidRDefault="002217A2" w:rsidP="002217A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  <w:t>samodostatnost,</w:t>
      </w:r>
    </w:p>
    <w:p w:rsidR="002217A2" w:rsidRPr="002217A2" w:rsidRDefault="002217A2" w:rsidP="002217A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</w:pPr>
      <w:r w:rsidRPr="002217A2"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  <w:t>modularnost,</w:t>
      </w:r>
    </w:p>
    <w:p w:rsidR="002217A2" w:rsidRPr="002217A2" w:rsidRDefault="002217A2" w:rsidP="002217A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</w:pPr>
      <w:proofErr w:type="spellStart"/>
      <w:r w:rsidRPr="002217A2"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  <w:t>interoperabilnost</w:t>
      </w:r>
      <w:proofErr w:type="spellEnd"/>
      <w:r w:rsidRPr="002217A2">
        <w:rPr>
          <w:rFonts w:ascii="Garamond" w:eastAsia="Times New Roman" w:hAnsi="Garamond" w:cstheme="minorHAnsi"/>
          <w:color w:val="231F20"/>
          <w:sz w:val="24"/>
          <w:szCs w:val="24"/>
          <w:lang w:eastAsia="hr-HR"/>
        </w:rPr>
        <w:t>.</w:t>
      </w:r>
    </w:p>
    <w:p w:rsidR="002217A2" w:rsidRPr="002217A2" w:rsidRDefault="002217A2" w:rsidP="002217A2">
      <w:pPr>
        <w:suppressAutoHyphens/>
        <w:spacing w:after="200" w:line="276" w:lineRule="auto"/>
        <w:ind w:left="720"/>
        <w:contextualSpacing/>
        <w:jc w:val="both"/>
        <w:rPr>
          <w:rFonts w:ascii="Garamond" w:hAnsi="Garamond" w:cs="Arial"/>
          <w:b/>
          <w:bCs/>
          <w:sz w:val="28"/>
          <w:szCs w:val="28"/>
        </w:rPr>
      </w:pPr>
    </w:p>
    <w:p w:rsidR="002217A2" w:rsidRPr="002217A2" w:rsidRDefault="002217A2" w:rsidP="002217A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Garamond" w:hAnsi="Garamond" w:cs="Arial"/>
          <w:b/>
          <w:bCs/>
          <w:sz w:val="28"/>
          <w:szCs w:val="28"/>
        </w:rPr>
      </w:pPr>
      <w:r w:rsidRPr="002217A2">
        <w:rPr>
          <w:rFonts w:ascii="Garamond" w:hAnsi="Garamond" w:cs="Arial"/>
          <w:b/>
          <w:bCs/>
          <w:sz w:val="28"/>
          <w:szCs w:val="28"/>
        </w:rPr>
        <w:t>VATROGASTVO</w:t>
      </w:r>
    </w:p>
    <w:p w:rsidR="002217A2" w:rsidRPr="002217A2" w:rsidRDefault="002217A2" w:rsidP="002217A2">
      <w:pPr>
        <w:jc w:val="both"/>
        <w:rPr>
          <w:rFonts w:ascii="Garamond" w:hAnsi="Garamond" w:cs="Arial"/>
          <w:sz w:val="24"/>
          <w:szCs w:val="24"/>
        </w:rPr>
      </w:pPr>
      <w:r w:rsidRPr="002217A2">
        <w:rPr>
          <w:rFonts w:ascii="Garamond" w:hAnsi="Garamond" w:cs="Arial"/>
          <w:sz w:val="24"/>
        </w:rPr>
        <w:t xml:space="preserve">Za DVD </w:t>
      </w:r>
      <w:r w:rsidRPr="002217A2">
        <w:rPr>
          <w:rFonts w:ascii="Garamond" w:hAnsi="Garamond"/>
          <w:sz w:val="24"/>
          <w:szCs w:val="24"/>
        </w:rPr>
        <w:t xml:space="preserve">Gornji </w:t>
      </w:r>
      <w:proofErr w:type="spellStart"/>
      <w:r w:rsidRPr="002217A2">
        <w:rPr>
          <w:rFonts w:ascii="Garamond" w:hAnsi="Garamond"/>
          <w:sz w:val="24"/>
          <w:szCs w:val="24"/>
        </w:rPr>
        <w:t>Bogićevci</w:t>
      </w:r>
      <w:proofErr w:type="spellEnd"/>
      <w:r w:rsidRPr="002217A2">
        <w:rPr>
          <w:rFonts w:ascii="Garamond" w:hAnsi="Garamond" w:cs="Arial"/>
          <w:sz w:val="24"/>
        </w:rPr>
        <w:t>,</w:t>
      </w:r>
      <w:r w:rsidRPr="002217A2">
        <w:rPr>
          <w:rFonts w:ascii="Garamond" w:hAnsi="Garamond" w:cs="Arial"/>
          <w:sz w:val="24"/>
          <w:szCs w:val="24"/>
        </w:rPr>
        <w:t xml:space="preserve"> sukladno njihovim vlastitim programima i razvojnim projektima, </w:t>
      </w:r>
      <w:r w:rsidRPr="002217A2">
        <w:rPr>
          <w:rFonts w:ascii="Garamond" w:hAnsi="Garamond" w:cs="Arial"/>
          <w:b/>
          <w:sz w:val="24"/>
          <w:szCs w:val="24"/>
        </w:rPr>
        <w:t>u Proračunu su osigurana sredstva</w:t>
      </w:r>
      <w:r w:rsidRPr="002217A2">
        <w:rPr>
          <w:rFonts w:ascii="Garamond" w:hAnsi="Garamond" w:cs="Arial"/>
          <w:sz w:val="24"/>
          <w:szCs w:val="24"/>
        </w:rPr>
        <w:t xml:space="preserve"> za</w:t>
      </w:r>
      <w:r w:rsidRPr="002217A2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:rsidR="002217A2" w:rsidRPr="002217A2" w:rsidRDefault="002217A2" w:rsidP="002217A2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217A2">
        <w:rPr>
          <w:rFonts w:ascii="Garamond" w:hAnsi="Garamond" w:cs="Arial"/>
          <w:b/>
          <w:bCs/>
          <w:sz w:val="24"/>
          <w:szCs w:val="24"/>
        </w:rPr>
        <w:t xml:space="preserve">nabavku vatrogasne opreme – koje, i vozila - kakvih; </w:t>
      </w:r>
    </w:p>
    <w:p w:rsidR="002217A2" w:rsidRPr="002217A2" w:rsidRDefault="002217A2" w:rsidP="002217A2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217A2">
        <w:rPr>
          <w:rFonts w:ascii="Garamond" w:hAnsi="Garamond" w:cs="Arial"/>
          <w:b/>
          <w:bCs/>
          <w:sz w:val="24"/>
          <w:szCs w:val="24"/>
        </w:rPr>
        <w:t xml:space="preserve">razvoj kadrovskih kapaciteta – eventualno uposlenje novih vatrogasaca i broj vatrogasaca koje planirate za polaganje stručnog ispita; </w:t>
      </w:r>
    </w:p>
    <w:p w:rsidR="002217A2" w:rsidRPr="002217A2" w:rsidRDefault="002217A2" w:rsidP="002217A2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217A2">
        <w:rPr>
          <w:rFonts w:ascii="Garamond" w:hAnsi="Garamond" w:cs="Arial"/>
          <w:b/>
          <w:bCs/>
          <w:sz w:val="24"/>
          <w:szCs w:val="24"/>
        </w:rPr>
        <w:t xml:space="preserve">planirane vježbe – koje, gdje, kada i planirani troškovi; </w:t>
      </w:r>
    </w:p>
    <w:p w:rsidR="002217A2" w:rsidRPr="002217A2" w:rsidRDefault="002217A2" w:rsidP="002217A2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 w:cs="Arial"/>
          <w:b/>
          <w:bCs/>
          <w:sz w:val="28"/>
        </w:rPr>
      </w:pPr>
      <w:r w:rsidRPr="002217A2">
        <w:rPr>
          <w:rFonts w:ascii="Garamond" w:hAnsi="Garamond" w:cs="Arial"/>
          <w:b/>
          <w:bCs/>
          <w:sz w:val="24"/>
          <w:szCs w:val="24"/>
        </w:rPr>
        <w:t xml:space="preserve">sustav organizacije i djelovanja - dežurstva, preseljenja i </w:t>
      </w:r>
      <w:proofErr w:type="spellStart"/>
      <w:r w:rsidRPr="002217A2">
        <w:rPr>
          <w:rFonts w:ascii="Garamond" w:hAnsi="Garamond" w:cs="Arial"/>
          <w:b/>
          <w:bCs/>
          <w:sz w:val="24"/>
          <w:szCs w:val="24"/>
        </w:rPr>
        <w:t>sl</w:t>
      </w:r>
      <w:proofErr w:type="spellEnd"/>
      <w:r w:rsidRPr="002217A2">
        <w:rPr>
          <w:rFonts w:ascii="Garamond" w:hAnsi="Garamond" w:cs="Arial"/>
          <w:b/>
          <w:bCs/>
          <w:sz w:val="24"/>
          <w:szCs w:val="24"/>
        </w:rPr>
        <w:t xml:space="preserve">.). 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2217A2" w:rsidRPr="002217A2" w:rsidRDefault="002217A2" w:rsidP="002217A2">
      <w:pPr>
        <w:spacing w:after="0" w:line="240" w:lineRule="auto"/>
        <w:ind w:left="720"/>
        <w:jc w:val="both"/>
        <w:rPr>
          <w:rFonts w:ascii="Garamond" w:eastAsia="Times New Roman" w:hAnsi="Garamond" w:cs="Arial"/>
          <w:bCs/>
          <w:color w:val="FF0000"/>
          <w:sz w:val="28"/>
          <w:szCs w:val="28"/>
          <w:lang w:eastAsia="hr-HR"/>
        </w:rPr>
      </w:pPr>
    </w:p>
    <w:p w:rsidR="002217A2" w:rsidRPr="002217A2" w:rsidRDefault="002217A2" w:rsidP="002217A2">
      <w:pPr>
        <w:numPr>
          <w:ilvl w:val="0"/>
          <w:numId w:val="8"/>
        </w:num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0"/>
          <w:lang w:eastAsia="hr-HR"/>
        </w:rPr>
      </w:pPr>
      <w:r w:rsidRPr="002217A2">
        <w:rPr>
          <w:rFonts w:ascii="Garamond" w:eastAsia="Times New Roman" w:hAnsi="Garamond" w:cs="Arial"/>
          <w:b/>
          <w:bCs/>
          <w:sz w:val="28"/>
          <w:szCs w:val="28"/>
          <w:lang w:eastAsia="hr-HR"/>
        </w:rPr>
        <w:t xml:space="preserve">UDRUGE GRAĐANA OD ZNAČAJA ZA SUSTAV CIVILNE ZAŠTITE </w:t>
      </w:r>
    </w:p>
    <w:p w:rsidR="002217A2" w:rsidRPr="002217A2" w:rsidRDefault="002217A2" w:rsidP="002217A2">
      <w:pPr>
        <w:spacing w:after="0" w:line="240" w:lineRule="auto"/>
        <w:ind w:left="720"/>
        <w:jc w:val="both"/>
        <w:rPr>
          <w:rFonts w:ascii="Garamond" w:eastAsia="Calibri" w:hAnsi="Garamond" w:cs="Arial"/>
          <w:b/>
          <w:bCs/>
          <w:sz w:val="24"/>
          <w:szCs w:val="20"/>
          <w:lang w:eastAsia="hr-HR"/>
        </w:rPr>
      </w:pPr>
    </w:p>
    <w:p w:rsidR="002217A2" w:rsidRPr="002217A2" w:rsidRDefault="002217A2" w:rsidP="002217A2">
      <w:pPr>
        <w:jc w:val="both"/>
        <w:rPr>
          <w:rFonts w:ascii="Garamond" w:hAnsi="Garamond"/>
          <w:sz w:val="24"/>
          <w:szCs w:val="24"/>
        </w:rPr>
      </w:pPr>
      <w:r w:rsidRPr="002217A2">
        <w:rPr>
          <w:rFonts w:ascii="Garamond" w:hAnsi="Garamond"/>
          <w:sz w:val="24"/>
          <w:szCs w:val="24"/>
        </w:rPr>
        <w:t xml:space="preserve">Udruge građana predstavljaju značajan potencijal Općine. Članove udruga je potrebno uključiti u one segmente sustava civilne zaštite obzirom na područje rada za koje su osnovani. Udruge koje funkcioniraju imaju utvrđen ustroj, poznati su im potencijali članova, u redovitoj djelatnosti okupljaju se oko zajedničkih ciljeva, imaju iskustva u organizaciji i </w:t>
      </w:r>
      <w:proofErr w:type="spellStart"/>
      <w:r w:rsidRPr="002217A2">
        <w:rPr>
          <w:rFonts w:ascii="Garamond" w:hAnsi="Garamond"/>
          <w:sz w:val="24"/>
          <w:szCs w:val="24"/>
        </w:rPr>
        <w:t>dr</w:t>
      </w:r>
      <w:proofErr w:type="spellEnd"/>
      <w:r w:rsidRPr="002217A2">
        <w:rPr>
          <w:rFonts w:ascii="Garamond" w:hAnsi="Garamond"/>
          <w:sz w:val="24"/>
          <w:szCs w:val="24"/>
        </w:rPr>
        <w:t>.</w:t>
      </w:r>
    </w:p>
    <w:p w:rsidR="002217A2" w:rsidRPr="002217A2" w:rsidRDefault="002217A2" w:rsidP="002217A2">
      <w:pPr>
        <w:jc w:val="both"/>
        <w:rPr>
          <w:rFonts w:ascii="Garamond" w:hAnsi="Garamond"/>
          <w:b/>
          <w:sz w:val="24"/>
          <w:szCs w:val="24"/>
        </w:rPr>
      </w:pPr>
      <w:r w:rsidRPr="002217A2">
        <w:rPr>
          <w:rFonts w:ascii="Garamond" w:hAnsi="Garamond"/>
          <w:b/>
          <w:sz w:val="24"/>
          <w:szCs w:val="24"/>
        </w:rPr>
        <w:t xml:space="preserve">Udruge građana: LU Sokol Gornji </w:t>
      </w:r>
      <w:proofErr w:type="spellStart"/>
      <w:r w:rsidRPr="002217A2">
        <w:rPr>
          <w:rFonts w:ascii="Garamond" w:hAnsi="Garamond"/>
          <w:b/>
          <w:sz w:val="24"/>
          <w:szCs w:val="24"/>
        </w:rPr>
        <w:t>Bogićevci</w:t>
      </w:r>
      <w:proofErr w:type="spellEnd"/>
      <w:r w:rsidRPr="002217A2">
        <w:rPr>
          <w:rFonts w:ascii="Garamond" w:hAnsi="Garamond"/>
          <w:b/>
          <w:sz w:val="24"/>
          <w:szCs w:val="24"/>
        </w:rPr>
        <w:t xml:space="preserve">, LU Sokol iz </w:t>
      </w:r>
      <w:proofErr w:type="spellStart"/>
      <w:r w:rsidRPr="002217A2">
        <w:rPr>
          <w:rFonts w:ascii="Garamond" w:hAnsi="Garamond"/>
          <w:b/>
          <w:sz w:val="24"/>
          <w:szCs w:val="24"/>
        </w:rPr>
        <w:t>Okučana</w:t>
      </w:r>
      <w:proofErr w:type="spellEnd"/>
    </w:p>
    <w:p w:rsidR="002217A2" w:rsidRPr="002217A2" w:rsidRDefault="002217A2" w:rsidP="002217A2">
      <w:pPr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Arial"/>
          <w:b/>
          <w:bCs/>
          <w:sz w:val="28"/>
          <w:szCs w:val="28"/>
          <w:lang w:eastAsia="hr-HR"/>
        </w:rPr>
      </w:pPr>
      <w:r w:rsidRPr="002217A2">
        <w:rPr>
          <w:rFonts w:ascii="Garamond" w:eastAsia="Times New Roman" w:hAnsi="Garamond" w:cs="Arial"/>
          <w:b/>
          <w:bCs/>
          <w:sz w:val="28"/>
          <w:szCs w:val="28"/>
          <w:lang w:eastAsia="hr-HR"/>
        </w:rPr>
        <w:t>OPERATIVNE SNAGE SUSTAVA CIVILNE ZAŠTITE I PRAVNE OSOBE OD INTERESA ZA SUSTAV CIVILNE ZAŠTITE</w:t>
      </w:r>
    </w:p>
    <w:p w:rsidR="002217A2" w:rsidRPr="002217A2" w:rsidRDefault="002217A2" w:rsidP="002217A2">
      <w:pPr>
        <w:spacing w:after="0" w:line="240" w:lineRule="auto"/>
        <w:ind w:left="720"/>
        <w:jc w:val="both"/>
        <w:rPr>
          <w:rFonts w:ascii="Garamond" w:eastAsia="Times New Roman" w:hAnsi="Garamond" w:cs="Arial"/>
          <w:b/>
          <w:bCs/>
          <w:sz w:val="28"/>
          <w:szCs w:val="28"/>
          <w:lang w:eastAsia="hr-HR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  <w:r w:rsidRPr="002217A2">
        <w:rPr>
          <w:rFonts w:ascii="Garamond" w:eastAsia="Calibri" w:hAnsi="Garamond" w:cs="Calibri"/>
          <w:b/>
          <w:bCs/>
          <w:sz w:val="24"/>
          <w:szCs w:val="24"/>
        </w:rPr>
        <w:t xml:space="preserve">6.1. Operativne snage sustava civilne zaštite 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</w:p>
    <w:p w:rsidR="002217A2" w:rsidRPr="002217A2" w:rsidRDefault="002217A2" w:rsidP="002217A2">
      <w:pPr>
        <w:spacing w:after="0"/>
        <w:jc w:val="both"/>
        <w:rPr>
          <w:rFonts w:ascii="Garamond" w:eastAsia="Times New Roman" w:hAnsi="Garamond" w:cs="Times New Roman"/>
        </w:rPr>
      </w:pPr>
      <w:r w:rsidRPr="002217A2">
        <w:rPr>
          <w:rFonts w:ascii="Garamond" w:eastAsia="Times New Roman" w:hAnsi="Garamond" w:cs="TimesNewRoman"/>
        </w:rPr>
        <w:t xml:space="preserve">1. Stožer civilne zaštite Općine Gornji </w:t>
      </w:r>
      <w:proofErr w:type="spellStart"/>
      <w:r w:rsidRPr="002217A2">
        <w:rPr>
          <w:rFonts w:ascii="Garamond" w:eastAsia="Times New Roman" w:hAnsi="Garamond" w:cs="TimesNewRoman"/>
        </w:rPr>
        <w:t>Bogićevci</w:t>
      </w:r>
      <w:proofErr w:type="spellEnd"/>
    </w:p>
    <w:p w:rsidR="002217A2" w:rsidRPr="002217A2" w:rsidRDefault="002217A2" w:rsidP="002217A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NewRoman"/>
        </w:rPr>
      </w:pPr>
      <w:r w:rsidRPr="002217A2">
        <w:rPr>
          <w:rFonts w:ascii="Garamond" w:eastAsia="Times New Roman" w:hAnsi="Garamond" w:cs="TimesNewRoman"/>
        </w:rPr>
        <w:t xml:space="preserve">2. Postrojba civilne zaštite opće namjene Općine Gornji </w:t>
      </w:r>
      <w:proofErr w:type="spellStart"/>
      <w:r w:rsidRPr="002217A2">
        <w:rPr>
          <w:rFonts w:ascii="Garamond" w:eastAsia="Times New Roman" w:hAnsi="Garamond" w:cs="TimesNewRoman"/>
        </w:rPr>
        <w:t>Bogićevci</w:t>
      </w:r>
      <w:proofErr w:type="spellEnd"/>
    </w:p>
    <w:p w:rsidR="002217A2" w:rsidRPr="002217A2" w:rsidRDefault="002217A2" w:rsidP="002217A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NewRoman"/>
        </w:rPr>
      </w:pPr>
      <w:r w:rsidRPr="002217A2">
        <w:rPr>
          <w:rFonts w:ascii="Garamond" w:eastAsia="Times New Roman" w:hAnsi="Garamond" w:cs="TimesNewRoman"/>
        </w:rPr>
        <w:t>3. Povjerenici civilne zaštite</w:t>
      </w:r>
    </w:p>
    <w:p w:rsidR="002217A2" w:rsidRPr="002217A2" w:rsidRDefault="002217A2" w:rsidP="002217A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NewRoman"/>
          <w:b/>
          <w:bCs/>
          <w:u w:val="single"/>
        </w:rPr>
      </w:pPr>
      <w:r w:rsidRPr="002217A2">
        <w:rPr>
          <w:rFonts w:ascii="Garamond" w:eastAsia="Times New Roman" w:hAnsi="Garamond" w:cs="TimesNewRoman"/>
          <w:b/>
          <w:bCs/>
          <w:u w:val="single"/>
        </w:rPr>
        <w:t>Svi pripadnici iz navedene 3 skupine su osigurani policom osiguranja za slučaj nezgode pri vježbi ili intervenciji.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  <w:r w:rsidRPr="002217A2">
        <w:rPr>
          <w:rFonts w:ascii="Garamond" w:eastAsia="Calibri" w:hAnsi="Garamond" w:cs="Calibri"/>
          <w:b/>
          <w:bCs/>
          <w:sz w:val="24"/>
          <w:szCs w:val="24"/>
        </w:rPr>
        <w:t>6.2. Pravne osobe od interesa za sustav civilne zaštite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2217A2">
        <w:rPr>
          <w:rFonts w:ascii="Garamond" w:eastAsia="Times New Roman" w:hAnsi="Garamond" w:cs="Times New Roman"/>
          <w:sz w:val="24"/>
          <w:szCs w:val="24"/>
        </w:rPr>
        <w:t>Nema na području općine.</w:t>
      </w: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</w:p>
    <w:p w:rsidR="002217A2" w:rsidRPr="002217A2" w:rsidRDefault="002217A2" w:rsidP="002217A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</w:rPr>
      </w:pPr>
    </w:p>
    <w:p w:rsidR="002217A2" w:rsidRPr="002217A2" w:rsidRDefault="002217A2" w:rsidP="002217A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Garamond" w:eastAsia="Calibri" w:hAnsi="Garamond" w:cs="Calibri"/>
          <w:b/>
          <w:bCs/>
          <w:sz w:val="28"/>
          <w:szCs w:val="28"/>
        </w:rPr>
      </w:pPr>
      <w:r w:rsidRPr="002217A2">
        <w:rPr>
          <w:rFonts w:ascii="Garamond" w:eastAsia="Calibri" w:hAnsi="Garamond" w:cs="Calibri"/>
          <w:b/>
          <w:bCs/>
          <w:sz w:val="28"/>
          <w:szCs w:val="28"/>
        </w:rPr>
        <w:t>Zaključak o stanju sustava civilne zaštite</w:t>
      </w:r>
    </w:p>
    <w:p w:rsidR="002217A2" w:rsidRPr="002217A2" w:rsidRDefault="002217A2" w:rsidP="002217A2">
      <w:pPr>
        <w:jc w:val="both"/>
        <w:rPr>
          <w:rFonts w:ascii="Garamond" w:eastAsia="Calibri" w:hAnsi="Garamond" w:cs="Calibri"/>
          <w:sz w:val="24"/>
          <w:szCs w:val="24"/>
        </w:rPr>
      </w:pPr>
      <w:r w:rsidRPr="002217A2">
        <w:rPr>
          <w:rFonts w:ascii="Garamond" w:eastAsia="Calibri" w:hAnsi="Garamond" w:cs="Calibri"/>
          <w:sz w:val="24"/>
          <w:szCs w:val="24"/>
        </w:rPr>
        <w:t>Za područje preventive</w:t>
      </w:r>
    </w:p>
    <w:p w:rsidR="002217A2" w:rsidRPr="002217A2" w:rsidRDefault="002217A2" w:rsidP="002217A2">
      <w:pPr>
        <w:jc w:val="both"/>
        <w:rPr>
          <w:rFonts w:ascii="Garamond" w:hAnsi="Garamond"/>
        </w:rPr>
      </w:pPr>
      <w:r w:rsidRPr="002217A2">
        <w:rPr>
          <w:rFonts w:ascii="Garamond" w:hAnsi="Garamond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</w:pPr>
      <w:r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t xml:space="preserve">Tablica </w:t>
      </w:r>
      <w:r w:rsidR="009106BA"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fldChar w:fldCharType="begin"/>
      </w:r>
      <w:r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instrText xml:space="preserve"> SEQ Tablica \* ARABIC </w:instrText>
      </w:r>
      <w:r w:rsidR="009106BA"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fldChar w:fldCharType="separate"/>
      </w:r>
      <w:r w:rsidRPr="002217A2">
        <w:rPr>
          <w:rFonts w:ascii="Garamond" w:eastAsia="Times New Roman" w:hAnsi="Garamond" w:cs="Times New Roman"/>
          <w:b/>
          <w:bCs/>
          <w:noProof/>
          <w:sz w:val="18"/>
          <w:szCs w:val="20"/>
          <w:lang w:eastAsia="zh-CN"/>
        </w:rPr>
        <w:t>1</w:t>
      </w:r>
      <w:r w:rsidR="009106BA" w:rsidRPr="002217A2">
        <w:rPr>
          <w:rFonts w:ascii="Garamond" w:eastAsia="Times New Roman" w:hAnsi="Garamond" w:cs="Times New Roman"/>
          <w:b/>
          <w:bCs/>
          <w:noProof/>
          <w:sz w:val="18"/>
          <w:szCs w:val="20"/>
          <w:lang w:eastAsia="zh-CN"/>
        </w:rPr>
        <w:fldChar w:fldCharType="end"/>
      </w:r>
      <w:r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t>: Sastavnice/aktivnosti sustava civilne zaštite, područje preventive, zbirna ocjena</w:t>
      </w:r>
    </w:p>
    <w:tbl>
      <w:tblPr>
        <w:tblStyle w:val="Reetkatablice"/>
        <w:tblW w:w="0" w:type="auto"/>
        <w:jc w:val="center"/>
        <w:tblLook w:val="04A0"/>
      </w:tblPr>
      <w:tblGrid>
        <w:gridCol w:w="5544"/>
        <w:gridCol w:w="1837"/>
      </w:tblGrid>
      <w:tr w:rsidR="002217A2" w:rsidRPr="002217A2" w:rsidTr="004F3B18">
        <w:trPr>
          <w:jc w:val="center"/>
        </w:trPr>
        <w:tc>
          <w:tcPr>
            <w:tcW w:w="5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bookmarkStart w:id="10" w:name="_Hlk535833924"/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Sastavnice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/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aktivnosti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sustava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civilne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zaštite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područje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preventive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2217A2" w:rsidRPr="002217A2" w:rsidTr="004F3B18">
        <w:trPr>
          <w:trHeight w:val="70"/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bookmarkStart w:id="11" w:name="_Hlk535833939"/>
            <w:proofErr w:type="spellStart"/>
            <w:r w:rsidRPr="002217A2">
              <w:rPr>
                <w:rFonts w:ascii="Garamond" w:hAnsi="Garamond"/>
              </w:rPr>
              <w:t>strategija</w:t>
            </w:r>
            <w:proofErr w:type="spellEnd"/>
            <w:r w:rsidRPr="002217A2">
              <w:rPr>
                <w:rFonts w:ascii="Garamond" w:hAnsi="Garamond"/>
              </w:rPr>
              <w:t xml:space="preserve">, </w:t>
            </w:r>
            <w:proofErr w:type="spellStart"/>
            <w:r w:rsidRPr="002217A2">
              <w:rPr>
                <w:rFonts w:ascii="Garamond" w:hAnsi="Garamond"/>
              </w:rPr>
              <w:t>normativno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uređenje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planovi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</w:rPr>
              <w:t>sustav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javnog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uzbunjivanja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00B05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Vrlo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stanje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svijesti</w:t>
            </w:r>
            <w:proofErr w:type="spellEnd"/>
            <w:r w:rsidRPr="002217A2">
              <w:rPr>
                <w:rFonts w:ascii="Garamond" w:hAnsi="Garamond"/>
              </w:rPr>
              <w:t xml:space="preserve"> o </w:t>
            </w:r>
            <w:proofErr w:type="spellStart"/>
            <w:r w:rsidRPr="002217A2">
              <w:rPr>
                <w:rFonts w:ascii="Garamond" w:hAnsi="Garamond"/>
              </w:rPr>
              <w:t>prioritetnim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rizicima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rPr>
                <w:rFonts w:ascii="Garamond" w:hAnsi="Garamond"/>
                <w:lang w:eastAsia="zh-CN"/>
              </w:rPr>
            </w:pPr>
            <w:r w:rsidRPr="002217A2">
              <w:rPr>
                <w:rFonts w:ascii="Garamond" w:hAnsi="Garamond"/>
                <w:lang w:eastAsia="zh-CN"/>
              </w:rPr>
              <w:t xml:space="preserve">   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srednja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prostorno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planiranje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legalizacija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građevina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srednja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ocjena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fiskalne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situacije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njene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perspektive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trHeight w:val="170"/>
          <w:jc w:val="center"/>
        </w:trPr>
        <w:tc>
          <w:tcPr>
            <w:tcW w:w="5544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ocjena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stanja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baza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podataka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podloga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za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potrebe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planiranja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reagiranja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trHeight w:val="170"/>
          <w:jc w:val="center"/>
        </w:trPr>
        <w:tc>
          <w:tcPr>
            <w:tcW w:w="5544" w:type="dxa"/>
            <w:shd w:val="clear" w:color="auto" w:fill="F2F2F2" w:themeFill="background1" w:themeFillShade="F2"/>
          </w:tcPr>
          <w:p w:rsidR="002217A2" w:rsidRPr="002217A2" w:rsidRDefault="002217A2" w:rsidP="002217A2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Ukupna</w:t>
            </w:r>
            <w:proofErr w:type="spellEnd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zh-CN"/>
              </w:rPr>
              <w:t>spremnost</w:t>
            </w:r>
            <w:proofErr w:type="spellEnd"/>
          </w:p>
        </w:tc>
      </w:tr>
      <w:bookmarkEnd w:id="10"/>
      <w:bookmarkEnd w:id="11"/>
    </w:tbl>
    <w:p w:rsidR="002217A2" w:rsidRPr="002217A2" w:rsidRDefault="002217A2" w:rsidP="002217A2">
      <w:pPr>
        <w:jc w:val="both"/>
        <w:rPr>
          <w:rFonts w:ascii="Garamond" w:eastAsia="Calibri" w:hAnsi="Garamond" w:cs="Calibri"/>
          <w:sz w:val="24"/>
          <w:szCs w:val="24"/>
        </w:rPr>
      </w:pP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  <w:b/>
          <w:i/>
        </w:rPr>
      </w:pPr>
      <w:r w:rsidRPr="002217A2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2217A2">
        <w:rPr>
          <w:rFonts w:ascii="Garamond" w:hAnsi="Garamond"/>
          <w:b/>
          <w:i/>
        </w:rPr>
        <w:t>u području preventive je  – visoka spremnost.</w:t>
      </w:r>
    </w:p>
    <w:p w:rsidR="002217A2" w:rsidRPr="002217A2" w:rsidRDefault="002217A2" w:rsidP="002217A2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  <w:r w:rsidRPr="002217A2">
        <w:rPr>
          <w:rFonts w:ascii="Garamond" w:eastAsia="Times New Roman" w:hAnsi="Garamond" w:cs="Times New Roman"/>
          <w:lang w:eastAsia="zh-CN"/>
        </w:rPr>
        <w:t>Da bi se sastavnice sustava koje se odnose na strategiju, normativno uređenje i planove, svijesti o prioritetnim rizicima, prostorno planiranje i legalizacije građevina, stanje fiskalne situacije i njene perspektive te stanje baze podataka i podloga za potrebe planiranja i reagiranja unaprijedile potrebno je:</w:t>
      </w:r>
    </w:p>
    <w:p w:rsidR="002217A2" w:rsidRPr="002217A2" w:rsidRDefault="002217A2" w:rsidP="002217A2">
      <w:pPr>
        <w:shd w:val="clear" w:color="auto" w:fill="FFFFFF"/>
        <w:spacing w:after="0"/>
        <w:jc w:val="both"/>
        <w:rPr>
          <w:rFonts w:ascii="Garamond" w:eastAsia="Times New Roman" w:hAnsi="Garamond" w:cs="Times New Roman"/>
          <w:lang w:eastAsia="zh-CN"/>
        </w:rPr>
      </w:pP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  <w:lang w:eastAsia="zh-CN"/>
        </w:rPr>
        <w:t>Odrediti pravne osobe od interesa za sustav CZ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  <w:lang w:eastAsia="zh-CN"/>
        </w:rPr>
        <w:t>Imenovati zaposlenika zaduženog za praćenje propisa i vođenje baze podataka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  <w:lang w:eastAsia="zh-CN"/>
        </w:rPr>
        <w:t>Izraditi godišnje i srednjoročne planove razvoja sustava CZ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  <w:lang w:eastAsia="zh-CN"/>
        </w:rPr>
        <w:t>Sva naselja pokriti sirenama s kojima se može objaviti nastupanje opće opasnosti,</w:t>
      </w:r>
    </w:p>
    <w:p w:rsidR="002217A2" w:rsidRPr="002217A2" w:rsidRDefault="002217A2" w:rsidP="002217A2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  <w:lang w:eastAsia="zh-CN"/>
        </w:rPr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2217A2">
        <w:rPr>
          <w:rFonts w:ascii="Garamond" w:eastAsia="Times New Roman" w:hAnsi="Garamond" w:cs="Times New Roman"/>
        </w:rPr>
        <w:t>u ugroženim naseljima organizirane javne tribine o prijetnjama, mogućim posljedicama neželjenog događaja, te načinu samozaštite ugroženog stanovništva,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2217A2">
        <w:rPr>
          <w:rFonts w:ascii="Garamond" w:eastAsia="Times New Roman" w:hAnsi="Garamond" w:cs="Times New Roman"/>
        </w:rPr>
        <w:t>jednom godišnje ili najmanje jedanput u dvije godine  organizirati vježbe sklanjanja, evakuacije i spašavanja stanovništva iz ugroženih područja,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</w:rPr>
        <w:t>nastaviti organizirati okupljanje operativnih snaga CZ (liječničke ekipe, povjerenici civilne zaštite, timovi civilne zaštite i drugi) sa ciljem upoznavanja sa načinom djelovanja prijetnje, njihovom ulogom u reagiranju na prijetnje, te posebno načinu samozaštite od iste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20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2217A2">
        <w:rPr>
          <w:rFonts w:ascii="Garamond" w:eastAsia="Times New Roman" w:hAnsi="Garamond" w:cs="Times New Roman"/>
        </w:rPr>
        <w:t>donijeti urbanističke planove naselja i gospodarstva  sa izostavljenim područjima u kojima zaštita nije djelotvorna,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eastAsia="Times New Roman" w:hAnsi="Garamond" w:cs="Times New Roman"/>
        </w:rPr>
      </w:pPr>
      <w:r w:rsidRPr="002217A2">
        <w:rPr>
          <w:rFonts w:ascii="Garamond" w:eastAsia="Times New Roman" w:hAnsi="Garamond" w:cs="Times New Roman"/>
        </w:rPr>
        <w:t>utvrditi broj nelegalnih objekata koji imaju dvojbenu otpornost na posljedice djelovanja prijetnji u područjima prioritetnih ugrožavanja i propisati posebne urbanističke uvjete koji osiguravaju otpornost izgrađenih građevina,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</w:rPr>
        <w:t>planirati financijska sredstva za provedbu mjera reagiranja u slučaju prijetnje velikom nesrećom i sredstva za povrat u funkciju ugroženog područja,</w:t>
      </w:r>
    </w:p>
    <w:p w:rsidR="002217A2" w:rsidRPr="002217A2" w:rsidRDefault="002217A2" w:rsidP="002217A2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Garamond" w:hAnsi="Garamond"/>
          <w:lang w:eastAsia="zh-CN"/>
        </w:rPr>
      </w:pPr>
      <w:r w:rsidRPr="002217A2">
        <w:rPr>
          <w:rFonts w:ascii="Garamond" w:hAnsi="Garamond"/>
        </w:rPr>
        <w:t>ustrojiti bazu podataka o poremećajima u radu kritične infrastrukture i redovito ažurirati navedene baze podataka.</w:t>
      </w: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  <w:b/>
          <w:i/>
        </w:rPr>
      </w:pPr>
    </w:p>
    <w:p w:rsidR="002217A2" w:rsidRPr="002217A2" w:rsidRDefault="002217A2" w:rsidP="002217A2">
      <w:pPr>
        <w:spacing w:after="0" w:line="240" w:lineRule="auto"/>
        <w:jc w:val="both"/>
        <w:outlineLvl w:val="2"/>
        <w:rPr>
          <w:rFonts w:ascii="Garamond" w:eastAsia="Times New Roman" w:hAnsi="Garamond" w:cstheme="minorHAnsi"/>
          <w:i/>
          <w:sz w:val="24"/>
          <w:szCs w:val="24"/>
        </w:rPr>
      </w:pPr>
      <w:bookmarkStart w:id="12" w:name="_Toc536433767"/>
      <w:r w:rsidRPr="002217A2">
        <w:rPr>
          <w:rFonts w:ascii="Garamond" w:eastAsia="Times New Roman" w:hAnsi="Garamond" w:cstheme="minorHAnsi"/>
          <w:i/>
          <w:sz w:val="24"/>
          <w:szCs w:val="24"/>
        </w:rPr>
        <w:t>Za područje reagiranja</w:t>
      </w:r>
      <w:bookmarkEnd w:id="12"/>
    </w:p>
    <w:p w:rsidR="002217A2" w:rsidRPr="002217A2" w:rsidRDefault="002217A2" w:rsidP="002217A2">
      <w:pPr>
        <w:rPr>
          <w:rFonts w:ascii="Garamond" w:hAnsi="Garamond"/>
        </w:rPr>
      </w:pPr>
    </w:p>
    <w:p w:rsidR="002217A2" w:rsidRPr="002217A2" w:rsidRDefault="002217A2" w:rsidP="002217A2">
      <w:pPr>
        <w:rPr>
          <w:rFonts w:ascii="Garamond" w:hAnsi="Garamond"/>
          <w:i/>
          <w:iCs/>
          <w:color w:val="FF0000"/>
        </w:rPr>
      </w:pPr>
      <w:r w:rsidRPr="002217A2">
        <w:rPr>
          <w:rFonts w:ascii="Garamond" w:hAnsi="Garamond"/>
        </w:rP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</w:pPr>
      <w:r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t>Tablica 157: Sastavnice/aktivnosti  sustava civilne zaštite, područje reagiranja, zbirna ocjena</w:t>
      </w:r>
    </w:p>
    <w:tbl>
      <w:tblPr>
        <w:tblStyle w:val="Reetkatablice"/>
        <w:tblW w:w="0" w:type="auto"/>
        <w:jc w:val="center"/>
        <w:tblLook w:val="04A0"/>
      </w:tblPr>
      <w:tblGrid>
        <w:gridCol w:w="5519"/>
        <w:gridCol w:w="2092"/>
      </w:tblGrid>
      <w:tr w:rsidR="002217A2" w:rsidRPr="002217A2" w:rsidTr="004F3B18">
        <w:trPr>
          <w:jc w:val="center"/>
        </w:trPr>
        <w:tc>
          <w:tcPr>
            <w:tcW w:w="55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Sastavnice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/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aktivnosti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sustava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civilne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zaštite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područje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reagiranja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2217A2" w:rsidRPr="002217A2" w:rsidTr="004F3B18">
        <w:trPr>
          <w:trHeight w:val="70"/>
          <w:jc w:val="center"/>
        </w:trPr>
        <w:tc>
          <w:tcPr>
            <w:tcW w:w="5519" w:type="dxa"/>
          </w:tcPr>
          <w:p w:rsidR="002217A2" w:rsidRPr="002217A2" w:rsidRDefault="002217A2" w:rsidP="002217A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</w:rPr>
              <w:t>s</w:t>
            </w:r>
            <w:r w:rsidRPr="002217A2">
              <w:rPr>
                <w:rFonts w:ascii="Garamond" w:eastAsia="Calibri" w:hAnsi="Garamond"/>
              </w:rPr>
              <w:t>premnost</w:t>
            </w:r>
            <w:proofErr w:type="spellEnd"/>
            <w:r w:rsidRPr="002217A2">
              <w:rPr>
                <w:rFonts w:ascii="Garamond" w:eastAsia="Calibri" w:hAnsi="Garamond"/>
              </w:rPr>
              <w:t xml:space="preserve"> </w:t>
            </w:r>
            <w:proofErr w:type="spellStart"/>
            <w:r w:rsidRPr="002217A2">
              <w:rPr>
                <w:rFonts w:ascii="Garamond" w:eastAsia="Calibri" w:hAnsi="Garamond"/>
              </w:rPr>
              <w:t>odgovornih</w:t>
            </w:r>
            <w:proofErr w:type="spellEnd"/>
            <w:r w:rsidRPr="002217A2">
              <w:rPr>
                <w:rFonts w:ascii="Garamond" w:eastAsia="Calibri" w:hAnsi="Garamond"/>
              </w:rPr>
              <w:t xml:space="preserve"> </w:t>
            </w:r>
            <w:proofErr w:type="spellStart"/>
            <w:r w:rsidRPr="002217A2">
              <w:rPr>
                <w:rFonts w:ascii="Garamond" w:eastAsia="Calibri" w:hAnsi="Garamond"/>
              </w:rPr>
              <w:t>i</w:t>
            </w:r>
            <w:proofErr w:type="spellEnd"/>
            <w:r w:rsidRPr="002217A2">
              <w:rPr>
                <w:rFonts w:ascii="Garamond" w:eastAsia="Calibri" w:hAnsi="Garamond"/>
              </w:rPr>
              <w:t xml:space="preserve"> </w:t>
            </w:r>
            <w:proofErr w:type="spellStart"/>
            <w:r w:rsidRPr="002217A2">
              <w:rPr>
                <w:rFonts w:ascii="Garamond" w:eastAsia="Calibri" w:hAnsi="Garamond"/>
              </w:rPr>
              <w:t>upravljačkih</w:t>
            </w:r>
            <w:proofErr w:type="spellEnd"/>
            <w:r w:rsidRPr="002217A2">
              <w:rPr>
                <w:rFonts w:ascii="Garamond" w:eastAsia="Calibri" w:hAnsi="Garamond"/>
              </w:rPr>
              <w:t xml:space="preserve"> </w:t>
            </w:r>
            <w:proofErr w:type="spellStart"/>
            <w:r w:rsidRPr="002217A2">
              <w:rPr>
                <w:rFonts w:ascii="Garamond" w:eastAsia="Calibri" w:hAnsi="Garamond"/>
              </w:rPr>
              <w:t>kapaciteta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19" w:type="dxa"/>
          </w:tcPr>
          <w:p w:rsidR="002217A2" w:rsidRPr="002217A2" w:rsidRDefault="002217A2" w:rsidP="002217A2">
            <w:pPr>
              <w:rPr>
                <w:rFonts w:ascii="Garamond" w:hAnsi="Garamond"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</w:rPr>
              <w:t>spremnost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operativnih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kapaciteta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civilne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zaštite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rPr>
                <w:rFonts w:ascii="Garamond" w:hAnsi="Garamond"/>
                <w:lang w:eastAsia="zh-CN"/>
              </w:rPr>
            </w:pPr>
            <w:r w:rsidRPr="002217A2">
              <w:rPr>
                <w:rFonts w:ascii="Garamond" w:hAnsi="Garamond"/>
                <w:lang w:eastAsia="zh-CN"/>
              </w:rPr>
              <w:t xml:space="preserve"> 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Niska</w:t>
            </w:r>
            <w:proofErr w:type="spellEnd"/>
            <w:r w:rsidRPr="002217A2">
              <w:rPr>
                <w:rFonts w:ascii="Garamond" w:hAnsi="Garamond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trHeight w:val="358"/>
          <w:jc w:val="center"/>
        </w:trPr>
        <w:tc>
          <w:tcPr>
            <w:tcW w:w="5519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stanje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mobilnosti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operativnih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kapaciteta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sustava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civilne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zaštite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i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stanja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komunikacijskih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kapaciteta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>Visoka</w:t>
            </w:r>
            <w:proofErr w:type="spellEnd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>spremnost</w:t>
            </w:r>
            <w:proofErr w:type="spellEnd"/>
          </w:p>
        </w:tc>
      </w:tr>
      <w:tr w:rsidR="002217A2" w:rsidRPr="002217A2" w:rsidTr="004F3B18">
        <w:trPr>
          <w:trHeight w:val="358"/>
          <w:jc w:val="center"/>
        </w:trPr>
        <w:tc>
          <w:tcPr>
            <w:tcW w:w="5519" w:type="dxa"/>
          </w:tcPr>
          <w:p w:rsidR="002217A2" w:rsidRPr="002217A2" w:rsidRDefault="002217A2" w:rsidP="002217A2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proofErr w:type="spellStart"/>
            <w:r w:rsidRPr="002217A2">
              <w:rPr>
                <w:rFonts w:ascii="Garamond" w:hAnsi="Garamond"/>
                <w:b/>
                <w:i/>
                <w:iCs/>
                <w:sz w:val="22"/>
                <w:szCs w:val="22"/>
              </w:rPr>
              <w:t>Ukupna</w:t>
            </w:r>
            <w:proofErr w:type="spellEnd"/>
            <w:r w:rsidRPr="002217A2">
              <w:rPr>
                <w:rFonts w:ascii="Garamond" w:hAnsi="Garamond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b/>
                <w:i/>
                <w:iCs/>
                <w:sz w:val="22"/>
                <w:szCs w:val="22"/>
              </w:rPr>
              <w:t>ocjena</w:t>
            </w:r>
            <w:proofErr w:type="spellEnd"/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b/>
                <w:sz w:val="22"/>
                <w:szCs w:val="22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>Srednja</w:t>
            </w:r>
            <w:proofErr w:type="spellEnd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b/>
                <w:sz w:val="22"/>
                <w:szCs w:val="22"/>
                <w:lang w:eastAsia="zh-CN"/>
              </w:rPr>
              <w:t>spremnost</w:t>
            </w:r>
            <w:proofErr w:type="spellEnd"/>
          </w:p>
        </w:tc>
      </w:tr>
    </w:tbl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</w:rPr>
      </w:pP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  <w:b/>
          <w:i/>
        </w:rPr>
      </w:pPr>
      <w:r w:rsidRPr="002217A2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2217A2">
        <w:rPr>
          <w:rFonts w:ascii="Garamond" w:hAnsi="Garamond"/>
          <w:b/>
          <w:i/>
        </w:rPr>
        <w:t>u području reagiranja je srednja spremnost.</w:t>
      </w: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</w:rPr>
      </w:pPr>
      <w:r w:rsidRPr="002217A2">
        <w:rPr>
          <w:rFonts w:ascii="Garamond" w:hAnsi="Garamond"/>
        </w:rPr>
        <w:t>Da bi se sastavnica sustava koja se odnosi na stanje mobilnosti operativnih kapaciteta sustava civilne zaštite i stanja komunikacijskih kapaciteta unaprijedila potrebno je:</w:t>
      </w:r>
    </w:p>
    <w:p w:rsidR="002217A2" w:rsidRPr="002217A2" w:rsidRDefault="002217A2" w:rsidP="002217A2">
      <w:pPr>
        <w:numPr>
          <w:ilvl w:val="0"/>
          <w:numId w:val="10"/>
        </w:numPr>
        <w:shd w:val="clear" w:color="auto" w:fill="FFFFFF" w:themeFill="background1"/>
        <w:spacing w:after="200" w:line="276" w:lineRule="auto"/>
        <w:contextualSpacing/>
        <w:jc w:val="both"/>
        <w:rPr>
          <w:rFonts w:ascii="Garamond" w:hAnsi="Garamond"/>
        </w:rPr>
      </w:pPr>
      <w:r w:rsidRPr="002217A2">
        <w:rPr>
          <w:rFonts w:ascii="Garamond" w:hAnsi="Garamond"/>
        </w:rPr>
        <w:t>izvršiti analizu potreba vlastitih operativnih snaga za satelitskim mobilnim telefonima i mobilnim radio uređajima i planirati financijska sredstva za njihovu nabavu,</w:t>
      </w:r>
    </w:p>
    <w:p w:rsidR="002217A2" w:rsidRPr="002217A2" w:rsidRDefault="002217A2" w:rsidP="002217A2">
      <w:pPr>
        <w:spacing w:after="0" w:line="240" w:lineRule="auto"/>
        <w:jc w:val="both"/>
        <w:outlineLvl w:val="2"/>
        <w:rPr>
          <w:rFonts w:ascii="Garamond" w:eastAsia="Times New Roman" w:hAnsi="Garamond" w:cstheme="minorHAnsi"/>
          <w:i/>
          <w:sz w:val="24"/>
          <w:szCs w:val="24"/>
        </w:rPr>
      </w:pPr>
      <w:bookmarkStart w:id="13" w:name="_Toc536433768"/>
      <w:r w:rsidRPr="002217A2">
        <w:rPr>
          <w:rFonts w:ascii="Garamond" w:eastAsia="Times New Roman" w:hAnsi="Garamond" w:cstheme="minorHAnsi"/>
          <w:i/>
          <w:sz w:val="24"/>
          <w:szCs w:val="24"/>
        </w:rPr>
        <w:t>Za područje sustava civilne zaštite jedinice lokalne samouprave u cjelini</w:t>
      </w:r>
      <w:bookmarkEnd w:id="13"/>
    </w:p>
    <w:p w:rsidR="002217A2" w:rsidRPr="002217A2" w:rsidRDefault="002217A2" w:rsidP="002217A2">
      <w:pPr>
        <w:rPr>
          <w:rFonts w:ascii="Garamond" w:hAnsi="Garamond"/>
        </w:rPr>
      </w:pPr>
    </w:p>
    <w:p w:rsidR="002217A2" w:rsidRPr="002217A2" w:rsidRDefault="002217A2" w:rsidP="002217A2">
      <w:pPr>
        <w:rPr>
          <w:rFonts w:ascii="Garamond" w:hAnsi="Garamond"/>
        </w:rPr>
      </w:pPr>
      <w:bookmarkStart w:id="14" w:name="_Hlk502919642"/>
      <w:r w:rsidRPr="002217A2">
        <w:rPr>
          <w:rFonts w:ascii="Garamond" w:hAnsi="Garamond"/>
        </w:rPr>
        <w:t>Nakon vrednovanja pojedinih kategorija koji određuju spremnost sustava civilne zaštite u cjelini (preventiva i reagiranje) donosi se konačna ocjena kako je prikazano u narednoj tablici.</w:t>
      </w:r>
    </w:p>
    <w:p w:rsidR="002217A2" w:rsidRPr="002217A2" w:rsidRDefault="002217A2" w:rsidP="002217A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</w:pPr>
      <w:r w:rsidRPr="002217A2">
        <w:rPr>
          <w:rFonts w:ascii="Garamond" w:eastAsia="Times New Roman" w:hAnsi="Garamond" w:cs="Times New Roman"/>
          <w:b/>
          <w:bCs/>
          <w:sz w:val="18"/>
          <w:szCs w:val="20"/>
          <w:lang w:eastAsia="zh-CN"/>
        </w:rPr>
        <w:t xml:space="preserve">             Tablica 158: Zbirna ocjena spremnosti civilne zaštite</w:t>
      </w:r>
    </w:p>
    <w:tbl>
      <w:tblPr>
        <w:tblStyle w:val="Reetkatablice"/>
        <w:tblW w:w="0" w:type="auto"/>
        <w:jc w:val="center"/>
        <w:tblLook w:val="04A0"/>
      </w:tblPr>
      <w:tblGrid>
        <w:gridCol w:w="5586"/>
        <w:gridCol w:w="1950"/>
      </w:tblGrid>
      <w:tr w:rsidR="002217A2" w:rsidRPr="002217A2" w:rsidTr="004F3B18">
        <w:trPr>
          <w:jc w:val="center"/>
        </w:trPr>
        <w:tc>
          <w:tcPr>
            <w:tcW w:w="5586" w:type="dxa"/>
            <w:shd w:val="clear" w:color="auto" w:fill="F2F2F2" w:themeFill="background1" w:themeFillShade="F2"/>
          </w:tcPr>
          <w:bookmarkEnd w:id="14"/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</w:rPr>
              <w:t>Sastavnice</w:t>
            </w:r>
            <w:proofErr w:type="spellEnd"/>
            <w:r w:rsidRPr="002217A2">
              <w:rPr>
                <w:rFonts w:ascii="Garamond" w:hAnsi="Garamond"/>
                <w:i/>
                <w:iCs/>
              </w:rPr>
              <w:t>/</w:t>
            </w:r>
            <w:proofErr w:type="spellStart"/>
            <w:r w:rsidRPr="002217A2">
              <w:rPr>
                <w:rFonts w:ascii="Garamond" w:hAnsi="Garamond"/>
                <w:i/>
                <w:iCs/>
              </w:rPr>
              <w:t>aktivnosti</w:t>
            </w:r>
            <w:proofErr w:type="spellEnd"/>
            <w:r w:rsidRPr="002217A2">
              <w:rPr>
                <w:rFonts w:ascii="Garamond" w:hAnsi="Garamond"/>
                <w:i/>
                <w:iCs/>
              </w:rPr>
              <w:t xml:space="preserve">  </w:t>
            </w:r>
            <w:proofErr w:type="spellStart"/>
            <w:r w:rsidRPr="002217A2">
              <w:rPr>
                <w:rFonts w:ascii="Garamond" w:hAnsi="Garamond"/>
                <w:i/>
                <w:iCs/>
              </w:rPr>
              <w:t>sustava</w:t>
            </w:r>
            <w:proofErr w:type="spellEnd"/>
            <w:r w:rsidRPr="002217A2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</w:rPr>
              <w:t>civilne</w:t>
            </w:r>
            <w:proofErr w:type="spellEnd"/>
            <w:r w:rsidRPr="002217A2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</w:rPr>
              <w:t>zaštite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86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Područje</w:t>
            </w:r>
            <w:proofErr w:type="spellEnd"/>
            <w:r w:rsidRPr="002217A2">
              <w:rPr>
                <w:rFonts w:ascii="Garamond" w:hAnsi="Garamond"/>
              </w:rPr>
              <w:t xml:space="preserve"> preventive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Visoka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86" w:type="dxa"/>
          </w:tcPr>
          <w:p w:rsidR="002217A2" w:rsidRPr="002217A2" w:rsidRDefault="002217A2" w:rsidP="002217A2">
            <w:pPr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Područje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reagiranja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</w:rPr>
            </w:pPr>
            <w:proofErr w:type="spellStart"/>
            <w:r w:rsidRPr="002217A2">
              <w:rPr>
                <w:rFonts w:ascii="Garamond" w:hAnsi="Garamond"/>
              </w:rPr>
              <w:t>Srednja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spremnost</w:t>
            </w:r>
            <w:proofErr w:type="spellEnd"/>
          </w:p>
        </w:tc>
      </w:tr>
      <w:tr w:rsidR="002217A2" w:rsidRPr="002217A2" w:rsidTr="004F3B18">
        <w:trPr>
          <w:jc w:val="center"/>
        </w:trPr>
        <w:tc>
          <w:tcPr>
            <w:tcW w:w="5586" w:type="dxa"/>
            <w:shd w:val="clear" w:color="auto" w:fill="F2F2F2" w:themeFill="background1" w:themeFillShade="F2"/>
          </w:tcPr>
          <w:p w:rsidR="002217A2" w:rsidRPr="002217A2" w:rsidRDefault="002217A2" w:rsidP="002217A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Zbirna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ocjena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spremnosti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civilne</w:t>
            </w:r>
            <w:proofErr w:type="spellEnd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  <w:i/>
                <w:iCs/>
                <w:sz w:val="24"/>
                <w:szCs w:val="24"/>
              </w:rPr>
              <w:t>zaštite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00"/>
          </w:tcPr>
          <w:p w:rsidR="002217A2" w:rsidRPr="002217A2" w:rsidRDefault="002217A2" w:rsidP="002217A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2217A2">
              <w:rPr>
                <w:rFonts w:ascii="Garamond" w:hAnsi="Garamond"/>
              </w:rPr>
              <w:t>Srednja</w:t>
            </w:r>
            <w:proofErr w:type="spellEnd"/>
            <w:r w:rsidRPr="002217A2">
              <w:rPr>
                <w:rFonts w:ascii="Garamond" w:hAnsi="Garamond"/>
              </w:rPr>
              <w:t xml:space="preserve"> </w:t>
            </w:r>
            <w:proofErr w:type="spellStart"/>
            <w:r w:rsidRPr="002217A2">
              <w:rPr>
                <w:rFonts w:ascii="Garamond" w:hAnsi="Garamond"/>
              </w:rPr>
              <w:t>spremnost</w:t>
            </w:r>
            <w:proofErr w:type="spellEnd"/>
          </w:p>
        </w:tc>
      </w:tr>
    </w:tbl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</w:rPr>
      </w:pP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  <w:b/>
          <w:i/>
        </w:rPr>
      </w:pPr>
      <w:r w:rsidRPr="002217A2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2217A2">
        <w:rPr>
          <w:rFonts w:ascii="Garamond" w:hAnsi="Garamond"/>
          <w:b/>
          <w:i/>
        </w:rPr>
        <w:t>u području spremnosti civilne zaštite u cjelini je srednja spremnost</w:t>
      </w:r>
    </w:p>
    <w:p w:rsidR="002217A2" w:rsidRPr="002217A2" w:rsidRDefault="002217A2" w:rsidP="002217A2">
      <w:pPr>
        <w:shd w:val="clear" w:color="auto" w:fill="FFFFFF" w:themeFill="background1"/>
        <w:rPr>
          <w:rFonts w:ascii="Garamond" w:hAnsi="Garamond"/>
          <w:b/>
          <w:i/>
        </w:rPr>
      </w:pP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Calibri"/>
          <w:i/>
          <w:iCs/>
          <w:sz w:val="24"/>
          <w:szCs w:val="24"/>
        </w:rPr>
      </w:pPr>
      <w:r w:rsidRPr="002217A2">
        <w:rPr>
          <w:rFonts w:ascii="Garamond" w:eastAsia="Times New Roman" w:hAnsi="Garamond" w:cs="Calibri"/>
          <w:i/>
          <w:iCs/>
          <w:sz w:val="24"/>
          <w:szCs w:val="24"/>
        </w:rPr>
        <w:t>IZVOD IZ PRORAČUNA o visini osiguranih sredstava za organizaciju i razvoj sustava civilne zaštite u 2024. godini</w:t>
      </w:r>
    </w:p>
    <w:p w:rsidR="002217A2" w:rsidRPr="002217A2" w:rsidRDefault="002217A2" w:rsidP="002217A2">
      <w:pPr>
        <w:spacing w:after="0" w:line="240" w:lineRule="auto"/>
        <w:jc w:val="both"/>
        <w:rPr>
          <w:rFonts w:ascii="Garamond" w:eastAsia="Times New Roman" w:hAnsi="Garamond" w:cs="Calibri"/>
          <w:i/>
          <w:iCs/>
          <w:sz w:val="24"/>
          <w:szCs w:val="24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704"/>
        <w:gridCol w:w="1843"/>
        <w:gridCol w:w="2118"/>
      </w:tblGrid>
      <w:tr w:rsidR="002217A2" w:rsidRPr="002217A2" w:rsidTr="004F3B1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Red  broj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OPIS POZICIJE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REALIZIRANO</w:t>
            </w:r>
          </w:p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u 2023. god. (eur)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PLANIRANO</w:t>
            </w:r>
          </w:p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u 2024. god. (eur)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 xml:space="preserve">1. 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STOŽER CIVILNE ZAŠTITE I POSTROJBE CZ (opće namjene)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Civilna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 xml:space="preserve">               </w:t>
            </w:r>
          </w:p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729,97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</w:p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6.000,00</w:t>
            </w:r>
          </w:p>
        </w:tc>
      </w:tr>
      <w:tr w:rsidR="002217A2" w:rsidRPr="002217A2" w:rsidTr="004F3B18">
        <w:trPr>
          <w:cantSplit/>
          <w:trHeight w:val="388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HGS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 xml:space="preserve">                     </w:t>
            </w:r>
          </w:p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663,61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</w:p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663,61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 xml:space="preserve">2. 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-Dobrovoljne vatrogasne postrojbe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 xml:space="preserve">9.000,00           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12.000,00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 xml:space="preserve">-Procjena ugroženosti i Plan zaštite od požara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 xml:space="preserve">                  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3.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17A2">
              <w:rPr>
                <w:rFonts w:ascii="Garamond" w:hAnsi="Garamond"/>
                <w:sz w:val="24"/>
                <w:szCs w:val="24"/>
              </w:rPr>
              <w:t>-Tekuće DOTACIJE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Cs/>
                <w:lang w:eastAsia="hr-H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217A2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4.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LU SOKOL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lang w:eastAsia="hr-HR"/>
              </w:rPr>
              <w:t>0,00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0,00</w:t>
            </w: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5.</w:t>
            </w: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lang w:eastAsia="hr-HR"/>
              </w:rPr>
              <w:t xml:space="preserve">           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hr-HR"/>
              </w:rPr>
            </w:pPr>
          </w:p>
        </w:tc>
      </w:tr>
      <w:tr w:rsidR="002217A2" w:rsidRPr="002217A2" w:rsidTr="004F3B18">
        <w:trPr>
          <w:cantSplit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SVEUKUPNO</w:t>
            </w:r>
          </w:p>
          <w:p w:rsidR="002217A2" w:rsidRPr="002217A2" w:rsidRDefault="002217A2" w:rsidP="002217A2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ZA SUSTAV CIVILNE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10.393,58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7A2" w:rsidRPr="002217A2" w:rsidRDefault="002217A2" w:rsidP="002217A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r-HR"/>
              </w:rPr>
            </w:pPr>
            <w:r w:rsidRPr="002217A2">
              <w:rPr>
                <w:rFonts w:ascii="Garamond" w:eastAsia="Times New Roman" w:hAnsi="Garamond" w:cs="Arial"/>
                <w:b/>
                <w:bCs/>
                <w:lang w:eastAsia="hr-HR"/>
              </w:rPr>
              <w:t>18.663,61</w:t>
            </w:r>
          </w:p>
        </w:tc>
      </w:tr>
    </w:tbl>
    <w:p w:rsidR="002217A2" w:rsidRPr="002217A2" w:rsidRDefault="002217A2" w:rsidP="002217A2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</w:rPr>
      </w:pPr>
    </w:p>
    <w:p w:rsidR="002217A2" w:rsidRPr="002217A2" w:rsidRDefault="002217A2" w:rsidP="002217A2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</w:rPr>
      </w:pPr>
    </w:p>
    <w:p w:rsidR="002217A2" w:rsidRPr="002217A2" w:rsidRDefault="002217A2" w:rsidP="002217A2">
      <w:pPr>
        <w:jc w:val="both"/>
        <w:rPr>
          <w:sz w:val="24"/>
          <w:szCs w:val="24"/>
        </w:rPr>
      </w:pPr>
      <w:r w:rsidRPr="002217A2">
        <w:rPr>
          <w:sz w:val="24"/>
          <w:szCs w:val="24"/>
        </w:rPr>
        <w:t>KLASA: 810-01/24-02-01</w:t>
      </w:r>
    </w:p>
    <w:p w:rsidR="002217A2" w:rsidRPr="002217A2" w:rsidRDefault="002217A2" w:rsidP="002217A2">
      <w:pPr>
        <w:jc w:val="both"/>
        <w:rPr>
          <w:rFonts w:ascii="Garamond" w:eastAsia="Calibri" w:hAnsi="Garamond" w:cs="Calibri"/>
        </w:rPr>
      </w:pPr>
      <w:r w:rsidRPr="002217A2">
        <w:rPr>
          <w:sz w:val="24"/>
          <w:szCs w:val="24"/>
        </w:rPr>
        <w:t>URBROJ:2178-22-01/24-1</w:t>
      </w:r>
      <w:r w:rsidRPr="002217A2">
        <w:rPr>
          <w:rFonts w:ascii="Garamond" w:eastAsia="Calibri" w:hAnsi="Garamond" w:cs="Calibri"/>
          <w:spacing w:val="-5"/>
          <w:sz w:val="24"/>
          <w:szCs w:val="24"/>
        </w:rPr>
        <w:tab/>
      </w:r>
      <w:r w:rsidRPr="002217A2">
        <w:rPr>
          <w:rFonts w:ascii="Garamond" w:eastAsia="Calibri" w:hAnsi="Garamond" w:cs="Calibri"/>
          <w:spacing w:val="-5"/>
          <w:sz w:val="24"/>
          <w:szCs w:val="24"/>
        </w:rPr>
        <w:tab/>
      </w:r>
      <w:r w:rsidRPr="002217A2">
        <w:rPr>
          <w:rFonts w:ascii="Garamond" w:eastAsia="Calibri" w:hAnsi="Garamond" w:cs="Calibri"/>
          <w:spacing w:val="-5"/>
          <w:sz w:val="24"/>
          <w:szCs w:val="24"/>
        </w:rPr>
        <w:tab/>
      </w:r>
      <w:r w:rsidRPr="002217A2">
        <w:rPr>
          <w:rFonts w:ascii="Garamond" w:eastAsia="Calibri" w:hAnsi="Garamond" w:cs="Calibri"/>
          <w:spacing w:val="-5"/>
          <w:sz w:val="24"/>
          <w:szCs w:val="24"/>
        </w:rPr>
        <w:tab/>
        <w:t xml:space="preserve">    </w:t>
      </w:r>
    </w:p>
    <w:p w:rsidR="002217A2" w:rsidRPr="002217A2" w:rsidRDefault="002217A2" w:rsidP="002217A2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bCs/>
          <w:sz w:val="24"/>
          <w:szCs w:val="24"/>
        </w:rPr>
      </w:pPr>
      <w:r w:rsidRPr="002217A2">
        <w:rPr>
          <w:rFonts w:ascii="Garamond" w:eastAsia="Calibri" w:hAnsi="Garamond" w:cs="Calibri"/>
          <w:sz w:val="24"/>
          <w:szCs w:val="24"/>
        </w:rPr>
        <w:t xml:space="preserve">Gornji </w:t>
      </w:r>
      <w:proofErr w:type="spellStart"/>
      <w:r w:rsidRPr="002217A2">
        <w:rPr>
          <w:rFonts w:ascii="Garamond" w:eastAsia="Calibri" w:hAnsi="Garamond" w:cs="Calibri"/>
          <w:sz w:val="24"/>
          <w:szCs w:val="24"/>
        </w:rPr>
        <w:t>Bogićevci</w:t>
      </w:r>
      <w:proofErr w:type="spellEnd"/>
      <w:r w:rsidRPr="002217A2">
        <w:rPr>
          <w:rFonts w:ascii="Garamond" w:eastAsia="Calibri" w:hAnsi="Garamond" w:cs="Calibri"/>
          <w:sz w:val="24"/>
          <w:szCs w:val="24"/>
        </w:rPr>
        <w:t>,   19.12.</w:t>
      </w:r>
      <w:r w:rsidRPr="002217A2">
        <w:rPr>
          <w:rFonts w:ascii="Garamond" w:eastAsia="Calibri" w:hAnsi="Garamond" w:cs="Calibri"/>
          <w:bCs/>
          <w:sz w:val="24"/>
          <w:szCs w:val="24"/>
        </w:rPr>
        <w:t>2024.g.</w:t>
      </w:r>
      <w:r w:rsidRPr="002217A2">
        <w:rPr>
          <w:rFonts w:ascii="Garamond" w:eastAsia="Calibri" w:hAnsi="Garamond" w:cs="Calibri"/>
          <w:bCs/>
          <w:sz w:val="24"/>
          <w:szCs w:val="24"/>
        </w:rPr>
        <w:tab/>
      </w:r>
    </w:p>
    <w:p w:rsidR="002217A2" w:rsidRPr="002217A2" w:rsidRDefault="002217A2" w:rsidP="002217A2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right"/>
        <w:rPr>
          <w:rFonts w:ascii="Garamond" w:eastAsia="Calibri" w:hAnsi="Garamond" w:cs="Calibri"/>
          <w:sz w:val="24"/>
          <w:szCs w:val="24"/>
        </w:rPr>
      </w:pPr>
      <w:r w:rsidRPr="002217A2">
        <w:rPr>
          <w:rFonts w:ascii="Garamond" w:eastAsia="Calibri" w:hAnsi="Garamond" w:cs="Calibri"/>
          <w:sz w:val="24"/>
          <w:szCs w:val="24"/>
        </w:rPr>
        <w:t>Predsjednik Općinskog vijeća:</w:t>
      </w:r>
    </w:p>
    <w:p w:rsidR="002217A2" w:rsidRPr="002217A2" w:rsidRDefault="002217A2" w:rsidP="002217A2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center"/>
        <w:rPr>
          <w:rFonts w:ascii="Garamond" w:eastAsia="Calibri" w:hAnsi="Garamond" w:cs="Calibri"/>
          <w:sz w:val="24"/>
          <w:szCs w:val="24"/>
        </w:rPr>
      </w:pPr>
      <w:r w:rsidRPr="002217A2">
        <w:rPr>
          <w:rFonts w:ascii="Garamond" w:eastAsia="Calibri" w:hAnsi="Garamond" w:cs="Calibri"/>
          <w:sz w:val="24"/>
          <w:szCs w:val="24"/>
        </w:rPr>
        <w:t xml:space="preserve">                                                                                              Željko Klarić</w:t>
      </w:r>
    </w:p>
    <w:p w:rsidR="002217A2" w:rsidRPr="002217A2" w:rsidRDefault="002217A2" w:rsidP="002217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Default="002217A2" w:rsidP="002217A2">
      <w:pPr>
        <w:rPr>
          <w:rFonts w:ascii="Garamond" w:eastAsia="Calibri" w:hAnsi="Garamond" w:cs="Calibri"/>
          <w:bCs/>
          <w:sz w:val="24"/>
          <w:szCs w:val="24"/>
        </w:rPr>
      </w:pPr>
    </w:p>
    <w:p w:rsidR="002217A2" w:rsidRPr="002217A2" w:rsidRDefault="002217A2" w:rsidP="002217A2">
      <w:pPr>
        <w:rPr>
          <w:rFonts w:ascii="Calibri" w:hAnsi="Calibri" w:cs="Calibri"/>
          <w:b/>
        </w:rPr>
      </w:pPr>
    </w:p>
    <w:p w:rsidR="002217A2" w:rsidRPr="002217A2" w:rsidRDefault="002217A2" w:rsidP="002217A2"/>
    <w:p w:rsidR="002217A2" w:rsidRPr="00B2511B" w:rsidRDefault="00B2511B" w:rsidP="00B2511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>- Akti Načelnika</w:t>
      </w:r>
    </w:p>
    <w:p w:rsidR="002217A2" w:rsidRDefault="002217A2" w:rsidP="002217A2">
      <w:pPr>
        <w:rPr>
          <w:rFonts w:ascii="Times New Roman" w:hAnsi="Times New Roman" w:cs="Times New Roman"/>
        </w:rPr>
      </w:pPr>
    </w:p>
    <w:p w:rsidR="002217A2" w:rsidRDefault="00B2511B" w:rsidP="00B863A6">
      <w:r>
        <w:t>13</w:t>
      </w:r>
      <w:r w:rsidR="002217A2">
        <w:t xml:space="preserve">. </w:t>
      </w:r>
    </w:p>
    <w:p w:rsidR="002217A2" w:rsidRDefault="002217A2" w:rsidP="00B863A6"/>
    <w:p w:rsidR="002217A2" w:rsidRDefault="002217A2" w:rsidP="002217A2">
      <w:r>
        <w:t xml:space="preserve">              </w:t>
      </w:r>
      <w:r>
        <w:rPr>
          <w:noProof/>
          <w:lang w:eastAsia="hr-HR"/>
        </w:rPr>
        <w:drawing>
          <wp:inline distT="0" distB="0" distL="0" distR="0">
            <wp:extent cx="495300" cy="657225"/>
            <wp:effectExtent l="0" t="0" r="0" b="9525"/>
            <wp:docPr id="16302457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152401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A2" w:rsidRDefault="002217A2" w:rsidP="002217A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R E P U B L I K A  H R V A T S K 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Trg hrvatskih branitelja 1</w:t>
      </w:r>
    </w:p>
    <w:p w:rsidR="002217A2" w:rsidRDefault="002217A2" w:rsidP="002217A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BRODSKO – POSAVSKA ŽUPANIJA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35429 Gornji </w:t>
      </w:r>
      <w:proofErr w:type="spellStart"/>
      <w:r>
        <w:rPr>
          <w:rFonts w:ascii="Times New Roman" w:hAnsi="Times New Roman"/>
          <w:sz w:val="20"/>
          <w:szCs w:val="20"/>
        </w:rPr>
        <w:t>Bogićevci</w:t>
      </w:r>
      <w:proofErr w:type="spellEnd"/>
    </w:p>
    <w:p w:rsidR="002217A2" w:rsidRDefault="002217A2" w:rsidP="002217A2">
      <w:pPr>
        <w:pStyle w:val="Bezproreda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</w:rPr>
        <w:t>OPĆINA  G O R NJ I   B O G I Ć E V C I</w:t>
      </w:r>
      <w:r>
        <w:rPr>
          <w:rFonts w:ascii="Times New Roman" w:hAnsi="Times New Roman"/>
          <w:b/>
        </w:rPr>
        <w:tab/>
        <w:t xml:space="preserve">                      </w:t>
      </w:r>
      <w:r>
        <w:rPr>
          <w:rFonts w:ascii="Times New Roman" w:hAnsi="Times New Roman"/>
          <w:b/>
          <w:sz w:val="18"/>
          <w:szCs w:val="18"/>
        </w:rPr>
        <w:t>e-mail:opcinagbnacelnik@gmail.com</w:t>
      </w:r>
    </w:p>
    <w:p w:rsidR="002217A2" w:rsidRDefault="002217A2" w:rsidP="002217A2">
      <w:pPr>
        <w:pStyle w:val="Bezproreda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  <w:b/>
        </w:rPr>
        <w:t>Načelnik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Tel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fax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 035/375-056, 099/584-8456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ascii="Times New Roman" w:hAnsi="Times New Roman"/>
        </w:rPr>
        <w:lastRenderedPageBreak/>
        <w:t>-----------------------------------------------------------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  <w:sz w:val="20"/>
          <w:szCs w:val="20"/>
        </w:rPr>
        <w:t>MB: 2704609, OIB:89414039518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KLASA:601-01/24-01/1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URBROJ:2178-22-01-24-1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Gornji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Bogićevci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, 5. prosinca 2024. godine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Na temelju članka 37., stavak 4. Zakona o predškolskom odgoju i obrazovanju („Narodne novine“ broj 10/97, 107/07, 94/13 i 57/22) i članka 60. Statuta Općine Gornji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Bogićevci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, Načelnik općine Gornji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Bogićevci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donosi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ODLUKU</w:t>
      </w:r>
    </w:p>
    <w:p w:rsidR="002217A2" w:rsidRDefault="002217A2" w:rsidP="002217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 davanju suglasnosti na Odluku Upravnog vijeća Dječjeg vrtića Nova Gradiška za imenovanje ravnateljice </w:t>
      </w: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Članak 1.</w:t>
      </w: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Ovom odlukom daje se suglasnost na Odluku o utvrđivanju prijedloga kandidatkinje za ravnateljicu DV Nova Gradiška Vere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Trobić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od 27.11.2024. godine KLASA:601-02/24-05/01, URBROJ:2178-15-380-02-24-</w:t>
      </w: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Članak 2.</w:t>
      </w: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Ova odluka stupa na snagu danom objave u „Službenom glasniku Općine Gornji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Bogićevci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.“</w:t>
      </w: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2217A2" w:rsidRDefault="002217A2" w:rsidP="002217A2">
      <w:pPr>
        <w:spacing w:after="0" w:line="240" w:lineRule="auto"/>
        <w:ind w:left="6372" w:firstLine="708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Načelnik:</w:t>
      </w:r>
    </w:p>
    <w:p w:rsidR="002217A2" w:rsidRDefault="002217A2" w:rsidP="002217A2">
      <w:pPr>
        <w:spacing w:after="0" w:line="240" w:lineRule="auto"/>
        <w:ind w:left="4248" w:firstLine="708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Pavo Klarić,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dipl.oec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2217A2" w:rsidRDefault="002217A2" w:rsidP="002217A2">
      <w:pPr>
        <w:jc w:val="right"/>
        <w:rPr>
          <w:kern w:val="2"/>
        </w:rPr>
      </w:pPr>
    </w:p>
    <w:p w:rsidR="002217A2" w:rsidRDefault="002217A2" w:rsidP="00B863A6"/>
    <w:p w:rsidR="00B863A6" w:rsidRDefault="00B863A6" w:rsidP="00B863A6"/>
    <w:p w:rsidR="002217A2" w:rsidRDefault="002217A2" w:rsidP="00B863A6"/>
    <w:p w:rsidR="00B156E6" w:rsidRDefault="00B156E6" w:rsidP="00B863A6"/>
    <w:p w:rsidR="00B156E6" w:rsidRDefault="00B156E6" w:rsidP="00B863A6"/>
    <w:p w:rsidR="00B156E6" w:rsidRDefault="00B156E6" w:rsidP="00B863A6"/>
    <w:p w:rsidR="00B156E6" w:rsidRDefault="00B156E6" w:rsidP="00B863A6"/>
    <w:p w:rsidR="00B156E6" w:rsidRDefault="00B156E6" w:rsidP="00B863A6"/>
    <w:p w:rsidR="00B156E6" w:rsidRDefault="00B156E6" w:rsidP="00B863A6"/>
    <w:p w:rsidR="00B156E6" w:rsidRDefault="00B156E6" w:rsidP="00B863A6"/>
    <w:p w:rsidR="002217A2" w:rsidRDefault="00B2511B" w:rsidP="00B863A6">
      <w:r>
        <w:lastRenderedPageBreak/>
        <w:t>14</w:t>
      </w:r>
      <w:r w:rsidR="002217A2">
        <w:t xml:space="preserve">. </w:t>
      </w:r>
    </w:p>
    <w:p w:rsidR="00B156E6" w:rsidRPr="001D0435" w:rsidRDefault="00B156E6" w:rsidP="00B156E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1D0435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 xml:space="preserve"> Zaključak o utvrđivanju prijedloga Plana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  <w:r>
        <w:t xml:space="preserve">Na temelju članka 95. Zakona o prostornom uređenju (''NN'', br. 153/13, 65/17, 114/18, 39/19 i 67/23) i članka 60. Statuta Općine Gornji </w:t>
      </w:r>
      <w:proofErr w:type="spellStart"/>
      <w:r>
        <w:t>Bogićevci</w:t>
      </w:r>
      <w:proofErr w:type="spellEnd"/>
      <w:r>
        <w:t xml:space="preserve"> (''Službeni glasnik Općine Gornji </w:t>
      </w:r>
      <w:proofErr w:type="spellStart"/>
      <w:r>
        <w:t>Bogićevci</w:t>
      </w:r>
      <w:proofErr w:type="spellEnd"/>
      <w:r>
        <w:t xml:space="preserve"> '' br. 01/21.), dana 04.11.2024. godine, Načelnik donosi sljedeći 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  <w:rPr>
          <w:b/>
          <w:bCs/>
        </w:rPr>
      </w:pPr>
      <w:r>
        <w:rPr>
          <w:b/>
          <w:bCs/>
        </w:rPr>
        <w:t xml:space="preserve">ZAKLJUČAK </w:t>
      </w:r>
    </w:p>
    <w:p w:rsidR="00B156E6" w:rsidRDefault="00B156E6" w:rsidP="00B156E6">
      <w:pPr>
        <w:jc w:val="center"/>
        <w:rPr>
          <w:b/>
          <w:bCs/>
        </w:rPr>
      </w:pPr>
      <w:r>
        <w:rPr>
          <w:b/>
          <w:bCs/>
        </w:rPr>
        <w:t xml:space="preserve">o utvrđivanju Prijedloga II. Izmjena i dopuna PPUO Gornji </w:t>
      </w:r>
      <w:proofErr w:type="spellStart"/>
      <w:r>
        <w:rPr>
          <w:b/>
          <w:bCs/>
        </w:rPr>
        <w:t>Bogićevci</w:t>
      </w:r>
      <w:proofErr w:type="spellEnd"/>
    </w:p>
    <w:p w:rsidR="00B156E6" w:rsidRDefault="00B156E6" w:rsidP="00B156E6"/>
    <w:p w:rsidR="00B156E6" w:rsidRDefault="00B156E6" w:rsidP="00B156E6"/>
    <w:p w:rsidR="00B156E6" w:rsidRDefault="00B156E6" w:rsidP="00B156E6"/>
    <w:p w:rsidR="00B156E6" w:rsidRDefault="00B156E6" w:rsidP="00B156E6">
      <w:pPr>
        <w:jc w:val="center"/>
      </w:pPr>
      <w:r>
        <w:t>Članak 1.</w:t>
      </w:r>
    </w:p>
    <w:p w:rsidR="00B156E6" w:rsidRDefault="00B156E6" w:rsidP="00B156E6">
      <w:pPr>
        <w:jc w:val="both"/>
      </w:pPr>
      <w:r>
        <w:t xml:space="preserve">Utvrđuje se Prijedlog II. Izmjena i dopuna PPUO Gornji </w:t>
      </w:r>
      <w:proofErr w:type="spellStart"/>
      <w:r>
        <w:t>Bogićevci</w:t>
      </w:r>
      <w:proofErr w:type="spellEnd"/>
      <w:r>
        <w:t xml:space="preserve"> (u daljnjem tekstu : Prijedlog plana).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  <w:r>
        <w:t>Prijedlog plana sadrži tekstualni i grafički dio Plana, te Sažetak za javnost.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2.</w:t>
      </w:r>
    </w:p>
    <w:p w:rsidR="00B156E6" w:rsidRDefault="00B156E6" w:rsidP="00B156E6">
      <w:pPr>
        <w:jc w:val="both"/>
      </w:pPr>
      <w:r>
        <w:t>Prijedlog plana se upućuje u javnu raspravu. Javna rasprava s javnim uvidom trajat će osam (8) dana u vremenu od 14.11.  do 22.11.2024. godine 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3.</w:t>
      </w:r>
    </w:p>
    <w:p w:rsidR="00B156E6" w:rsidRDefault="00B156E6" w:rsidP="00B156E6">
      <w:pPr>
        <w:jc w:val="both"/>
        <w:rPr>
          <w:color w:val="FF0000"/>
        </w:rPr>
      </w:pPr>
      <w:r>
        <w:t xml:space="preserve">Prijedlog plana (tekstualni i grafički dio) bit će izložen u prostoriji Općine Gornji </w:t>
      </w:r>
      <w:proofErr w:type="spellStart"/>
      <w:r>
        <w:t>Bogićevci</w:t>
      </w:r>
      <w:proofErr w:type="spellEnd"/>
      <w:r>
        <w:t xml:space="preserve">, Trg hrvatskih branitelja 1, Gornji </w:t>
      </w:r>
      <w:proofErr w:type="spellStart"/>
      <w:r>
        <w:t>Bogićevci</w:t>
      </w:r>
      <w:proofErr w:type="spellEnd"/>
      <w:r>
        <w:t>, svakim radnim danom od 08,00 do 14,00 sati.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  <w:r>
        <w:t xml:space="preserve">Uvid je omogućen i na web stranici Općine Gornji </w:t>
      </w:r>
      <w:proofErr w:type="spellStart"/>
      <w:r>
        <w:t>Bogićevci</w:t>
      </w:r>
      <w:proofErr w:type="spellEnd"/>
      <w:r>
        <w:t>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4.</w:t>
      </w:r>
    </w:p>
    <w:p w:rsidR="00B156E6" w:rsidRDefault="00B156E6" w:rsidP="00B156E6">
      <w:pPr>
        <w:jc w:val="both"/>
        <w:rPr>
          <w:color w:val="FF0000"/>
        </w:rPr>
      </w:pPr>
      <w:r>
        <w:t xml:space="preserve">Tijekom trajanja javne rasprave bit će organizirano javno izlaganje Prijedloga plana u prostoru Općine Gornji </w:t>
      </w:r>
      <w:proofErr w:type="spellStart"/>
      <w:r>
        <w:t>Bogićevci</w:t>
      </w:r>
      <w:proofErr w:type="spellEnd"/>
      <w:r>
        <w:t xml:space="preserve">, Trg hrvatskih branitelja 1, Gornji </w:t>
      </w:r>
      <w:proofErr w:type="spellStart"/>
      <w:r>
        <w:t>Bogićevci</w:t>
      </w:r>
      <w:proofErr w:type="spellEnd"/>
      <w:r>
        <w:t xml:space="preserve">, dana 21.11.2024. godine, u 12,00 sati. 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5.</w:t>
      </w:r>
    </w:p>
    <w:p w:rsidR="00B156E6" w:rsidRDefault="00B156E6" w:rsidP="00B156E6">
      <w:pPr>
        <w:jc w:val="both"/>
      </w:pPr>
      <w:r>
        <w:t>Pisana očitovanja, prijedlozi i primjedbe na Prijedlog plana mogu se dostaviti, Jedinstvenom upravnom odjelu Općine ili Načelniku Općine najkasnije do isteka roka javne rasprave 22.11.2024.. godine.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6.</w:t>
      </w:r>
    </w:p>
    <w:p w:rsidR="00B156E6" w:rsidRDefault="00B156E6" w:rsidP="00B156E6">
      <w:pPr>
        <w:jc w:val="both"/>
      </w:pPr>
      <w:r>
        <w:t>Načelnik Općine Pavo Klarić se obvezuje:</w:t>
      </w:r>
    </w:p>
    <w:p w:rsidR="00B156E6" w:rsidRDefault="00B156E6" w:rsidP="00B156E6">
      <w:pPr>
        <w:jc w:val="both"/>
      </w:pPr>
    </w:p>
    <w:p w:rsidR="00B156E6" w:rsidRDefault="00B156E6" w:rsidP="00B156E6">
      <w:pPr>
        <w:numPr>
          <w:ilvl w:val="0"/>
          <w:numId w:val="17"/>
        </w:numPr>
        <w:spacing w:after="0" w:line="240" w:lineRule="auto"/>
        <w:jc w:val="both"/>
      </w:pPr>
      <w:r>
        <w:t xml:space="preserve">po donošenju ovog Zaključka, o njegovom sadržaju i trajanju javne rasprave izvijestiti sredstva javnog priopćavanja, </w:t>
      </w:r>
    </w:p>
    <w:p w:rsidR="00B156E6" w:rsidRDefault="00B156E6" w:rsidP="00B156E6">
      <w:pPr>
        <w:numPr>
          <w:ilvl w:val="0"/>
          <w:numId w:val="17"/>
        </w:numPr>
        <w:spacing w:after="0" w:line="240" w:lineRule="auto"/>
        <w:jc w:val="both"/>
      </w:pPr>
      <w:r>
        <w:t>Uputiti posebnu pisanu obavijest o donošenju ovog Zaključka s pozivom na javno izlaganje, tijelima opisanim u članku 97. Zakona.</w:t>
      </w:r>
    </w:p>
    <w:p w:rsidR="00B156E6" w:rsidRDefault="00B156E6" w:rsidP="00B156E6">
      <w:pPr>
        <w:jc w:val="both"/>
      </w:pPr>
    </w:p>
    <w:p w:rsidR="00B156E6" w:rsidRDefault="00B156E6" w:rsidP="00B156E6">
      <w:pPr>
        <w:jc w:val="both"/>
      </w:pPr>
    </w:p>
    <w:p w:rsidR="00B156E6" w:rsidRDefault="00B156E6" w:rsidP="00B156E6">
      <w:pPr>
        <w:jc w:val="center"/>
      </w:pPr>
      <w:r>
        <w:t>Članak 7.</w:t>
      </w:r>
    </w:p>
    <w:p w:rsidR="00B156E6" w:rsidRDefault="00B156E6" w:rsidP="00B156E6">
      <w:pPr>
        <w:jc w:val="both"/>
        <w:rPr>
          <w:color w:val="FF0000"/>
        </w:rPr>
      </w:pPr>
      <w:r>
        <w:t xml:space="preserve">Ovaj Zaključak obvezno se objavljuje u Službenom glasniku Općine Gornji </w:t>
      </w:r>
      <w:proofErr w:type="spellStart"/>
      <w:r>
        <w:t>Bogićevci</w:t>
      </w:r>
      <w:proofErr w:type="spellEnd"/>
      <w:r>
        <w:rPr>
          <w:color w:val="FF0000"/>
        </w:rPr>
        <w:t>.</w:t>
      </w:r>
    </w:p>
    <w:p w:rsidR="00B156E6" w:rsidRDefault="00B156E6" w:rsidP="00B156E6">
      <w:pPr>
        <w:jc w:val="both"/>
      </w:pPr>
    </w:p>
    <w:p w:rsidR="00B156E6" w:rsidRDefault="00B156E6" w:rsidP="00B156E6"/>
    <w:p w:rsidR="00B156E6" w:rsidRDefault="00B156E6" w:rsidP="00B156E6"/>
    <w:p w:rsidR="00B156E6" w:rsidRDefault="00B156E6" w:rsidP="00B156E6"/>
    <w:p w:rsidR="00B156E6" w:rsidRDefault="00B156E6" w:rsidP="00B156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Načelnik Općine:</w:t>
      </w:r>
    </w:p>
    <w:p w:rsidR="00B156E6" w:rsidRDefault="00B156E6" w:rsidP="00B156E6"/>
    <w:p w:rsidR="00B156E6" w:rsidRDefault="00B156E6" w:rsidP="00B156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Pavo Klarić,</w:t>
      </w:r>
      <w:proofErr w:type="spellStart"/>
      <w:r>
        <w:t>dipl.oec</w:t>
      </w:r>
      <w:proofErr w:type="spellEnd"/>
      <w:r>
        <w:t>.</w:t>
      </w:r>
    </w:p>
    <w:p w:rsidR="00B156E6" w:rsidRDefault="00B156E6" w:rsidP="00B156E6"/>
    <w:p w:rsidR="00B156E6" w:rsidRDefault="00B156E6" w:rsidP="00B156E6"/>
    <w:p w:rsidR="00B156E6" w:rsidRDefault="00B156E6" w:rsidP="00B156E6">
      <w:r>
        <w:t>KLASA: 351-01/24-01/02</w:t>
      </w:r>
    </w:p>
    <w:p w:rsidR="00B156E6" w:rsidRDefault="00B156E6" w:rsidP="00B156E6">
      <w:r>
        <w:lastRenderedPageBreak/>
        <w:t>URBROJ: 2178-22-01/24-38</w:t>
      </w:r>
    </w:p>
    <w:p w:rsidR="00B156E6" w:rsidRDefault="00B156E6" w:rsidP="00B156E6"/>
    <w:p w:rsidR="00B156E6" w:rsidRPr="001D0435" w:rsidRDefault="00B156E6" w:rsidP="00B156E6">
      <w:r>
        <w:t xml:space="preserve">U Gornjim </w:t>
      </w:r>
      <w:proofErr w:type="spellStart"/>
      <w:r>
        <w:t>Bogićevcima</w:t>
      </w:r>
      <w:proofErr w:type="spellEnd"/>
      <w:r>
        <w:t>, 04.11.2024. godine</w:t>
      </w:r>
    </w:p>
    <w:p w:rsidR="00B156E6" w:rsidRDefault="00B156E6" w:rsidP="00B863A6"/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6E6" w:rsidRDefault="00B156E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B863A6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1C3F75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74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D3B64"/>
    <w:multiLevelType w:val="hybridMultilevel"/>
    <w:tmpl w:val="C192A318"/>
    <w:lvl w:ilvl="0" w:tplc="554EE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6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04DF5"/>
    <w:multiLevelType w:val="multilevel"/>
    <w:tmpl w:val="EF8C6D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33189"/>
    <w:multiLevelType w:val="hybridMultilevel"/>
    <w:tmpl w:val="2C983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1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B2A"/>
    <w:rsid w:val="001B116A"/>
    <w:rsid w:val="002217A2"/>
    <w:rsid w:val="002837C4"/>
    <w:rsid w:val="004409A1"/>
    <w:rsid w:val="00477A29"/>
    <w:rsid w:val="0050772C"/>
    <w:rsid w:val="006367B1"/>
    <w:rsid w:val="006C4E90"/>
    <w:rsid w:val="00740106"/>
    <w:rsid w:val="007F0B2A"/>
    <w:rsid w:val="00836E3A"/>
    <w:rsid w:val="008704E2"/>
    <w:rsid w:val="008A203B"/>
    <w:rsid w:val="009106BA"/>
    <w:rsid w:val="00A620C5"/>
    <w:rsid w:val="00B156E6"/>
    <w:rsid w:val="00B2511B"/>
    <w:rsid w:val="00B8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link w:val="BezproredaChar"/>
    <w:uiPriority w:val="1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11B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19C2-13F3-4B78-8189-A69C84A5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76</Pages>
  <Words>20198</Words>
  <Characters>115135</Characters>
  <Application>Microsoft Office Word</Application>
  <DocSecurity>0</DocSecurity>
  <Lines>959</Lines>
  <Paragraphs>270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X</cp:lastModifiedBy>
  <cp:revision>7</cp:revision>
  <dcterms:created xsi:type="dcterms:W3CDTF">2024-12-27T15:40:00Z</dcterms:created>
  <dcterms:modified xsi:type="dcterms:W3CDTF">2025-04-17T11:59:00Z</dcterms:modified>
</cp:coreProperties>
</file>