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2E7C2">
      <w:pPr>
        <w:pStyle w:val="14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eastAsia="hr-HR"/>
        </w:rPr>
        <w:drawing>
          <wp:inline distT="0" distB="0" distL="0" distR="0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A7135">
      <w:pPr>
        <w:pStyle w:val="14"/>
        <w:ind w:firstLine="720"/>
        <w:rPr>
          <w:szCs w:val="24"/>
        </w:rPr>
      </w:pPr>
    </w:p>
    <w:p w14:paraId="28845813">
      <w:pPr>
        <w:rPr>
          <w:sz w:val="24"/>
          <w:szCs w:val="24"/>
        </w:rPr>
      </w:pPr>
      <w:r>
        <w:rPr>
          <w:sz w:val="24"/>
          <w:szCs w:val="24"/>
        </w:rPr>
        <w:t>REPUBLIKA HRVATSKA</w:t>
      </w:r>
    </w:p>
    <w:p w14:paraId="08E4D4D6">
      <w:pPr>
        <w:rPr>
          <w:sz w:val="24"/>
          <w:szCs w:val="24"/>
        </w:rPr>
      </w:pPr>
      <w:r>
        <w:rPr>
          <w:sz w:val="24"/>
          <w:szCs w:val="24"/>
        </w:rPr>
        <w:t>BRODSKO-POSAVSKA ŽUPANIJA</w:t>
      </w:r>
    </w:p>
    <w:p w14:paraId="1FC3449E">
      <w:pPr>
        <w:rPr>
          <w:sz w:val="24"/>
          <w:szCs w:val="24"/>
        </w:rPr>
      </w:pPr>
      <w:r>
        <w:rPr>
          <w:sz w:val="24"/>
          <w:szCs w:val="24"/>
        </w:rPr>
        <w:t>OPĆINA GORNJI BOGIĆEVCI</w:t>
      </w:r>
    </w:p>
    <w:p w14:paraId="786998E3">
      <w:pPr>
        <w:rPr>
          <w:sz w:val="24"/>
          <w:szCs w:val="24"/>
        </w:rPr>
      </w:pPr>
      <w:r>
        <w:rPr>
          <w:sz w:val="24"/>
          <w:szCs w:val="24"/>
        </w:rPr>
        <w:t>OPĆINSKO VIJEĆE</w:t>
      </w:r>
    </w:p>
    <w:p w14:paraId="120960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Trg hrvatskih branitelja 1, </w:t>
      </w:r>
    </w:p>
    <w:p w14:paraId="1AB4688B">
      <w:pPr>
        <w:jc w:val="both"/>
        <w:rPr>
          <w:sz w:val="24"/>
          <w:szCs w:val="24"/>
        </w:rPr>
      </w:pPr>
      <w:r>
        <w:rPr>
          <w:sz w:val="24"/>
          <w:szCs w:val="24"/>
        </w:rPr>
        <w:t>35429 Gornji Bogićevci</w:t>
      </w:r>
    </w:p>
    <w:p w14:paraId="3518E1F8">
      <w:pPr>
        <w:rPr>
          <w:sz w:val="24"/>
          <w:szCs w:val="24"/>
        </w:rPr>
      </w:pPr>
      <w:r>
        <w:rPr>
          <w:sz w:val="24"/>
          <w:szCs w:val="24"/>
        </w:rPr>
        <w:t>OIB: 89414039518</w:t>
      </w:r>
    </w:p>
    <w:p w14:paraId="15924966">
      <w:pPr>
        <w:rPr>
          <w:sz w:val="24"/>
          <w:szCs w:val="24"/>
        </w:rPr>
      </w:pPr>
      <w:r>
        <w:rPr>
          <w:sz w:val="24"/>
          <w:szCs w:val="24"/>
        </w:rPr>
        <w:t>Tel: 035/375-056</w:t>
      </w:r>
    </w:p>
    <w:p w14:paraId="136FB343">
      <w:pPr>
        <w:pStyle w:val="14"/>
        <w:ind w:firstLine="708"/>
        <w:rPr>
          <w:bCs/>
          <w:szCs w:val="24"/>
        </w:rPr>
      </w:pPr>
    </w:p>
    <w:p w14:paraId="36D6C3B9">
      <w:pPr>
        <w:pStyle w:val="14"/>
        <w:ind w:firstLine="708"/>
        <w:rPr>
          <w:b/>
          <w:color w:val="FF0000"/>
          <w:szCs w:val="24"/>
        </w:rPr>
      </w:pPr>
      <w:r>
        <w:rPr>
          <w:bCs/>
          <w:szCs w:val="24"/>
        </w:rPr>
        <w:t xml:space="preserve">Na temelju članka 33. stavka 1. Zakona o stambenom zbrinjavanju na potpomognutim područjima („Narodne novine“ broj 106/18, 98/19 i 82/23), Uredbe o uvjetima za kupnju obiteljske kuće ili stana u državnom vlasništvu na područjima posebne državne skrbi („Narodne novine“ broj 19/11, 56/11, 3/13 i 24/19) </w:t>
      </w:r>
      <w:r>
        <w:rPr>
          <w:szCs w:val="24"/>
        </w:rPr>
        <w:t>članka 39. stavak 5. Statuta općine Gornji Bogićevci („Službeni glasnik Općine Gornji Bogićevci“, broj 02/21, Općinsko vijeće općine Gornji Bogićevci</w:t>
      </w:r>
      <w:r>
        <w:rPr>
          <w:color w:val="auto"/>
          <w:szCs w:val="24"/>
        </w:rPr>
        <w:t xml:space="preserve"> na svojoj </w:t>
      </w:r>
      <w:r>
        <w:rPr>
          <w:rFonts w:hint="default"/>
          <w:color w:val="auto"/>
          <w:szCs w:val="24"/>
          <w:lang w:val="hr-HR"/>
        </w:rPr>
        <w:t>5</w:t>
      </w:r>
      <w:r>
        <w:rPr>
          <w:color w:val="auto"/>
          <w:szCs w:val="24"/>
        </w:rPr>
        <w:t xml:space="preserve">. sjednici održanoj </w:t>
      </w:r>
      <w:r>
        <w:rPr>
          <w:rFonts w:hint="default"/>
          <w:color w:val="auto"/>
          <w:szCs w:val="24"/>
          <w:lang w:val="hr-HR"/>
        </w:rPr>
        <w:t>22.12.</w:t>
      </w:r>
      <w:r>
        <w:rPr>
          <w:color w:val="auto"/>
          <w:szCs w:val="24"/>
        </w:rPr>
        <w:t>2025. godine, donosi</w:t>
      </w:r>
    </w:p>
    <w:p w14:paraId="101505B0">
      <w:pPr>
        <w:pStyle w:val="14"/>
        <w:rPr>
          <w:b/>
          <w:bCs/>
          <w:szCs w:val="24"/>
        </w:rPr>
      </w:pPr>
    </w:p>
    <w:p w14:paraId="4ABEAAEC">
      <w:pPr>
        <w:tabs>
          <w:tab w:val="center" w:pos="4152"/>
          <w:tab w:val="left" w:pos="5235"/>
        </w:tabs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PLAN  UTROŠKA SREDSTAVA OD PRODAJE KUĆA I STANOVA U DRŽAVNOM VLASNIŠTVU NA PODRUČJU OPĆINE GORNJI BOGIĆECI ZA 2026. GODINU</w:t>
      </w:r>
    </w:p>
    <w:p w14:paraId="6AB0157C">
      <w:pPr>
        <w:jc w:val="center"/>
        <w:rPr>
          <w:bCs/>
          <w:sz w:val="24"/>
          <w:szCs w:val="24"/>
          <w:lang w:val="hr-HR"/>
        </w:rPr>
      </w:pPr>
    </w:p>
    <w:p w14:paraId="33C25E10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1.</w:t>
      </w:r>
    </w:p>
    <w:p w14:paraId="7CBE61BC">
      <w:pPr>
        <w:jc w:val="center"/>
        <w:rPr>
          <w:bCs/>
          <w:sz w:val="24"/>
          <w:szCs w:val="24"/>
          <w:lang w:val="hr-HR"/>
        </w:rPr>
      </w:pPr>
    </w:p>
    <w:p w14:paraId="59E036A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Ovim Planom utvrđuje se namjena korištenja sredstava od prodaje kuća i stanova u državnom vlasništvu na području općine Gornji Bogićevci.</w:t>
      </w:r>
    </w:p>
    <w:p w14:paraId="221AB39B">
      <w:pPr>
        <w:rPr>
          <w:sz w:val="24"/>
          <w:szCs w:val="24"/>
          <w:lang w:val="hr-HR"/>
        </w:rPr>
      </w:pPr>
    </w:p>
    <w:p w14:paraId="513BC800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2.</w:t>
      </w:r>
    </w:p>
    <w:p w14:paraId="1BB5B0A8">
      <w:pPr>
        <w:rPr>
          <w:sz w:val="24"/>
          <w:szCs w:val="24"/>
          <w:lang w:val="hr-HR"/>
        </w:rPr>
      </w:pPr>
    </w:p>
    <w:p w14:paraId="20F7438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 prodaje obiteljskih kuća i stanova u državnom vlasništvu na potpomognutim područjima za Općinu Gornji Bogićevci planiraju se sredstva u iznosu od </w:t>
      </w:r>
      <w:r>
        <w:rPr>
          <w:b/>
          <w:sz w:val="24"/>
          <w:szCs w:val="24"/>
          <w:lang w:val="hr-HR"/>
        </w:rPr>
        <w:t>20.000,00 eura</w:t>
      </w:r>
      <w:r>
        <w:rPr>
          <w:sz w:val="24"/>
          <w:szCs w:val="24"/>
          <w:lang w:val="hr-HR"/>
        </w:rPr>
        <w:t>.</w:t>
      </w:r>
    </w:p>
    <w:p w14:paraId="24FB8316">
      <w:pPr>
        <w:rPr>
          <w:sz w:val="24"/>
          <w:szCs w:val="24"/>
          <w:lang w:val="hr-HR"/>
        </w:rPr>
      </w:pPr>
    </w:p>
    <w:p w14:paraId="2A0F45D7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3.</w:t>
      </w:r>
    </w:p>
    <w:p w14:paraId="28D77751">
      <w:pPr>
        <w:jc w:val="center"/>
        <w:rPr>
          <w:bCs/>
          <w:sz w:val="24"/>
          <w:szCs w:val="24"/>
          <w:lang w:val="hr-HR"/>
        </w:rPr>
      </w:pPr>
    </w:p>
    <w:p w14:paraId="6EEFEA91">
      <w:pPr>
        <w:pStyle w:val="14"/>
        <w:rPr>
          <w:bCs/>
          <w:szCs w:val="24"/>
        </w:rPr>
      </w:pPr>
      <w:r>
        <w:rPr>
          <w:bCs/>
          <w:szCs w:val="24"/>
        </w:rPr>
        <w:t>Sredstva iz članka 2. ovog Plana utrošit će se za izgradnju komunalne infrastrukture sukladno Programu građenja komunalne infrastrukture na području općine Gornji Bogićevci za 2026. godinu kako slijedi:</w:t>
      </w:r>
    </w:p>
    <w:p w14:paraId="1CC434D0">
      <w:pPr>
        <w:pStyle w:val="14"/>
        <w:rPr>
          <w:szCs w:val="24"/>
        </w:rPr>
      </w:pPr>
      <w:r>
        <w:rPr>
          <w:bCs/>
          <w:szCs w:val="24"/>
        </w:rPr>
        <w:tab/>
      </w:r>
    </w:p>
    <w:tbl>
      <w:tblPr>
        <w:tblStyle w:val="12"/>
        <w:tblW w:w="0" w:type="auto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1"/>
        <w:gridCol w:w="5828"/>
        <w:gridCol w:w="1570"/>
      </w:tblGrid>
      <w:tr w14:paraId="17A1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 w:hRule="atLeast"/>
        </w:trPr>
        <w:tc>
          <w:tcPr>
            <w:tcW w:w="911" w:type="dxa"/>
            <w:vMerge w:val="restart"/>
          </w:tcPr>
          <w:p w14:paraId="0B797EE0">
            <w:pPr>
              <w:pStyle w:val="37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Red.br.</w:t>
            </w:r>
          </w:p>
        </w:tc>
        <w:tc>
          <w:tcPr>
            <w:tcW w:w="5828" w:type="dxa"/>
            <w:vMerge w:val="restart"/>
          </w:tcPr>
          <w:p w14:paraId="29C4CE79">
            <w:pPr>
              <w:pStyle w:val="37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Opis ulaganja</w:t>
            </w:r>
          </w:p>
        </w:tc>
        <w:tc>
          <w:tcPr>
            <w:tcW w:w="1570" w:type="dxa"/>
            <w:vMerge w:val="restart"/>
          </w:tcPr>
          <w:p w14:paraId="7E65C7B8">
            <w:pPr>
              <w:pStyle w:val="37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IZNOS (EUR)</w:t>
            </w:r>
          </w:p>
        </w:tc>
      </w:tr>
      <w:tr w14:paraId="65A0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0" w:hRule="atLeast"/>
        </w:trPr>
        <w:tc>
          <w:tcPr>
            <w:tcW w:w="911" w:type="dxa"/>
          </w:tcPr>
          <w:p w14:paraId="616310C0">
            <w:pPr>
              <w:pStyle w:val="37"/>
              <w:numPr>
                <w:ilvl w:val="0"/>
                <w:numId w:val="1"/>
              </w:numPr>
              <w:snapToGrid w:val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828" w:type="dxa"/>
          </w:tcPr>
          <w:p w14:paraId="2D7C8B35">
            <w:pPr>
              <w:pStyle w:val="37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Modernizacija javne rasvjete</w:t>
            </w:r>
          </w:p>
        </w:tc>
        <w:tc>
          <w:tcPr>
            <w:tcW w:w="1570" w:type="dxa"/>
          </w:tcPr>
          <w:p w14:paraId="17F06A4D">
            <w:pPr>
              <w:pStyle w:val="37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20.000,00</w:t>
            </w:r>
          </w:p>
        </w:tc>
      </w:tr>
      <w:tr w14:paraId="0B76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 w:hRule="atLeast"/>
        </w:trPr>
        <w:tc>
          <w:tcPr>
            <w:tcW w:w="911" w:type="dxa"/>
          </w:tcPr>
          <w:p w14:paraId="613D1A58">
            <w:pPr>
              <w:pStyle w:val="37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</w:tcPr>
          <w:p w14:paraId="251C86FD">
            <w:pPr>
              <w:pStyle w:val="37"/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570" w:type="dxa"/>
          </w:tcPr>
          <w:p w14:paraId="45DD431C">
            <w:pPr>
              <w:pStyle w:val="37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20.000,00</w:t>
            </w:r>
          </w:p>
        </w:tc>
      </w:tr>
    </w:tbl>
    <w:p w14:paraId="41C6D462">
      <w:pPr>
        <w:pStyle w:val="14"/>
        <w:jc w:val="left"/>
        <w:rPr>
          <w:szCs w:val="24"/>
        </w:rPr>
      </w:pPr>
    </w:p>
    <w:p w14:paraId="4AB6A0EF">
      <w:pPr>
        <w:pStyle w:val="14"/>
        <w:jc w:val="center"/>
        <w:rPr>
          <w:b/>
          <w:bCs/>
          <w:szCs w:val="24"/>
        </w:rPr>
      </w:pPr>
    </w:p>
    <w:p w14:paraId="61C63A7D">
      <w:pPr>
        <w:pStyle w:val="14"/>
        <w:jc w:val="center"/>
        <w:rPr>
          <w:b/>
          <w:bCs/>
          <w:szCs w:val="24"/>
        </w:rPr>
      </w:pPr>
    </w:p>
    <w:p w14:paraId="24AA5A1E">
      <w:pPr>
        <w:pStyle w:val="14"/>
        <w:jc w:val="center"/>
        <w:rPr>
          <w:b/>
          <w:bCs/>
          <w:szCs w:val="24"/>
        </w:rPr>
      </w:pPr>
      <w:r>
        <w:rPr>
          <w:b/>
          <w:bCs/>
          <w:szCs w:val="24"/>
        </w:rPr>
        <w:t>Članak 4.</w:t>
      </w:r>
    </w:p>
    <w:p w14:paraId="2E39ADAD">
      <w:pPr>
        <w:pStyle w:val="14"/>
        <w:jc w:val="center"/>
        <w:rPr>
          <w:szCs w:val="24"/>
        </w:rPr>
      </w:pPr>
    </w:p>
    <w:p w14:paraId="7AF49501">
      <w:pPr>
        <w:pStyle w:val="14"/>
        <w:jc w:val="left"/>
        <w:rPr>
          <w:szCs w:val="24"/>
        </w:rPr>
      </w:pPr>
      <w:r>
        <w:rPr>
          <w:szCs w:val="24"/>
        </w:rPr>
        <w:t>Za realizaciju ovog Plana zadužuje se Općinski načelnik. Ovaj Plan dostaviti će se Ministarstvu prostornog uređenja, graditeljstva i državne imovine, te po završetku godine podnijeti Izvješće o utrošenim sredstvima za 2026. godinu.</w:t>
      </w:r>
    </w:p>
    <w:p w14:paraId="6C01759B">
      <w:pPr>
        <w:pStyle w:val="14"/>
        <w:jc w:val="left"/>
        <w:rPr>
          <w:szCs w:val="24"/>
        </w:rPr>
      </w:pPr>
    </w:p>
    <w:p w14:paraId="2E8D5620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5.</w:t>
      </w:r>
    </w:p>
    <w:p w14:paraId="50B2BE87">
      <w:pPr>
        <w:jc w:val="center"/>
        <w:rPr>
          <w:b/>
          <w:bCs/>
          <w:sz w:val="24"/>
          <w:szCs w:val="24"/>
          <w:lang w:val="hr-HR"/>
        </w:rPr>
      </w:pPr>
    </w:p>
    <w:p w14:paraId="7CC4E870">
      <w:pPr>
        <w:pStyle w:val="14"/>
        <w:jc w:val="left"/>
        <w:rPr>
          <w:bCs/>
          <w:szCs w:val="24"/>
        </w:rPr>
      </w:pPr>
      <w:r>
        <w:rPr>
          <w:bCs/>
          <w:szCs w:val="24"/>
        </w:rPr>
        <w:t>Ovaj Program stupa na snagu osmi dan od dana objave u  “Službenom glasniku Općine Gornji Bogićevci“.</w:t>
      </w:r>
    </w:p>
    <w:p w14:paraId="2BBF5420">
      <w:pPr>
        <w:pStyle w:val="14"/>
        <w:jc w:val="left"/>
        <w:rPr>
          <w:bCs/>
          <w:szCs w:val="24"/>
        </w:rPr>
      </w:pPr>
    </w:p>
    <w:p w14:paraId="17EBAC5E">
      <w:pPr>
        <w:pStyle w:val="14"/>
        <w:jc w:val="center"/>
        <w:rPr>
          <w:bCs/>
          <w:szCs w:val="24"/>
        </w:rPr>
      </w:pPr>
      <w:r>
        <w:rPr>
          <w:b/>
          <w:iCs/>
          <w:szCs w:val="24"/>
        </w:rPr>
        <w:t>OPĆINSKO VIJEĆE</w:t>
      </w:r>
      <w:r>
        <w:rPr>
          <w:b/>
          <w:i/>
          <w:szCs w:val="24"/>
        </w:rPr>
        <w:t xml:space="preserve">  </w:t>
      </w:r>
      <w:r>
        <w:rPr>
          <w:b/>
          <w:iCs/>
          <w:szCs w:val="24"/>
        </w:rPr>
        <w:t>OPĆINE GORNJI BOGIĆEVCI</w:t>
      </w:r>
    </w:p>
    <w:p w14:paraId="14C707FE">
      <w:pPr>
        <w:pStyle w:val="14"/>
        <w:jc w:val="left"/>
        <w:rPr>
          <w:bCs/>
          <w:szCs w:val="24"/>
        </w:rPr>
      </w:pPr>
    </w:p>
    <w:p w14:paraId="01FD7C97">
      <w:pPr>
        <w:jc w:val="both"/>
        <w:rPr>
          <w:bCs/>
          <w:color w:val="auto"/>
          <w:sz w:val="24"/>
          <w:szCs w:val="24"/>
          <w:lang w:val="hr-HR"/>
        </w:rPr>
      </w:pPr>
      <w:r>
        <w:rPr>
          <w:bCs/>
          <w:color w:val="auto"/>
          <w:sz w:val="24"/>
          <w:szCs w:val="24"/>
          <w:lang w:val="hr-HR"/>
        </w:rPr>
        <w:t>KLASA: 400-05-25-0</w:t>
      </w:r>
      <w:r>
        <w:rPr>
          <w:rFonts w:hint="default"/>
          <w:bCs/>
          <w:color w:val="auto"/>
          <w:sz w:val="24"/>
          <w:szCs w:val="24"/>
          <w:lang w:val="hr-HR"/>
        </w:rPr>
        <w:t>2</w:t>
      </w:r>
      <w:r>
        <w:rPr>
          <w:bCs/>
          <w:color w:val="auto"/>
          <w:sz w:val="24"/>
          <w:szCs w:val="24"/>
          <w:lang w:val="hr-HR"/>
        </w:rPr>
        <w:t>-01</w:t>
      </w:r>
    </w:p>
    <w:p w14:paraId="1E51B558">
      <w:pPr>
        <w:jc w:val="both"/>
        <w:rPr>
          <w:bCs/>
          <w:color w:val="auto"/>
          <w:sz w:val="24"/>
          <w:szCs w:val="24"/>
          <w:lang w:val="hr-HR"/>
        </w:rPr>
      </w:pPr>
      <w:r>
        <w:rPr>
          <w:bCs/>
          <w:color w:val="auto"/>
          <w:sz w:val="24"/>
          <w:szCs w:val="24"/>
          <w:lang w:val="hr-HR"/>
        </w:rPr>
        <w:t>URBROJ: 2178</w:t>
      </w:r>
      <w:r>
        <w:rPr>
          <w:rFonts w:hint="default"/>
          <w:bCs/>
          <w:color w:val="auto"/>
          <w:sz w:val="24"/>
          <w:szCs w:val="24"/>
          <w:lang w:val="hr-HR"/>
        </w:rPr>
        <w:t>-</w:t>
      </w:r>
      <w:r>
        <w:rPr>
          <w:bCs/>
          <w:color w:val="auto"/>
          <w:sz w:val="24"/>
          <w:szCs w:val="24"/>
          <w:lang w:val="hr-HR"/>
        </w:rPr>
        <w:t>22-03-25-01</w:t>
      </w:r>
      <w:bookmarkStart w:id="0" w:name="_GoBack"/>
      <w:bookmarkEnd w:id="0"/>
    </w:p>
    <w:p w14:paraId="34C6E96D">
      <w:pPr>
        <w:jc w:val="both"/>
        <w:rPr>
          <w:bCs/>
          <w:color w:val="FF0000"/>
          <w:sz w:val="24"/>
          <w:szCs w:val="24"/>
          <w:lang w:val="hr-HR"/>
        </w:rPr>
      </w:pPr>
      <w:r>
        <w:rPr>
          <w:bCs/>
          <w:color w:val="auto"/>
          <w:sz w:val="24"/>
          <w:szCs w:val="24"/>
          <w:lang w:val="hr-HR"/>
        </w:rPr>
        <w:t>Gornji Bogićevci, 2</w:t>
      </w:r>
      <w:r>
        <w:rPr>
          <w:rFonts w:hint="default"/>
          <w:bCs/>
          <w:color w:val="auto"/>
          <w:sz w:val="24"/>
          <w:szCs w:val="24"/>
          <w:lang w:val="hr-HR"/>
        </w:rPr>
        <w:t>2. prosinca</w:t>
      </w:r>
      <w:r>
        <w:rPr>
          <w:bCs/>
          <w:color w:val="auto"/>
          <w:sz w:val="24"/>
          <w:szCs w:val="24"/>
          <w:lang w:val="hr-HR"/>
        </w:rPr>
        <w:t xml:space="preserve"> 2025. godine</w:t>
      </w:r>
      <w:r>
        <w:rPr>
          <w:bCs/>
          <w:color w:val="FF0000"/>
          <w:sz w:val="24"/>
          <w:szCs w:val="24"/>
          <w:lang w:val="hr-HR"/>
        </w:rPr>
        <w:tab/>
      </w:r>
      <w:r>
        <w:rPr>
          <w:bCs/>
          <w:color w:val="FF0000"/>
          <w:sz w:val="24"/>
          <w:szCs w:val="24"/>
          <w:lang w:val="hr-HR"/>
        </w:rPr>
        <w:tab/>
      </w:r>
    </w:p>
    <w:p w14:paraId="54233781">
      <w:pPr>
        <w:jc w:val="both"/>
        <w:rPr>
          <w:bCs/>
          <w:sz w:val="24"/>
          <w:szCs w:val="24"/>
          <w:lang w:val="hr-HR"/>
        </w:rPr>
      </w:pPr>
    </w:p>
    <w:p w14:paraId="3AD65F61">
      <w:pPr>
        <w:jc w:val="both"/>
        <w:rPr>
          <w:bCs/>
          <w:sz w:val="24"/>
          <w:szCs w:val="24"/>
          <w:lang w:val="hr-HR"/>
        </w:rPr>
      </w:pPr>
    </w:p>
    <w:p w14:paraId="4EBC1BBC">
      <w:pPr>
        <w:jc w:val="both"/>
        <w:rPr>
          <w:bCs/>
          <w:sz w:val="24"/>
          <w:szCs w:val="24"/>
          <w:lang w:val="hr-HR"/>
        </w:rPr>
      </w:pPr>
    </w:p>
    <w:p w14:paraId="2223B481">
      <w:pPr>
        <w:jc w:val="both"/>
        <w:rPr>
          <w:bCs/>
          <w:sz w:val="24"/>
          <w:szCs w:val="24"/>
          <w:lang w:val="hr-HR"/>
        </w:rPr>
      </w:pPr>
    </w:p>
    <w:p w14:paraId="0EF09372">
      <w:pPr>
        <w:jc w:val="both"/>
        <w:rPr>
          <w:b/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</w:p>
    <w:p w14:paraId="29B119A3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PREDSJEDNIK OPĆINSKOG VIJEĆA</w:t>
      </w:r>
    </w:p>
    <w:p w14:paraId="4FA5B56B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Željko Klarić</w:t>
      </w:r>
    </w:p>
    <w:p w14:paraId="7AC32EEB">
      <w:pPr>
        <w:rPr>
          <w:sz w:val="24"/>
          <w:szCs w:val="24"/>
        </w:rPr>
      </w:pPr>
    </w:p>
    <w:p w14:paraId="6D195DB8">
      <w:pPr>
        <w:rPr>
          <w:sz w:val="24"/>
          <w:szCs w:val="24"/>
        </w:rPr>
      </w:pPr>
    </w:p>
    <w:p w14:paraId="07D3CDE2">
      <w:pPr>
        <w:rPr>
          <w:sz w:val="24"/>
          <w:szCs w:val="24"/>
        </w:rPr>
      </w:pPr>
    </w:p>
    <w:p w14:paraId="4D857326">
      <w:pPr>
        <w:rPr>
          <w:sz w:val="24"/>
          <w:szCs w:val="24"/>
        </w:rPr>
      </w:pPr>
    </w:p>
    <w:p w14:paraId="532612E5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20286E93">
      <w:pPr>
        <w:numPr>
          <w:ilvl w:val="0"/>
          <w:numId w:val="2"/>
        </w:numPr>
        <w:suppressAutoHyphens w:val="0"/>
        <w:spacing w:after="160"/>
        <w:contextualSpacing/>
        <w:rPr>
          <w:sz w:val="24"/>
          <w:szCs w:val="24"/>
        </w:rPr>
      </w:pPr>
      <w:r>
        <w:rPr>
          <w:sz w:val="24"/>
          <w:szCs w:val="24"/>
        </w:rPr>
        <w:t>Jedinstveni upravni odjel</w:t>
      </w:r>
    </w:p>
    <w:p w14:paraId="3DF5E476">
      <w:pPr>
        <w:numPr>
          <w:ilvl w:val="0"/>
          <w:numId w:val="2"/>
        </w:numPr>
        <w:suppressAutoHyphens w:val="0"/>
        <w:spacing w:after="160"/>
        <w:contextualSpacing/>
        <w:rPr>
          <w:sz w:val="24"/>
          <w:szCs w:val="24"/>
        </w:rPr>
      </w:pPr>
      <w:r>
        <w:rPr>
          <w:sz w:val="24"/>
          <w:szCs w:val="24"/>
        </w:rPr>
        <w:t>Službeni glasnik Općine Gornji Bogićevci</w:t>
      </w:r>
    </w:p>
    <w:p w14:paraId="1578473C">
      <w:pPr>
        <w:numPr>
          <w:ilvl w:val="0"/>
          <w:numId w:val="2"/>
        </w:numPr>
        <w:suppressAutoHyphens w:val="0"/>
        <w:spacing w:after="160"/>
        <w:contextualSpacing/>
        <w:rPr>
          <w:sz w:val="24"/>
          <w:szCs w:val="24"/>
        </w:rPr>
      </w:pPr>
      <w:r>
        <w:rPr>
          <w:sz w:val="24"/>
          <w:szCs w:val="24"/>
        </w:rPr>
        <w:t>Ministarstvo prostornog uređenja, graditeljstva i državne imovine</w:t>
      </w:r>
    </w:p>
    <w:p w14:paraId="1AB9E9A4">
      <w:pPr>
        <w:numPr>
          <w:ilvl w:val="0"/>
          <w:numId w:val="2"/>
        </w:numPr>
        <w:suppressAutoHyphens w:val="0"/>
        <w:spacing w:after="160"/>
        <w:contextualSpacing/>
        <w:rPr>
          <w:sz w:val="24"/>
          <w:szCs w:val="24"/>
        </w:rPr>
      </w:pPr>
      <w:r>
        <w:rPr>
          <w:sz w:val="24"/>
          <w:szCs w:val="24"/>
        </w:rPr>
        <w:t>Pismohrana.</w:t>
      </w:r>
    </w:p>
    <w:p w14:paraId="4C3871F5">
      <w:pPr>
        <w:rPr>
          <w:sz w:val="24"/>
          <w:szCs w:val="24"/>
        </w:rPr>
      </w:pPr>
    </w:p>
    <w:p w14:paraId="75046AB1">
      <w:pPr>
        <w:rPr>
          <w:sz w:val="24"/>
          <w:szCs w:val="24"/>
        </w:rPr>
      </w:pPr>
    </w:p>
    <w:p w14:paraId="04591018">
      <w:pPr>
        <w:jc w:val="both"/>
        <w:rPr>
          <w:b/>
          <w:bCs/>
          <w:sz w:val="24"/>
          <w:szCs w:val="24"/>
          <w:lang w:val="hr-HR"/>
        </w:rPr>
      </w:pPr>
    </w:p>
    <w:p w14:paraId="676E2A23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 xml:space="preserve"> </w:t>
      </w:r>
    </w:p>
    <w:p w14:paraId="1D82B955">
      <w:pPr>
        <w:rPr>
          <w:b/>
          <w:bCs/>
          <w:color w:val="000000"/>
          <w:sz w:val="24"/>
          <w:szCs w:val="24"/>
          <w:lang w:val="hr-HR"/>
        </w:rPr>
      </w:pPr>
    </w:p>
    <w:p w14:paraId="78A8E171">
      <w:pPr>
        <w:rPr>
          <w:b/>
          <w:bCs/>
          <w:color w:val="000000"/>
          <w:sz w:val="24"/>
          <w:szCs w:val="24"/>
          <w:lang w:val="hr-HR"/>
        </w:rPr>
      </w:pPr>
    </w:p>
    <w:p w14:paraId="21DBAFC1">
      <w:pPr>
        <w:rPr>
          <w:b/>
          <w:bCs/>
          <w:color w:val="000000"/>
          <w:sz w:val="24"/>
          <w:szCs w:val="24"/>
          <w:lang w:val="hr-HR"/>
        </w:rPr>
      </w:pPr>
    </w:p>
    <w:p w14:paraId="0534F326">
      <w:pPr>
        <w:rPr>
          <w:b/>
          <w:bCs/>
          <w:color w:val="000000"/>
          <w:sz w:val="24"/>
          <w:szCs w:val="24"/>
          <w:lang w:val="hr-HR"/>
        </w:rPr>
      </w:pPr>
    </w:p>
    <w:p w14:paraId="2213BD03">
      <w:pPr>
        <w:rPr>
          <w:b/>
          <w:bCs/>
          <w:color w:val="000000"/>
          <w:sz w:val="24"/>
          <w:szCs w:val="24"/>
          <w:lang w:val="hr-HR"/>
        </w:rPr>
      </w:pPr>
    </w:p>
    <w:p w14:paraId="49E537C1">
      <w:pPr>
        <w:rPr>
          <w:b/>
          <w:bCs/>
          <w:color w:val="000000"/>
          <w:sz w:val="24"/>
          <w:szCs w:val="24"/>
          <w:lang w:val="hr-HR"/>
        </w:rPr>
      </w:pPr>
    </w:p>
    <w:p w14:paraId="688B69D2">
      <w:pPr>
        <w:rPr>
          <w:b/>
          <w:bCs/>
          <w:color w:val="000000"/>
          <w:sz w:val="24"/>
          <w:szCs w:val="24"/>
          <w:lang w:val="hr-HR"/>
        </w:rPr>
      </w:pPr>
    </w:p>
    <w:p w14:paraId="6965AC4A">
      <w:pPr>
        <w:rPr>
          <w:b/>
          <w:bCs/>
          <w:color w:val="000000"/>
          <w:sz w:val="24"/>
          <w:szCs w:val="24"/>
          <w:lang w:val="hr-HR"/>
        </w:rPr>
      </w:pPr>
    </w:p>
    <w:p w14:paraId="39104BD8">
      <w:pPr>
        <w:rPr>
          <w:b/>
          <w:bCs/>
          <w:color w:val="000000"/>
          <w:sz w:val="24"/>
          <w:szCs w:val="24"/>
          <w:lang w:val="hr-HR"/>
        </w:rPr>
      </w:pPr>
    </w:p>
    <w:p w14:paraId="4A2226CC">
      <w:pPr>
        <w:rPr>
          <w:b/>
          <w:bCs/>
          <w:color w:val="000000"/>
          <w:sz w:val="24"/>
          <w:szCs w:val="24"/>
          <w:lang w:val="hr-HR"/>
        </w:rPr>
      </w:pPr>
    </w:p>
    <w:p w14:paraId="621E721C">
      <w:pPr>
        <w:rPr>
          <w:b/>
          <w:bCs/>
          <w:color w:val="000000"/>
          <w:sz w:val="24"/>
          <w:szCs w:val="24"/>
          <w:lang w:val="hr-HR"/>
        </w:rPr>
      </w:pPr>
    </w:p>
    <w:p w14:paraId="62722C43">
      <w:pPr>
        <w:rPr>
          <w:b/>
          <w:bCs/>
          <w:color w:val="000000"/>
          <w:sz w:val="24"/>
          <w:szCs w:val="24"/>
          <w:lang w:val="hr-HR"/>
        </w:rPr>
      </w:pPr>
    </w:p>
    <w:p w14:paraId="683683EA">
      <w:pPr>
        <w:rPr>
          <w:b/>
          <w:bCs/>
          <w:color w:val="000000"/>
          <w:sz w:val="24"/>
          <w:szCs w:val="24"/>
          <w:lang w:val="hr-HR"/>
        </w:rPr>
      </w:pPr>
    </w:p>
    <w:p w14:paraId="49EA8A09">
      <w:pPr>
        <w:pStyle w:val="16"/>
        <w:rPr>
          <w:rStyle w:val="15"/>
          <w:rFonts w:cs="Times New Roman"/>
          <w:b/>
          <w:bCs/>
          <w:i w:val="0"/>
          <w:iCs w:val="0"/>
          <w:color w:val="000000"/>
          <w:sz w:val="24"/>
          <w:szCs w:val="24"/>
          <w:lang w:val="hr-HR"/>
        </w:rPr>
      </w:pPr>
      <w:r>
        <w:rPr>
          <w:rStyle w:val="15"/>
          <w:rFonts w:cs="Times New Roman"/>
          <w:b/>
          <w:bCs/>
          <w:i w:val="0"/>
          <w:iCs w:val="0"/>
          <w:color w:val="000000"/>
          <w:sz w:val="24"/>
          <w:szCs w:val="24"/>
          <w:lang w:val="hr-HR"/>
        </w:rPr>
        <w:t>OBRAZLOŽENJE PLANA UTROŠKA SREDSTAVA OD PRODAJE KUĆA I STANOVA U DRŽAVNOM VLASNIŠTVU NA PODRUČJU OPĆINE GORNJI BOGIĆEVCI U 2026. GODINI</w:t>
      </w:r>
    </w:p>
    <w:p w14:paraId="37393974">
      <w:pPr>
        <w:rPr>
          <w:b/>
          <w:bCs/>
          <w:color w:val="000000"/>
          <w:sz w:val="24"/>
          <w:szCs w:val="24"/>
          <w:lang w:val="hr-HR"/>
        </w:rPr>
      </w:pPr>
    </w:p>
    <w:p w14:paraId="6CF07536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Zakonom o stambenom zbrinjavanju </w:t>
      </w:r>
      <w:r>
        <w:rPr>
          <w:bCs/>
          <w:color w:val="000000"/>
          <w:sz w:val="24"/>
          <w:szCs w:val="24"/>
          <w:lang w:val="hr-HR"/>
        </w:rPr>
        <w:t xml:space="preserve">(“Narodne novine” broj 106/18, 98/19 i 82/23) te </w:t>
      </w:r>
      <w:r>
        <w:rPr>
          <w:color w:val="000000"/>
          <w:sz w:val="24"/>
          <w:szCs w:val="24"/>
          <w:lang w:val="hr-HR"/>
        </w:rPr>
        <w:t xml:space="preserve">Uredbom o uvjetima za kupnju obiteljske kuće ili stana u državnom vlasništvu na potpomognutim područjima („Narodne novine“ broj 19/11, 56/11, 3/13 i 24/19) propisano je da su sredstva od prodaje kuća i stanova u vlasništvu RH prihod jedinice lokalne samouprave na području na kojem se kuća ili stan nalaze te da se navedena sredstva mogu koristiti za izgradnju i obnovu komunalne infrastrukture, stambeno zbrinjavanje, izgradnju socijalnih stanova i podizanje standarda stambenog fonda. </w:t>
      </w:r>
    </w:p>
    <w:p w14:paraId="5BD41C4A">
      <w:pPr>
        <w:rPr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Propisano je također da su jedinice lokalne samouprave dužne izraditi Plan utroška sredstava i dostaviti ga Ministarstvu prostornog uređenja, graditeljstva i državne imovine, te po završetku godine dostaviti Izvješće o utrošenim sredstvima.</w:t>
      </w:r>
    </w:p>
    <w:p w14:paraId="1EA3760D">
      <w:pPr>
        <w:rPr>
          <w:lang w:val="hr-HR"/>
        </w:rPr>
      </w:pPr>
    </w:p>
    <w:sectPr>
      <w:pgSz w:w="12240" w:h="15840"/>
      <w:pgMar w:top="1417" w:right="1417" w:bottom="1417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1585"/>
    <w:multiLevelType w:val="multilevel"/>
    <w:tmpl w:val="7A67158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D4BC3"/>
    <w:rsid w:val="00066B51"/>
    <w:rsid w:val="000842A8"/>
    <w:rsid w:val="000B1B17"/>
    <w:rsid w:val="000B5523"/>
    <w:rsid w:val="0012144E"/>
    <w:rsid w:val="00322B67"/>
    <w:rsid w:val="00353103"/>
    <w:rsid w:val="00356ABF"/>
    <w:rsid w:val="003B349E"/>
    <w:rsid w:val="003E06B8"/>
    <w:rsid w:val="004A62F3"/>
    <w:rsid w:val="0055342E"/>
    <w:rsid w:val="008D0731"/>
    <w:rsid w:val="008D752B"/>
    <w:rsid w:val="00905F0B"/>
    <w:rsid w:val="00927917"/>
    <w:rsid w:val="00A26896"/>
    <w:rsid w:val="00AE06D9"/>
    <w:rsid w:val="00AE130A"/>
    <w:rsid w:val="00B10F0F"/>
    <w:rsid w:val="00BF4DEC"/>
    <w:rsid w:val="00C5292D"/>
    <w:rsid w:val="00C76240"/>
    <w:rsid w:val="00C776EC"/>
    <w:rsid w:val="00CD3D77"/>
    <w:rsid w:val="00D04CC8"/>
    <w:rsid w:val="00D661EB"/>
    <w:rsid w:val="00E24802"/>
    <w:rsid w:val="00ED4BC3"/>
    <w:rsid w:val="54B0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GB" w:eastAsia="ar-SA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36"/>
    <w:semiHidden/>
    <w:qFormat/>
    <w:uiPriority w:val="0"/>
    <w:pPr>
      <w:jc w:val="both"/>
    </w:pPr>
    <w:rPr>
      <w:sz w:val="24"/>
      <w:lang w:val="hr-HR"/>
    </w:rPr>
  </w:style>
  <w:style w:type="character" w:styleId="15">
    <w:name w:val="Emphasis"/>
    <w:qFormat/>
    <w:uiPriority w:val="20"/>
    <w:rPr>
      <w:i/>
      <w:i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7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9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Naslov 3 Char"/>
    <w:basedOn w:val="11"/>
    <w:link w:val="4"/>
    <w:semiHidden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21">
    <w:name w:val="Naslov 4 Char"/>
    <w:basedOn w:val="11"/>
    <w:link w:val="5"/>
    <w:semiHidden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22">
    <w:name w:val="Naslov 5 Char"/>
    <w:basedOn w:val="11"/>
    <w:link w:val="6"/>
    <w:semiHidden/>
    <w:uiPriority w:val="9"/>
    <w:rPr>
      <w:rFonts w:eastAsiaTheme="majorEastAsia" w:cstheme="majorBidi"/>
      <w:color w:val="2F5496" w:themeColor="accent1" w:themeShade="BF"/>
    </w:rPr>
  </w:style>
  <w:style w:type="character" w:customStyle="1" w:styleId="23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4">
    <w:name w:val="Naslov 7 Char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5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6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7">
    <w:name w:val="Naslov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Podnaslov Char"/>
    <w:basedOn w:val="11"/>
    <w:link w:val="1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0">
    <w:name w:val="Citat Char"/>
    <w:basedOn w:val="11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4">
    <w:name w:val="Naglašen citat Char"/>
    <w:basedOn w:val="11"/>
    <w:link w:val="33"/>
    <w:qFormat/>
    <w:uiPriority w:val="30"/>
    <w:rPr>
      <w:i/>
      <w:iCs/>
      <w:color w:val="2F5496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6">
    <w:name w:val="Tijelo teksta Char"/>
    <w:basedOn w:val="11"/>
    <w:link w:val="14"/>
    <w:semiHidden/>
    <w:qFormat/>
    <w:uiPriority w:val="0"/>
    <w:rPr>
      <w:rFonts w:ascii="Times New Roman" w:hAnsi="Times New Roman" w:eastAsia="Times New Roman" w:cs="Times New Roman"/>
      <w:kern w:val="0"/>
      <w:sz w:val="24"/>
      <w:szCs w:val="20"/>
      <w:lang w:eastAsia="ar-SA"/>
    </w:rPr>
  </w:style>
  <w:style w:type="paragraph" w:customStyle="1" w:styleId="37">
    <w:name w:val="Sadržaji tablice"/>
    <w:basedOn w:val="1"/>
    <w:qFormat/>
    <w:uiPriority w:val="0"/>
    <w:pPr>
      <w:suppressLineNumbers/>
    </w:pPr>
  </w:style>
  <w:style w:type="character" w:customStyle="1" w:styleId="38">
    <w:name w:val="Tekst balončića Char"/>
    <w:basedOn w:val="11"/>
    <w:link w:val="13"/>
    <w:semiHidden/>
    <w:qFormat/>
    <w:uiPriority w:val="99"/>
    <w:rPr>
      <w:rFonts w:ascii="Tahoma" w:hAnsi="Tahoma" w:eastAsia="Times New Roman" w:cs="Tahoma"/>
      <w:kern w:val="0"/>
      <w:sz w:val="16"/>
      <w:szCs w:val="16"/>
      <w:lang w:val="en-GB"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466</Words>
  <Characters>2657</Characters>
  <Lines>22</Lines>
  <Paragraphs>6</Paragraphs>
  <TotalTime>32</TotalTime>
  <ScaleCrop>false</ScaleCrop>
  <LinksUpToDate>false</LinksUpToDate>
  <CharactersWithSpaces>3117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2025-07-21T10:42:00Z</dcterms:created>
  <dc:creator>korisnik</dc:creator>
  <cp:lastModifiedBy>X</cp:lastModifiedBy>
  <cp:lastPrinted>2025-08-26T07:03:00Z</cp:lastPrinted>
  <dcterms:modified xsi:type="dcterms:W3CDTF">2025-12-16T11:27:24Z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316E8166ABC142FA8245F9F1AC5CED6D_12</vt:lpwstr>
  </property>
</Properties>
</file>